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E97063">
      <w:pPr>
        <w:adjustRightInd w:val="0"/>
        <w:snapToGrid w:val="0"/>
        <w:ind w:firstLine="0" w:firstLineChars="0"/>
        <w:jc w:val="center"/>
        <w:outlineLvl w:val="0"/>
        <w:rPr>
          <w:rFonts w:eastAsia="方正小标宋_GBK"/>
          <w:bCs/>
          <w:sz w:val="72"/>
          <w:szCs w:val="72"/>
        </w:rPr>
      </w:pPr>
      <w:bookmarkStart w:id="0" w:name="_Toc32343"/>
      <w:bookmarkStart w:id="1" w:name="_Toc9226"/>
      <w:bookmarkStart w:id="2" w:name="_Toc69399385"/>
      <w:r>
        <w:rPr>
          <w:rFonts w:hint="eastAsia" w:eastAsia="方正小标宋_GBK"/>
          <w:b/>
          <w:sz w:val="52"/>
          <w:szCs w:val="52"/>
        </w:rPr>
        <w:t>建设项目</w:t>
      </w:r>
      <w:r>
        <w:rPr>
          <w:rFonts w:hint="eastAsia" w:eastAsia="方正小标宋_GBK"/>
          <w:b/>
          <w:sz w:val="52"/>
          <w:szCs w:val="52"/>
          <w:lang w:val="en-US" w:eastAsia="zh-CN"/>
        </w:rPr>
        <w:t>生态</w:t>
      </w:r>
      <w:r>
        <w:rPr>
          <w:rFonts w:hint="eastAsia" w:eastAsia="方正小标宋_GBK"/>
          <w:b/>
          <w:sz w:val="52"/>
          <w:szCs w:val="52"/>
        </w:rPr>
        <w:t>环境影响报告表</w:t>
      </w:r>
      <w:bookmarkEnd w:id="0"/>
      <w:bookmarkEnd w:id="1"/>
      <w:bookmarkEnd w:id="2"/>
    </w:p>
    <w:p w14:paraId="274B064C">
      <w:pPr>
        <w:adjustRightInd w:val="0"/>
        <w:snapToGrid w:val="0"/>
        <w:spacing w:beforeLines="80" w:line="240" w:lineRule="auto"/>
        <w:ind w:firstLine="0" w:firstLineChars="0"/>
        <w:jc w:val="center"/>
        <w:rPr>
          <w:rFonts w:eastAsia="楷体_GB2312"/>
          <w:bCs/>
          <w:sz w:val="48"/>
          <w:szCs w:val="48"/>
        </w:rPr>
      </w:pPr>
      <w:r>
        <w:rPr>
          <w:rFonts w:hint="eastAsia" w:eastAsia="楷体_GB2312"/>
          <w:bCs/>
          <w:sz w:val="48"/>
          <w:szCs w:val="48"/>
        </w:rPr>
        <w:t>（污染影响类）</w:t>
      </w:r>
    </w:p>
    <w:p w14:paraId="3128DC7D">
      <w:pPr>
        <w:spacing w:line="240" w:lineRule="auto"/>
        <w:ind w:firstLine="1040" w:firstLineChars="0"/>
        <w:rPr>
          <w:rFonts w:eastAsia="仿宋"/>
          <w:sz w:val="44"/>
          <w:szCs w:val="44"/>
        </w:rPr>
      </w:pPr>
      <w:r>
        <w:rPr>
          <w:rFonts w:hint="eastAsia" w:eastAsia="仿宋"/>
          <w:sz w:val="44"/>
          <w:szCs w:val="44"/>
        </w:rPr>
        <w:t xml:space="preserve">   </w:t>
      </w:r>
    </w:p>
    <w:p w14:paraId="47ECB055">
      <w:pPr>
        <w:pStyle w:val="2"/>
        <w:ind w:firstLine="480"/>
      </w:pPr>
    </w:p>
    <w:p w14:paraId="5E9A0726">
      <w:pPr>
        <w:spacing w:line="240" w:lineRule="auto"/>
        <w:ind w:firstLine="1040" w:firstLineChars="0"/>
        <w:rPr>
          <w:rFonts w:eastAsia="仿宋"/>
          <w:sz w:val="44"/>
          <w:szCs w:val="44"/>
        </w:rPr>
      </w:pPr>
    </w:p>
    <w:p w14:paraId="67611A6C">
      <w:pPr>
        <w:spacing w:line="240" w:lineRule="auto"/>
        <w:ind w:firstLine="1040" w:firstLineChars="0"/>
        <w:rPr>
          <w:rFonts w:eastAsia="仿宋"/>
          <w:sz w:val="44"/>
          <w:szCs w:val="44"/>
        </w:rPr>
      </w:pPr>
    </w:p>
    <w:p w14:paraId="405CD613">
      <w:pPr>
        <w:spacing w:line="240" w:lineRule="auto"/>
        <w:ind w:firstLine="1040" w:firstLineChars="0"/>
        <w:rPr>
          <w:rFonts w:eastAsia="仿宋"/>
          <w:sz w:val="44"/>
          <w:szCs w:val="44"/>
        </w:rPr>
      </w:pPr>
    </w:p>
    <w:p w14:paraId="117758F8">
      <w:pPr>
        <w:spacing w:line="240" w:lineRule="auto"/>
        <w:ind w:firstLine="1040" w:firstLineChars="0"/>
        <w:rPr>
          <w:rFonts w:eastAsia="仿宋"/>
          <w:sz w:val="44"/>
          <w:szCs w:val="44"/>
        </w:rPr>
      </w:pPr>
    </w:p>
    <w:p w14:paraId="024A279F">
      <w:pPr>
        <w:spacing w:line="240" w:lineRule="auto"/>
        <w:ind w:firstLine="1040" w:firstLineChars="0"/>
        <w:rPr>
          <w:rFonts w:eastAsia="仿宋"/>
          <w:sz w:val="44"/>
          <w:szCs w:val="44"/>
        </w:rPr>
      </w:pPr>
    </w:p>
    <w:p w14:paraId="2C8521AD">
      <w:pPr>
        <w:spacing w:line="240" w:lineRule="auto"/>
        <w:ind w:firstLine="1040" w:firstLineChars="0"/>
        <w:rPr>
          <w:rFonts w:eastAsia="仿宋"/>
          <w:sz w:val="44"/>
          <w:szCs w:val="44"/>
        </w:rPr>
      </w:pPr>
    </w:p>
    <w:p w14:paraId="667E1C35">
      <w:pPr>
        <w:adjustRightInd w:val="0"/>
        <w:snapToGrid w:val="0"/>
        <w:spacing w:line="288" w:lineRule="auto"/>
        <w:ind w:firstLine="0" w:firstLineChars="0"/>
        <w:rPr>
          <w:rFonts w:eastAsia="仿宋_GB2312"/>
          <w:sz w:val="36"/>
          <w:szCs w:val="36"/>
          <w:u w:val="single"/>
        </w:rPr>
      </w:pPr>
      <w:r>
        <w:rPr>
          <w:rFonts w:hint="eastAsia" w:eastAsia="仿宋_GB2312"/>
          <w:sz w:val="36"/>
          <w:szCs w:val="36"/>
        </w:rPr>
        <w:t>项目名称：</w:t>
      </w:r>
      <w:r>
        <w:rPr>
          <w:rFonts w:hint="eastAsia" w:eastAsia="仿宋_GB2312"/>
          <w:sz w:val="36"/>
          <w:szCs w:val="36"/>
          <w:u w:val="single"/>
        </w:rPr>
        <w:t xml:space="preserve">   寻甸熠峰建设工程有限公司搅拌站项目   </w:t>
      </w:r>
    </w:p>
    <w:p w14:paraId="28820992">
      <w:pPr>
        <w:adjustRightInd w:val="0"/>
        <w:snapToGrid w:val="0"/>
        <w:spacing w:line="288" w:lineRule="auto"/>
        <w:ind w:firstLine="0" w:firstLineChars="0"/>
        <w:rPr>
          <w:rFonts w:eastAsia="仿宋_GB2312"/>
          <w:sz w:val="36"/>
          <w:szCs w:val="36"/>
          <w:u w:val="single"/>
        </w:rPr>
      </w:pPr>
      <w:r>
        <w:rPr>
          <w:rFonts w:hint="eastAsia" w:eastAsia="仿宋_GB2312"/>
          <w:sz w:val="36"/>
          <w:szCs w:val="36"/>
        </w:rPr>
        <w:t>建设单位（盖章）：</w:t>
      </w:r>
      <w:r>
        <w:rPr>
          <w:rFonts w:hint="eastAsia" w:eastAsia="仿宋_GB2312"/>
          <w:sz w:val="36"/>
          <w:szCs w:val="36"/>
          <w:u w:val="single"/>
        </w:rPr>
        <w:t xml:space="preserve">    寻甸熠峰建设工程有限公司    </w:t>
      </w:r>
    </w:p>
    <w:p w14:paraId="4F9E7496">
      <w:pPr>
        <w:adjustRightInd w:val="0"/>
        <w:snapToGrid w:val="0"/>
        <w:spacing w:line="288" w:lineRule="auto"/>
        <w:ind w:firstLine="0" w:firstLineChars="0"/>
        <w:rPr>
          <w:rFonts w:eastAsia="仿宋_GB2312"/>
          <w:sz w:val="36"/>
          <w:szCs w:val="36"/>
          <w:u w:val="single"/>
        </w:rPr>
      </w:pPr>
      <w:r>
        <w:rPr>
          <w:rFonts w:hint="eastAsia" w:eastAsia="仿宋_GB2312"/>
          <w:sz w:val="36"/>
          <w:szCs w:val="36"/>
        </w:rPr>
        <w:t>编制日期：</w:t>
      </w:r>
      <w:r>
        <w:rPr>
          <w:rFonts w:hint="eastAsia" w:eastAsia="仿宋_GB2312"/>
          <w:sz w:val="36"/>
          <w:szCs w:val="36"/>
          <w:u w:val="single"/>
        </w:rPr>
        <w:t xml:space="preserve"> </w:t>
      </w:r>
      <w:r>
        <w:rPr>
          <w:rFonts w:eastAsia="仿宋_GB2312"/>
          <w:sz w:val="36"/>
          <w:szCs w:val="36"/>
          <w:u w:val="single"/>
        </w:rPr>
        <w:t xml:space="preserve">         </w:t>
      </w:r>
      <w:r>
        <w:rPr>
          <w:rFonts w:hint="eastAsia" w:eastAsia="仿宋_GB2312"/>
          <w:sz w:val="36"/>
          <w:szCs w:val="36"/>
          <w:u w:val="single"/>
        </w:rPr>
        <w:t xml:space="preserve">  二〇二六年</w:t>
      </w:r>
      <w:r>
        <w:rPr>
          <w:rFonts w:hint="eastAsia" w:eastAsia="仿宋_GB2312"/>
          <w:sz w:val="36"/>
          <w:szCs w:val="36"/>
          <w:u w:val="single"/>
          <w:lang w:val="en-US" w:eastAsia="zh-CN"/>
        </w:rPr>
        <w:t>十</w:t>
      </w:r>
      <w:r>
        <w:rPr>
          <w:rFonts w:hint="eastAsia" w:eastAsia="仿宋_GB2312"/>
          <w:sz w:val="36"/>
          <w:szCs w:val="36"/>
          <w:u w:val="single"/>
        </w:rPr>
        <w:t xml:space="preserve">月 </w:t>
      </w:r>
      <w:r>
        <w:rPr>
          <w:rFonts w:eastAsia="仿宋_GB2312"/>
          <w:sz w:val="36"/>
          <w:szCs w:val="36"/>
          <w:u w:val="single"/>
        </w:rPr>
        <w:t xml:space="preserve">    </w:t>
      </w:r>
      <w:r>
        <w:rPr>
          <w:rFonts w:hint="eastAsia" w:eastAsia="仿宋_GB2312"/>
          <w:sz w:val="36"/>
          <w:szCs w:val="36"/>
          <w:u w:val="single"/>
        </w:rPr>
        <w:t xml:space="preserve">        </w:t>
      </w:r>
    </w:p>
    <w:p w14:paraId="64836C2A">
      <w:pPr>
        <w:spacing w:line="240" w:lineRule="auto"/>
        <w:ind w:firstLine="1040" w:firstLineChars="0"/>
        <w:rPr>
          <w:rFonts w:eastAsia="仿宋"/>
          <w:sz w:val="44"/>
          <w:szCs w:val="44"/>
        </w:rPr>
      </w:pPr>
    </w:p>
    <w:p w14:paraId="65D9B10A">
      <w:pPr>
        <w:spacing w:line="240" w:lineRule="auto"/>
        <w:ind w:firstLine="1040" w:firstLineChars="0"/>
        <w:rPr>
          <w:rFonts w:eastAsia="仿宋"/>
          <w:sz w:val="44"/>
          <w:szCs w:val="44"/>
        </w:rPr>
      </w:pPr>
      <w:bookmarkStart w:id="3" w:name="_Hlk57884087"/>
    </w:p>
    <w:p w14:paraId="212EBA96">
      <w:pPr>
        <w:spacing w:line="240" w:lineRule="auto"/>
        <w:ind w:firstLine="1040" w:firstLineChars="0"/>
        <w:rPr>
          <w:rFonts w:eastAsia="仿宋"/>
          <w:sz w:val="44"/>
          <w:szCs w:val="44"/>
        </w:rPr>
      </w:pPr>
    </w:p>
    <w:p w14:paraId="278C99F1">
      <w:pPr>
        <w:spacing w:line="240" w:lineRule="auto"/>
        <w:ind w:firstLine="1040" w:firstLineChars="0"/>
        <w:rPr>
          <w:rFonts w:eastAsia="仿宋"/>
          <w:sz w:val="44"/>
          <w:szCs w:val="44"/>
        </w:rPr>
      </w:pPr>
    </w:p>
    <w:p w14:paraId="21DB990B">
      <w:pPr>
        <w:spacing w:line="240" w:lineRule="auto"/>
        <w:ind w:firstLine="1040" w:firstLineChars="0"/>
        <w:rPr>
          <w:rFonts w:eastAsia="仿宋"/>
          <w:sz w:val="44"/>
          <w:szCs w:val="44"/>
        </w:rPr>
      </w:pPr>
    </w:p>
    <w:p w14:paraId="17989DF6">
      <w:pPr>
        <w:spacing w:line="240" w:lineRule="auto"/>
        <w:ind w:firstLine="1040" w:firstLineChars="0"/>
        <w:rPr>
          <w:rFonts w:eastAsia="仿宋"/>
          <w:sz w:val="44"/>
          <w:szCs w:val="44"/>
        </w:rPr>
      </w:pPr>
    </w:p>
    <w:p w14:paraId="1460255F">
      <w:pPr>
        <w:spacing w:line="240" w:lineRule="auto"/>
        <w:ind w:firstLine="1040" w:firstLineChars="0"/>
        <w:rPr>
          <w:rFonts w:eastAsia="仿宋"/>
          <w:sz w:val="44"/>
          <w:szCs w:val="44"/>
        </w:rPr>
      </w:pPr>
    </w:p>
    <w:bookmarkEnd w:id="3"/>
    <w:p w14:paraId="0247251E">
      <w:pPr>
        <w:adjustRightInd w:val="0"/>
        <w:snapToGrid w:val="0"/>
        <w:spacing w:line="288" w:lineRule="auto"/>
        <w:ind w:firstLine="0" w:firstLineChars="0"/>
        <w:jc w:val="center"/>
        <w:rPr>
          <w:rFonts w:eastAsia="楷体_GB2312"/>
          <w:sz w:val="36"/>
          <w:szCs w:val="36"/>
        </w:rPr>
      </w:pPr>
      <w:r>
        <w:rPr>
          <w:rFonts w:hint="eastAsia" w:eastAsia="楷体_GB2312"/>
          <w:sz w:val="36"/>
          <w:szCs w:val="36"/>
        </w:rPr>
        <w:t>中华人民共和国生态环境部制</w:t>
      </w:r>
    </w:p>
    <w:p w14:paraId="2EA994B6">
      <w:pPr>
        <w:ind w:firstLine="480"/>
        <w:sectPr>
          <w:headerReference r:id="rId5" w:type="default"/>
          <w:footerReference r:id="rId6" w:type="default"/>
          <w:pgSz w:w="11906" w:h="16838"/>
          <w:pgMar w:top="1701" w:right="1531" w:bottom="1701" w:left="1531" w:header="851" w:footer="1077" w:gutter="0"/>
          <w:pgNumType w:start="3"/>
          <w:cols w:space="720" w:num="1"/>
          <w:docGrid w:linePitch="312" w:charSpace="0"/>
        </w:sectPr>
      </w:pPr>
    </w:p>
    <w:p w14:paraId="7D36036A">
      <w:pPr>
        <w:ind w:left="0" w:leftChars="0" w:firstLine="0" w:firstLineChars="0"/>
        <w:sectPr>
          <w:pgSz w:w="11906" w:h="16838"/>
          <w:pgMar w:top="1701" w:right="1531" w:bottom="1701" w:left="1531" w:header="851" w:footer="1077" w:gutter="0"/>
          <w:pgNumType w:start="3"/>
          <w:cols w:space="720" w:num="1"/>
          <w:docGrid w:linePitch="312" w:charSpace="0"/>
        </w:sectPr>
      </w:pPr>
    </w:p>
    <w:p w14:paraId="44F7D275">
      <w:pPr>
        <w:pStyle w:val="21"/>
        <w:tabs>
          <w:tab w:val="right" w:leader="dot" w:pos="8844"/>
        </w:tabs>
        <w:spacing w:line="480" w:lineRule="auto"/>
        <w:ind w:firstLine="480"/>
        <w:jc w:val="center"/>
        <w:rPr>
          <w:b/>
          <w:bCs/>
          <w:sz w:val="28"/>
          <w:szCs w:val="28"/>
        </w:rPr>
      </w:pPr>
      <w:r>
        <w:fldChar w:fldCharType="begin"/>
      </w:r>
      <w:r>
        <w:instrText xml:space="preserve">TOC \o "1-3" \h \u </w:instrText>
      </w:r>
      <w:r>
        <w:fldChar w:fldCharType="separate"/>
      </w:r>
      <w:r>
        <w:rPr>
          <w:rFonts w:hint="eastAsia"/>
          <w:b/>
          <w:bCs/>
          <w:sz w:val="28"/>
          <w:szCs w:val="28"/>
        </w:rPr>
        <w:t>目  录</w:t>
      </w:r>
    </w:p>
    <w:p w14:paraId="7493E0D3">
      <w:pPr>
        <w:pStyle w:val="21"/>
        <w:tabs>
          <w:tab w:val="right" w:leader="dot" w:pos="8844"/>
        </w:tabs>
        <w:ind w:firstLine="482"/>
        <w:rPr>
          <w:b/>
          <w:bCs/>
        </w:rPr>
      </w:pPr>
      <w:r>
        <w:fldChar w:fldCharType="begin"/>
      </w:r>
      <w:r>
        <w:instrText xml:space="preserve"> HYPERLINK \l "_Toc5899" </w:instrText>
      </w:r>
      <w:r>
        <w:fldChar w:fldCharType="separate"/>
      </w:r>
      <w:r>
        <w:rPr>
          <w:rFonts w:hint="eastAsia"/>
          <w:b/>
          <w:bCs/>
          <w:snapToGrid w:val="0"/>
          <w:szCs w:val="30"/>
        </w:rPr>
        <w:t>一、建设项目基本情况</w:t>
      </w:r>
      <w:r>
        <w:rPr>
          <w:b/>
          <w:bCs/>
        </w:rPr>
        <w:tab/>
      </w:r>
      <w:r>
        <w:rPr>
          <w:b/>
          <w:bCs/>
        </w:rPr>
        <w:fldChar w:fldCharType="begin"/>
      </w:r>
      <w:r>
        <w:rPr>
          <w:b/>
          <w:bCs/>
        </w:rPr>
        <w:instrText xml:space="preserve"> PAGEREF _Toc5899 \h </w:instrText>
      </w:r>
      <w:r>
        <w:rPr>
          <w:b/>
          <w:bCs/>
        </w:rPr>
        <w:fldChar w:fldCharType="separate"/>
      </w:r>
      <w:r>
        <w:rPr>
          <w:b/>
          <w:bCs/>
        </w:rPr>
        <w:t>1</w:t>
      </w:r>
      <w:r>
        <w:rPr>
          <w:b/>
          <w:bCs/>
        </w:rPr>
        <w:fldChar w:fldCharType="end"/>
      </w:r>
      <w:r>
        <w:rPr>
          <w:b/>
          <w:bCs/>
        </w:rPr>
        <w:fldChar w:fldCharType="end"/>
      </w:r>
    </w:p>
    <w:p w14:paraId="07FC7CF7">
      <w:pPr>
        <w:pStyle w:val="21"/>
        <w:tabs>
          <w:tab w:val="right" w:leader="dot" w:pos="8844"/>
        </w:tabs>
        <w:ind w:firstLine="482"/>
        <w:rPr>
          <w:b/>
          <w:bCs/>
        </w:rPr>
      </w:pPr>
      <w:r>
        <w:fldChar w:fldCharType="begin"/>
      </w:r>
      <w:r>
        <w:instrText xml:space="preserve"> HYPERLINK \l "_Toc17414" </w:instrText>
      </w:r>
      <w:r>
        <w:fldChar w:fldCharType="separate"/>
      </w:r>
      <w:r>
        <w:rPr>
          <w:b/>
          <w:bCs/>
          <w:snapToGrid w:val="0"/>
          <w:szCs w:val="30"/>
        </w:rPr>
        <w:t>二、建设项目工程分析</w:t>
      </w:r>
      <w:r>
        <w:rPr>
          <w:b/>
          <w:bCs/>
        </w:rPr>
        <w:tab/>
      </w:r>
      <w:r>
        <w:rPr>
          <w:b/>
          <w:bCs/>
        </w:rPr>
        <w:fldChar w:fldCharType="begin"/>
      </w:r>
      <w:r>
        <w:rPr>
          <w:b/>
          <w:bCs/>
        </w:rPr>
        <w:instrText xml:space="preserve"> PAGEREF _Toc17414 \h </w:instrText>
      </w:r>
      <w:r>
        <w:rPr>
          <w:b/>
          <w:bCs/>
        </w:rPr>
        <w:fldChar w:fldCharType="separate"/>
      </w:r>
      <w:r>
        <w:rPr>
          <w:b/>
          <w:bCs/>
        </w:rPr>
        <w:t>23</w:t>
      </w:r>
      <w:r>
        <w:rPr>
          <w:b/>
          <w:bCs/>
        </w:rPr>
        <w:fldChar w:fldCharType="end"/>
      </w:r>
      <w:r>
        <w:rPr>
          <w:b/>
          <w:bCs/>
        </w:rPr>
        <w:fldChar w:fldCharType="end"/>
      </w:r>
    </w:p>
    <w:p w14:paraId="2EB1CAB9">
      <w:pPr>
        <w:pStyle w:val="21"/>
        <w:tabs>
          <w:tab w:val="right" w:leader="dot" w:pos="8844"/>
        </w:tabs>
        <w:ind w:firstLine="482"/>
        <w:rPr>
          <w:b/>
          <w:bCs/>
        </w:rPr>
      </w:pPr>
      <w:r>
        <w:fldChar w:fldCharType="begin"/>
      </w:r>
      <w:r>
        <w:instrText xml:space="preserve"> HYPERLINK \l "_Toc196" </w:instrText>
      </w:r>
      <w:r>
        <w:fldChar w:fldCharType="separate"/>
      </w:r>
      <w:r>
        <w:rPr>
          <w:b/>
          <w:bCs/>
          <w:snapToGrid w:val="0"/>
          <w:szCs w:val="30"/>
        </w:rPr>
        <w:t>三、区域环境质量现状、环境保护目标及评价标准</w:t>
      </w:r>
      <w:r>
        <w:rPr>
          <w:b/>
          <w:bCs/>
        </w:rPr>
        <w:tab/>
      </w:r>
      <w:r>
        <w:rPr>
          <w:b/>
          <w:bCs/>
        </w:rPr>
        <w:fldChar w:fldCharType="begin"/>
      </w:r>
      <w:r>
        <w:rPr>
          <w:b/>
          <w:bCs/>
        </w:rPr>
        <w:instrText xml:space="preserve"> PAGEREF _Toc196 \h </w:instrText>
      </w:r>
      <w:r>
        <w:rPr>
          <w:b/>
          <w:bCs/>
        </w:rPr>
        <w:fldChar w:fldCharType="separate"/>
      </w:r>
      <w:r>
        <w:rPr>
          <w:b/>
          <w:bCs/>
        </w:rPr>
        <w:t>42</w:t>
      </w:r>
      <w:r>
        <w:rPr>
          <w:b/>
          <w:bCs/>
        </w:rPr>
        <w:fldChar w:fldCharType="end"/>
      </w:r>
      <w:r>
        <w:rPr>
          <w:b/>
          <w:bCs/>
        </w:rPr>
        <w:fldChar w:fldCharType="end"/>
      </w:r>
    </w:p>
    <w:p w14:paraId="4FC6BE28">
      <w:pPr>
        <w:pStyle w:val="21"/>
        <w:tabs>
          <w:tab w:val="right" w:leader="dot" w:pos="8844"/>
        </w:tabs>
        <w:ind w:firstLine="482"/>
        <w:rPr>
          <w:b/>
          <w:bCs/>
        </w:rPr>
      </w:pPr>
      <w:r>
        <w:fldChar w:fldCharType="begin"/>
      </w:r>
      <w:r>
        <w:instrText xml:space="preserve"> HYPERLINK \l "_Toc17579" </w:instrText>
      </w:r>
      <w:r>
        <w:fldChar w:fldCharType="separate"/>
      </w:r>
      <w:r>
        <w:rPr>
          <w:rFonts w:hint="eastAsia"/>
          <w:b/>
          <w:bCs/>
        </w:rPr>
        <w:t>四、主要环境影响和保护措施</w:t>
      </w:r>
      <w:r>
        <w:rPr>
          <w:b/>
          <w:bCs/>
        </w:rPr>
        <w:tab/>
      </w:r>
      <w:r>
        <w:rPr>
          <w:b/>
          <w:bCs/>
        </w:rPr>
        <w:fldChar w:fldCharType="begin"/>
      </w:r>
      <w:r>
        <w:rPr>
          <w:b/>
          <w:bCs/>
        </w:rPr>
        <w:instrText xml:space="preserve"> PAGEREF _Toc17579 \h </w:instrText>
      </w:r>
      <w:r>
        <w:rPr>
          <w:b/>
          <w:bCs/>
        </w:rPr>
        <w:fldChar w:fldCharType="separate"/>
      </w:r>
      <w:r>
        <w:rPr>
          <w:b/>
          <w:bCs/>
        </w:rPr>
        <w:t>53</w:t>
      </w:r>
      <w:r>
        <w:rPr>
          <w:b/>
          <w:bCs/>
        </w:rPr>
        <w:fldChar w:fldCharType="end"/>
      </w:r>
      <w:r>
        <w:rPr>
          <w:b/>
          <w:bCs/>
        </w:rPr>
        <w:fldChar w:fldCharType="end"/>
      </w:r>
    </w:p>
    <w:p w14:paraId="1ACCE7ED">
      <w:pPr>
        <w:pStyle w:val="21"/>
        <w:tabs>
          <w:tab w:val="right" w:leader="dot" w:pos="8844"/>
        </w:tabs>
        <w:ind w:firstLine="482"/>
        <w:rPr>
          <w:b/>
          <w:bCs/>
        </w:rPr>
      </w:pPr>
      <w:r>
        <w:fldChar w:fldCharType="begin"/>
      </w:r>
      <w:r>
        <w:instrText xml:space="preserve"> HYPERLINK \l "_Toc31489" </w:instrText>
      </w:r>
      <w:r>
        <w:fldChar w:fldCharType="separate"/>
      </w:r>
      <w:r>
        <w:rPr>
          <w:rFonts w:hint="eastAsia"/>
          <w:b/>
          <w:bCs/>
        </w:rPr>
        <w:t>五、环境保护措施监督检查清单</w:t>
      </w:r>
      <w:r>
        <w:rPr>
          <w:b/>
          <w:bCs/>
        </w:rPr>
        <w:tab/>
      </w:r>
      <w:r>
        <w:rPr>
          <w:b/>
          <w:bCs/>
        </w:rPr>
        <w:fldChar w:fldCharType="begin"/>
      </w:r>
      <w:r>
        <w:rPr>
          <w:b/>
          <w:bCs/>
        </w:rPr>
        <w:instrText xml:space="preserve"> PAGEREF _Toc31489 \h </w:instrText>
      </w:r>
      <w:r>
        <w:rPr>
          <w:b/>
          <w:bCs/>
        </w:rPr>
        <w:fldChar w:fldCharType="separate"/>
      </w:r>
      <w:r>
        <w:rPr>
          <w:b/>
          <w:bCs/>
        </w:rPr>
        <w:t>81</w:t>
      </w:r>
      <w:r>
        <w:rPr>
          <w:b/>
          <w:bCs/>
        </w:rPr>
        <w:fldChar w:fldCharType="end"/>
      </w:r>
      <w:r>
        <w:rPr>
          <w:b/>
          <w:bCs/>
        </w:rPr>
        <w:fldChar w:fldCharType="end"/>
      </w:r>
    </w:p>
    <w:p w14:paraId="34ADD3FC">
      <w:pPr>
        <w:pStyle w:val="21"/>
        <w:tabs>
          <w:tab w:val="right" w:leader="dot" w:pos="8844"/>
        </w:tabs>
        <w:spacing w:line="480" w:lineRule="auto"/>
        <w:ind w:firstLine="482"/>
      </w:pPr>
      <w:r>
        <w:fldChar w:fldCharType="begin"/>
      </w:r>
      <w:r>
        <w:instrText xml:space="preserve"> HYPERLINK \l "_Toc16524" </w:instrText>
      </w:r>
      <w:r>
        <w:fldChar w:fldCharType="separate"/>
      </w:r>
      <w:r>
        <w:rPr>
          <w:rFonts w:hint="eastAsia"/>
          <w:b/>
          <w:bCs/>
        </w:rPr>
        <w:t>六、结论</w:t>
      </w:r>
      <w:r>
        <w:rPr>
          <w:b/>
          <w:bCs/>
        </w:rPr>
        <w:tab/>
      </w:r>
      <w:r>
        <w:rPr>
          <w:b/>
          <w:bCs/>
        </w:rPr>
        <w:fldChar w:fldCharType="begin"/>
      </w:r>
      <w:r>
        <w:rPr>
          <w:b/>
          <w:bCs/>
        </w:rPr>
        <w:instrText xml:space="preserve"> PAGEREF _Toc16524 \h </w:instrText>
      </w:r>
      <w:r>
        <w:rPr>
          <w:b/>
          <w:bCs/>
        </w:rPr>
        <w:fldChar w:fldCharType="separate"/>
      </w:r>
      <w:r>
        <w:rPr>
          <w:b/>
          <w:bCs/>
        </w:rPr>
        <w:t>87</w:t>
      </w:r>
      <w:r>
        <w:rPr>
          <w:b/>
          <w:bCs/>
        </w:rPr>
        <w:fldChar w:fldCharType="end"/>
      </w:r>
      <w:r>
        <w:rPr>
          <w:b/>
          <w:bCs/>
        </w:rPr>
        <w:fldChar w:fldCharType="end"/>
      </w:r>
    </w:p>
    <w:p w14:paraId="1F6B5BD8">
      <w:pPr>
        <w:pStyle w:val="21"/>
        <w:tabs>
          <w:tab w:val="right" w:leader="dot" w:pos="8844"/>
        </w:tabs>
        <w:ind w:firstLine="480"/>
      </w:pPr>
    </w:p>
    <w:p w14:paraId="0B6667AA">
      <w:pPr>
        <w:ind w:firstLine="0" w:firstLineChars="0"/>
        <w:rPr>
          <w:b/>
          <w:bCs/>
        </w:rPr>
      </w:pPr>
      <w:r>
        <w:fldChar w:fldCharType="end"/>
      </w:r>
      <w:r>
        <w:rPr>
          <w:rFonts w:hint="eastAsia"/>
          <w:b/>
          <w:bCs/>
        </w:rPr>
        <w:t>附件</w:t>
      </w:r>
    </w:p>
    <w:p w14:paraId="645DE844">
      <w:pPr>
        <w:ind w:firstLine="480"/>
      </w:pPr>
      <w:r>
        <w:rPr>
          <w:rFonts w:hint="eastAsia"/>
        </w:rPr>
        <w:t>附件1：委托书</w:t>
      </w:r>
    </w:p>
    <w:p w14:paraId="2CE2EB78">
      <w:pPr>
        <w:ind w:firstLine="480"/>
      </w:pPr>
      <w:r>
        <w:rPr>
          <w:rFonts w:hint="eastAsia"/>
        </w:rPr>
        <w:t>附件2：营业执照</w:t>
      </w:r>
    </w:p>
    <w:p w14:paraId="350F9E04">
      <w:pPr>
        <w:ind w:firstLine="480"/>
      </w:pPr>
      <w:r>
        <w:rPr>
          <w:rFonts w:hint="eastAsia"/>
        </w:rPr>
        <w:t>附件3：云南省固定资产投资项目备案证</w:t>
      </w:r>
    </w:p>
    <w:p w14:paraId="31BB234C">
      <w:pPr>
        <w:ind w:firstLine="480"/>
      </w:pPr>
      <w:r>
        <w:rPr>
          <w:rFonts w:hint="eastAsia"/>
        </w:rPr>
        <w:t>附件4：用地租赁合同</w:t>
      </w:r>
    </w:p>
    <w:p w14:paraId="4BF90CEC">
      <w:pPr>
        <w:ind w:firstLine="480"/>
      </w:pPr>
      <w:r>
        <w:rPr>
          <w:rFonts w:hint="eastAsia"/>
        </w:rPr>
        <w:t>附件5：关于寻甸熠峰建设工程有限公司搅拌站项目用地范围是否涉及永久基本农田的情况说明</w:t>
      </w:r>
    </w:p>
    <w:p w14:paraId="4CC6A680">
      <w:pPr>
        <w:tabs>
          <w:tab w:val="left" w:pos="7680"/>
        </w:tabs>
        <w:ind w:firstLine="480"/>
        <w:rPr>
          <w:rFonts w:hint="eastAsia"/>
        </w:rPr>
      </w:pPr>
      <w:r>
        <w:rPr>
          <w:rFonts w:hint="eastAsia"/>
        </w:rPr>
        <w:t>附件6：关于寻甸熠峰建设工程有限公司搅拌站项目用地范围是否涉及生态保护红线及城镇开发边界的情况说明</w:t>
      </w:r>
    </w:p>
    <w:p w14:paraId="3D2841A4">
      <w:pPr>
        <w:pStyle w:val="2"/>
        <w:rPr>
          <w:rFonts w:hint="default" w:eastAsia="宋体"/>
          <w:lang w:val="en-US" w:eastAsia="zh-CN"/>
        </w:rPr>
      </w:pPr>
      <w:r>
        <w:rPr>
          <w:rFonts w:hint="eastAsia"/>
          <w:lang w:val="en-US" w:eastAsia="zh-CN"/>
        </w:rPr>
        <w:t>附件7：寻甸自然资源局关于项目选址意见的情况说明</w:t>
      </w:r>
    </w:p>
    <w:p w14:paraId="0DDC8567">
      <w:pPr>
        <w:ind w:firstLine="480"/>
        <w:rPr>
          <w:rFonts w:hint="eastAsia"/>
        </w:rPr>
      </w:pPr>
      <w:r>
        <w:rPr>
          <w:rFonts w:hint="eastAsia"/>
        </w:rPr>
        <w:t>附件</w:t>
      </w:r>
      <w:r>
        <w:rPr>
          <w:rFonts w:hint="eastAsia"/>
          <w:lang w:val="en-US" w:eastAsia="zh-CN"/>
        </w:rPr>
        <w:t>8</w:t>
      </w:r>
      <w:r>
        <w:rPr>
          <w:rFonts w:hint="eastAsia"/>
        </w:rPr>
        <w:t>：寻甸县林业和草原局出具项目选址意见</w:t>
      </w:r>
    </w:p>
    <w:p w14:paraId="40F1A119">
      <w:pPr>
        <w:pStyle w:val="2"/>
        <w:rPr>
          <w:rFonts w:hint="eastAsia"/>
          <w:lang w:val="en-US" w:eastAsia="zh-CN"/>
        </w:rPr>
      </w:pPr>
      <w:r>
        <w:rPr>
          <w:rFonts w:hint="eastAsia"/>
          <w:lang w:val="en-US" w:eastAsia="zh-CN"/>
        </w:rPr>
        <w:t>附件9：寻甸水务局关于项目的选址意见</w:t>
      </w:r>
    </w:p>
    <w:p w14:paraId="3951F3F0">
      <w:pPr>
        <w:ind w:firstLine="480"/>
        <w:rPr>
          <w:rFonts w:hint="default" w:eastAsia="宋体"/>
          <w:lang w:val="en-US" w:eastAsia="zh-CN"/>
        </w:rPr>
      </w:pPr>
      <w:r>
        <w:rPr>
          <w:rFonts w:hint="eastAsia"/>
          <w:lang w:val="en-US" w:eastAsia="zh-CN"/>
        </w:rPr>
        <w:t>附件10：寻甸县人民政府关于同意仁德街道中桥、建设、道院社区“多规合一”实用性村庄规划（2021-2035年）修改成果的批复</w:t>
      </w:r>
    </w:p>
    <w:p w14:paraId="26FCA9B7">
      <w:pPr>
        <w:ind w:firstLine="480"/>
      </w:pPr>
      <w:r>
        <w:rPr>
          <w:rFonts w:hint="eastAsia"/>
        </w:rPr>
        <w:t>附件</w:t>
      </w:r>
      <w:r>
        <w:rPr>
          <w:rFonts w:hint="eastAsia"/>
          <w:lang w:val="en-US" w:eastAsia="zh-CN"/>
        </w:rPr>
        <w:t>11</w:t>
      </w:r>
      <w:r>
        <w:rPr>
          <w:rFonts w:hint="eastAsia"/>
        </w:rPr>
        <w:t>：生态环境分区管控查询结果</w:t>
      </w:r>
    </w:p>
    <w:p w14:paraId="321DE70D">
      <w:pPr>
        <w:ind w:firstLine="480"/>
      </w:pPr>
      <w:r>
        <w:rPr>
          <w:rFonts w:hint="eastAsia"/>
        </w:rPr>
        <w:t>附件1</w:t>
      </w:r>
      <w:r>
        <w:rPr>
          <w:rFonts w:hint="eastAsia"/>
          <w:lang w:val="en-US" w:eastAsia="zh-CN"/>
        </w:rPr>
        <w:t>2</w:t>
      </w:r>
      <w:r>
        <w:rPr>
          <w:rFonts w:hint="eastAsia"/>
        </w:rPr>
        <w:t>：项目现状监测报告</w:t>
      </w:r>
    </w:p>
    <w:p w14:paraId="1630EC2F">
      <w:pPr>
        <w:ind w:firstLine="480"/>
      </w:pPr>
      <w:r>
        <w:rPr>
          <w:rFonts w:hint="eastAsia"/>
        </w:rPr>
        <w:t>附件1</w:t>
      </w:r>
      <w:r>
        <w:rPr>
          <w:rFonts w:hint="eastAsia"/>
          <w:lang w:val="en-US" w:eastAsia="zh-CN"/>
        </w:rPr>
        <w:t>3</w:t>
      </w:r>
      <w:r>
        <w:rPr>
          <w:rFonts w:hint="eastAsia"/>
        </w:rPr>
        <w:t>：承诺书</w:t>
      </w:r>
    </w:p>
    <w:p w14:paraId="2C8DB03A">
      <w:pPr>
        <w:ind w:firstLine="480"/>
      </w:pPr>
      <w:r>
        <w:rPr>
          <w:rFonts w:hint="eastAsia"/>
        </w:rPr>
        <w:t>附件1</w:t>
      </w:r>
      <w:r>
        <w:rPr>
          <w:rFonts w:hint="eastAsia"/>
          <w:lang w:val="en-US" w:eastAsia="zh-CN"/>
        </w:rPr>
        <w:t>4</w:t>
      </w:r>
      <w:r>
        <w:rPr>
          <w:rFonts w:hint="eastAsia"/>
        </w:rPr>
        <w:t>：进度表</w:t>
      </w:r>
    </w:p>
    <w:p w14:paraId="22F46C63">
      <w:pPr>
        <w:ind w:firstLine="480"/>
      </w:pPr>
      <w:r>
        <w:rPr>
          <w:rFonts w:hint="eastAsia"/>
        </w:rPr>
        <w:t>附件1</w:t>
      </w:r>
      <w:r>
        <w:rPr>
          <w:rFonts w:hint="eastAsia"/>
          <w:lang w:val="en-US" w:eastAsia="zh-CN"/>
        </w:rPr>
        <w:t>5</w:t>
      </w:r>
      <w:r>
        <w:rPr>
          <w:rFonts w:hint="eastAsia"/>
        </w:rPr>
        <w:t>：内审表</w:t>
      </w:r>
    </w:p>
    <w:p w14:paraId="58EAD70F">
      <w:pPr>
        <w:ind w:firstLine="480"/>
      </w:pPr>
      <w:r>
        <w:rPr>
          <w:rFonts w:hint="eastAsia"/>
        </w:rPr>
        <w:t>附件</w:t>
      </w:r>
      <w:r>
        <w:rPr>
          <w:rFonts w:hint="eastAsia"/>
          <w:lang w:val="en-US" w:eastAsia="zh-CN"/>
        </w:rPr>
        <w:t>16</w:t>
      </w:r>
      <w:r>
        <w:rPr>
          <w:rFonts w:hint="eastAsia"/>
        </w:rPr>
        <w:t>：项目咨询合同</w:t>
      </w:r>
    </w:p>
    <w:p w14:paraId="5B90EF2E">
      <w:pPr>
        <w:ind w:firstLine="0" w:firstLineChars="0"/>
        <w:rPr>
          <w:b/>
          <w:bCs/>
        </w:rPr>
      </w:pPr>
      <w:r>
        <w:rPr>
          <w:rFonts w:hint="eastAsia"/>
          <w:b/>
          <w:bCs/>
        </w:rPr>
        <w:t>附图</w:t>
      </w:r>
    </w:p>
    <w:p w14:paraId="1BD740FD">
      <w:pPr>
        <w:ind w:firstLine="480"/>
      </w:pPr>
      <w:r>
        <w:rPr>
          <w:rFonts w:hint="eastAsia"/>
        </w:rPr>
        <w:t>附图1：项目地理位置图</w:t>
      </w:r>
    </w:p>
    <w:p w14:paraId="650104C5">
      <w:pPr>
        <w:ind w:firstLine="480"/>
      </w:pPr>
      <w:r>
        <w:rPr>
          <w:rFonts w:hint="eastAsia"/>
        </w:rPr>
        <w:t>附图2：总平面布置图</w:t>
      </w:r>
    </w:p>
    <w:p w14:paraId="19642DFB">
      <w:pPr>
        <w:ind w:firstLine="480"/>
      </w:pPr>
      <w:r>
        <w:rPr>
          <w:rFonts w:hint="eastAsia"/>
        </w:rPr>
        <w:t>附图3：周边关系图</w:t>
      </w:r>
    </w:p>
    <w:p w14:paraId="04C6B46D">
      <w:pPr>
        <w:ind w:firstLine="480"/>
      </w:pPr>
      <w:r>
        <w:rPr>
          <w:rFonts w:hint="eastAsia"/>
        </w:rPr>
        <w:t>附图4：项目区水系图</w:t>
      </w:r>
    </w:p>
    <w:p w14:paraId="58BE8F78">
      <w:pPr>
        <w:ind w:firstLine="480"/>
      </w:pPr>
      <w:r>
        <w:rPr>
          <w:rFonts w:hint="eastAsia"/>
        </w:rPr>
        <w:t>附图5：项目现状监测点位位置图</w:t>
      </w:r>
    </w:p>
    <w:p w14:paraId="579FA5AB">
      <w:pPr>
        <w:ind w:firstLine="480"/>
      </w:pPr>
      <w:r>
        <w:rPr>
          <w:rFonts w:hint="eastAsia"/>
        </w:rPr>
        <w:t>附图6：噪声评价范围图</w:t>
      </w:r>
    </w:p>
    <w:p w14:paraId="5440FBC3">
      <w:pPr>
        <w:pStyle w:val="2"/>
        <w:ind w:firstLine="480"/>
      </w:pPr>
      <w:r>
        <w:rPr>
          <w:rFonts w:hint="eastAsia"/>
        </w:rPr>
        <w:t>附图7：大气评价范围图</w:t>
      </w:r>
    </w:p>
    <w:p w14:paraId="58C6BEC9">
      <w:pPr>
        <w:ind w:firstLine="480"/>
      </w:pPr>
      <w:r>
        <w:rPr>
          <w:rFonts w:hint="eastAsia"/>
        </w:rPr>
        <w:t>附图8：项目与牛栏江水环境保护分区位置关系图</w:t>
      </w:r>
    </w:p>
    <w:p w14:paraId="36FCC3E1">
      <w:pPr>
        <w:ind w:firstLine="480"/>
      </w:pPr>
      <w:r>
        <w:rPr>
          <w:rFonts w:hint="eastAsia"/>
        </w:rPr>
        <w:t>附图9：项目在云南省环境管控单元分类图中的位置图</w:t>
      </w:r>
    </w:p>
    <w:p w14:paraId="3E6F0C17">
      <w:pPr>
        <w:ind w:firstLine="480"/>
        <w:sectPr>
          <w:footerReference r:id="rId7" w:type="default"/>
          <w:pgSz w:w="11906" w:h="16838"/>
          <w:pgMar w:top="1701" w:right="1531" w:bottom="1701" w:left="1531" w:header="851" w:footer="1077" w:gutter="0"/>
          <w:pgNumType w:fmt="upperRoman" w:start="1"/>
          <w:cols w:space="720" w:num="1"/>
          <w:docGrid w:linePitch="312" w:charSpace="0"/>
        </w:sectPr>
      </w:pPr>
      <w:r>
        <w:rPr>
          <w:rFonts w:hint="eastAsia"/>
        </w:rPr>
        <w:t>附图10：项目送审前公示截图</w:t>
      </w:r>
    </w:p>
    <w:p w14:paraId="4502D12E">
      <w:pPr>
        <w:pStyle w:val="22"/>
        <w:numPr>
          <w:ilvl w:val="0"/>
          <w:numId w:val="1"/>
        </w:numPr>
        <w:spacing w:line="240" w:lineRule="auto"/>
        <w:ind w:firstLine="0" w:firstLineChars="0"/>
        <w:jc w:val="center"/>
        <w:outlineLvl w:val="0"/>
        <w:rPr>
          <w:rFonts w:ascii="Times New Roman" w:hAnsi="Times New Roman" w:eastAsia="黑体"/>
          <w:snapToGrid w:val="0"/>
          <w:sz w:val="30"/>
          <w:szCs w:val="30"/>
        </w:rPr>
      </w:pPr>
      <w:bookmarkStart w:id="4" w:name="_Toc69399386"/>
      <w:bookmarkStart w:id="5" w:name="_Toc5899"/>
      <w:bookmarkStart w:id="6" w:name="_Toc29828"/>
      <w:r>
        <w:rPr>
          <w:rFonts w:hint="eastAsia" w:ascii="Times New Roman" w:hAnsi="Times New Roman" w:eastAsia="黑体"/>
          <w:snapToGrid w:val="0"/>
          <w:sz w:val="30"/>
          <w:szCs w:val="30"/>
        </w:rPr>
        <w:t>建设项目基本情况</w:t>
      </w:r>
      <w:bookmarkEnd w:id="4"/>
      <w:bookmarkEnd w:id="5"/>
      <w:bookmarkEnd w:id="6"/>
    </w:p>
    <w:tbl>
      <w:tblPr>
        <w:tblStyle w:val="26"/>
        <w:tblW w:w="883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895"/>
        <w:gridCol w:w="509"/>
        <w:gridCol w:w="2359"/>
        <w:gridCol w:w="1888"/>
        <w:gridCol w:w="3188"/>
      </w:tblGrid>
      <w:tr w14:paraId="1E1488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404" w:type="dxa"/>
            <w:gridSpan w:val="2"/>
            <w:tcMar>
              <w:top w:w="16" w:type="dxa"/>
              <w:left w:w="16" w:type="dxa"/>
              <w:right w:w="16" w:type="dxa"/>
            </w:tcMar>
            <w:vAlign w:val="center"/>
          </w:tcPr>
          <w:p w14:paraId="0E779EA5">
            <w:pPr>
              <w:adjustRightInd w:val="0"/>
              <w:snapToGrid w:val="0"/>
              <w:spacing w:line="276" w:lineRule="auto"/>
              <w:ind w:firstLine="0" w:firstLineChars="0"/>
              <w:jc w:val="center"/>
            </w:pPr>
            <w:r>
              <w:t>建设项目名称</w:t>
            </w:r>
          </w:p>
        </w:tc>
        <w:tc>
          <w:tcPr>
            <w:tcW w:w="7435" w:type="dxa"/>
            <w:gridSpan w:val="3"/>
            <w:vAlign w:val="center"/>
          </w:tcPr>
          <w:p w14:paraId="6080B5D2">
            <w:pPr>
              <w:adjustRightInd w:val="0"/>
              <w:snapToGrid w:val="0"/>
              <w:spacing w:line="276" w:lineRule="auto"/>
              <w:ind w:firstLine="0" w:firstLineChars="0"/>
              <w:jc w:val="center"/>
            </w:pPr>
            <w:r>
              <w:rPr>
                <w:rFonts w:hint="eastAsia"/>
              </w:rPr>
              <w:t>寻甸熠峰建设工程有限公司搅拌站项目</w:t>
            </w:r>
          </w:p>
        </w:tc>
      </w:tr>
      <w:tr w14:paraId="649518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404" w:type="dxa"/>
            <w:gridSpan w:val="2"/>
            <w:tcMar>
              <w:top w:w="16" w:type="dxa"/>
              <w:left w:w="16" w:type="dxa"/>
              <w:right w:w="16" w:type="dxa"/>
            </w:tcMar>
            <w:vAlign w:val="center"/>
          </w:tcPr>
          <w:p w14:paraId="4835494D">
            <w:pPr>
              <w:adjustRightInd w:val="0"/>
              <w:snapToGrid w:val="0"/>
              <w:spacing w:line="276" w:lineRule="auto"/>
              <w:ind w:firstLine="0" w:firstLineChars="0"/>
              <w:jc w:val="center"/>
            </w:pPr>
            <w:r>
              <w:t>项目代码</w:t>
            </w:r>
          </w:p>
        </w:tc>
        <w:tc>
          <w:tcPr>
            <w:tcW w:w="7435" w:type="dxa"/>
            <w:gridSpan w:val="3"/>
            <w:vAlign w:val="center"/>
          </w:tcPr>
          <w:p w14:paraId="0BD29455">
            <w:pPr>
              <w:adjustRightInd w:val="0"/>
              <w:snapToGrid w:val="0"/>
              <w:spacing w:line="276" w:lineRule="auto"/>
              <w:ind w:firstLine="0" w:firstLineChars="0"/>
              <w:jc w:val="center"/>
            </w:pPr>
            <w:r>
              <w:rPr>
                <w:rFonts w:hint="eastAsia"/>
              </w:rPr>
              <w:t>2603-530129-04-01-460331</w:t>
            </w:r>
          </w:p>
        </w:tc>
      </w:tr>
      <w:tr w14:paraId="0C60C3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404" w:type="dxa"/>
            <w:gridSpan w:val="2"/>
            <w:tcMar>
              <w:top w:w="16" w:type="dxa"/>
              <w:left w:w="16" w:type="dxa"/>
              <w:right w:w="16" w:type="dxa"/>
            </w:tcMar>
            <w:vAlign w:val="center"/>
          </w:tcPr>
          <w:p w14:paraId="2CF9A07A">
            <w:pPr>
              <w:adjustRightInd w:val="0"/>
              <w:snapToGrid w:val="0"/>
              <w:spacing w:line="276" w:lineRule="auto"/>
              <w:ind w:firstLine="0" w:firstLineChars="0"/>
              <w:jc w:val="center"/>
            </w:pPr>
            <w:r>
              <w:t>建设单位联系人</w:t>
            </w:r>
          </w:p>
        </w:tc>
        <w:tc>
          <w:tcPr>
            <w:tcW w:w="2359" w:type="dxa"/>
            <w:vAlign w:val="center"/>
          </w:tcPr>
          <w:p w14:paraId="545D11C2">
            <w:pPr>
              <w:adjustRightInd w:val="0"/>
              <w:snapToGrid w:val="0"/>
              <w:spacing w:line="276" w:lineRule="auto"/>
              <w:ind w:firstLine="0" w:firstLineChars="0"/>
              <w:jc w:val="center"/>
            </w:pPr>
          </w:p>
        </w:tc>
        <w:tc>
          <w:tcPr>
            <w:tcW w:w="1888" w:type="dxa"/>
            <w:vAlign w:val="center"/>
          </w:tcPr>
          <w:p w14:paraId="2AF44BCA">
            <w:pPr>
              <w:adjustRightInd w:val="0"/>
              <w:snapToGrid w:val="0"/>
              <w:spacing w:line="276" w:lineRule="auto"/>
              <w:ind w:firstLine="0" w:firstLineChars="0"/>
              <w:jc w:val="center"/>
            </w:pPr>
            <w:r>
              <w:t>联系方式</w:t>
            </w:r>
          </w:p>
        </w:tc>
        <w:tc>
          <w:tcPr>
            <w:tcW w:w="3188" w:type="dxa"/>
            <w:vAlign w:val="center"/>
          </w:tcPr>
          <w:p w14:paraId="7D1F9287">
            <w:pPr>
              <w:adjustRightInd w:val="0"/>
              <w:snapToGrid w:val="0"/>
              <w:spacing w:line="276" w:lineRule="auto"/>
              <w:ind w:firstLine="0" w:firstLineChars="0"/>
              <w:jc w:val="center"/>
            </w:pPr>
          </w:p>
        </w:tc>
      </w:tr>
      <w:tr w14:paraId="207FEB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404" w:type="dxa"/>
            <w:gridSpan w:val="2"/>
            <w:tcMar>
              <w:top w:w="16" w:type="dxa"/>
              <w:left w:w="16" w:type="dxa"/>
              <w:right w:w="16" w:type="dxa"/>
            </w:tcMar>
            <w:vAlign w:val="center"/>
          </w:tcPr>
          <w:p w14:paraId="48C1DE29">
            <w:pPr>
              <w:adjustRightInd w:val="0"/>
              <w:snapToGrid w:val="0"/>
              <w:spacing w:line="276" w:lineRule="auto"/>
              <w:ind w:firstLine="0" w:firstLineChars="0"/>
              <w:jc w:val="center"/>
            </w:pPr>
            <w:r>
              <w:t>建设地点</w:t>
            </w:r>
          </w:p>
        </w:tc>
        <w:tc>
          <w:tcPr>
            <w:tcW w:w="7435" w:type="dxa"/>
            <w:gridSpan w:val="3"/>
            <w:vAlign w:val="center"/>
          </w:tcPr>
          <w:p w14:paraId="153DDF18">
            <w:pPr>
              <w:adjustRightInd w:val="0"/>
              <w:snapToGrid w:val="0"/>
              <w:spacing w:line="276" w:lineRule="auto"/>
              <w:ind w:firstLine="0" w:firstLineChars="0"/>
              <w:jc w:val="center"/>
            </w:pPr>
            <w:r>
              <w:rPr>
                <w:rFonts w:hint="eastAsia"/>
              </w:rPr>
              <w:t>寻甸回族彝族自治县仁德街道中桥社区</w:t>
            </w:r>
          </w:p>
        </w:tc>
      </w:tr>
      <w:tr w14:paraId="6AC45D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404" w:type="dxa"/>
            <w:gridSpan w:val="2"/>
            <w:tcMar>
              <w:top w:w="16" w:type="dxa"/>
              <w:left w:w="16" w:type="dxa"/>
              <w:right w:w="16" w:type="dxa"/>
            </w:tcMar>
            <w:vAlign w:val="center"/>
          </w:tcPr>
          <w:p w14:paraId="58479B76">
            <w:pPr>
              <w:adjustRightInd w:val="0"/>
              <w:snapToGrid w:val="0"/>
              <w:spacing w:line="276" w:lineRule="auto"/>
              <w:ind w:firstLine="0" w:firstLineChars="0"/>
              <w:jc w:val="center"/>
            </w:pPr>
            <w:r>
              <w:t>地理坐标</w:t>
            </w:r>
          </w:p>
        </w:tc>
        <w:tc>
          <w:tcPr>
            <w:tcW w:w="7435" w:type="dxa"/>
            <w:gridSpan w:val="3"/>
            <w:vAlign w:val="center"/>
          </w:tcPr>
          <w:p w14:paraId="138D266F">
            <w:pPr>
              <w:spacing w:line="276" w:lineRule="auto"/>
              <w:ind w:firstLine="0" w:firstLineChars="0"/>
              <w:jc w:val="center"/>
            </w:pPr>
            <w:r>
              <w:t>（</w:t>
            </w:r>
            <w:r>
              <w:rPr>
                <w:rFonts w:hint="eastAsia"/>
                <w:u w:val="single"/>
              </w:rPr>
              <w:t>103</w:t>
            </w:r>
            <w:r>
              <w:t>度</w:t>
            </w:r>
            <w:r>
              <w:rPr>
                <w:rFonts w:hint="eastAsia"/>
                <w:u w:val="single"/>
              </w:rPr>
              <w:t>18</w:t>
            </w:r>
            <w:r>
              <w:t>分</w:t>
            </w:r>
            <w:r>
              <w:rPr>
                <w:rFonts w:hint="eastAsia"/>
                <w:u w:val="single"/>
              </w:rPr>
              <w:t>55.590</w:t>
            </w:r>
            <w:r>
              <w:t>秒，</w:t>
            </w:r>
            <w:r>
              <w:rPr>
                <w:rFonts w:hint="eastAsia"/>
                <w:u w:val="single"/>
              </w:rPr>
              <w:t>25</w:t>
            </w:r>
            <w:r>
              <w:t>度</w:t>
            </w:r>
            <w:r>
              <w:rPr>
                <w:rFonts w:hint="eastAsia"/>
                <w:u w:val="single"/>
              </w:rPr>
              <w:t>34</w:t>
            </w:r>
            <w:r>
              <w:t>分</w:t>
            </w:r>
            <w:r>
              <w:rPr>
                <w:rFonts w:hint="eastAsia"/>
                <w:u w:val="single"/>
              </w:rPr>
              <w:t>54.804</w:t>
            </w:r>
            <w:r>
              <w:t>秒）</w:t>
            </w:r>
          </w:p>
        </w:tc>
      </w:tr>
      <w:tr w14:paraId="7218A2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404" w:type="dxa"/>
            <w:gridSpan w:val="2"/>
            <w:tcMar>
              <w:top w:w="16" w:type="dxa"/>
              <w:left w:w="16" w:type="dxa"/>
              <w:right w:w="16" w:type="dxa"/>
            </w:tcMar>
            <w:vAlign w:val="center"/>
          </w:tcPr>
          <w:p w14:paraId="1EC5D762">
            <w:pPr>
              <w:adjustRightInd w:val="0"/>
              <w:snapToGrid w:val="0"/>
              <w:spacing w:line="276" w:lineRule="auto"/>
              <w:ind w:firstLine="0" w:firstLineChars="0"/>
              <w:jc w:val="center"/>
            </w:pPr>
            <w:r>
              <w:t>国民经济</w:t>
            </w:r>
          </w:p>
          <w:p w14:paraId="76C25DD6">
            <w:pPr>
              <w:adjustRightInd w:val="0"/>
              <w:snapToGrid w:val="0"/>
              <w:spacing w:line="276" w:lineRule="auto"/>
              <w:ind w:firstLine="0" w:firstLineChars="0"/>
              <w:jc w:val="center"/>
            </w:pPr>
            <w:r>
              <w:t>行业类别</w:t>
            </w:r>
          </w:p>
        </w:tc>
        <w:tc>
          <w:tcPr>
            <w:tcW w:w="2359" w:type="dxa"/>
            <w:vAlign w:val="center"/>
          </w:tcPr>
          <w:p w14:paraId="063D014A">
            <w:pPr>
              <w:adjustRightInd w:val="0"/>
              <w:snapToGrid w:val="0"/>
              <w:spacing w:line="276" w:lineRule="auto"/>
              <w:ind w:firstLine="0" w:firstLineChars="0"/>
              <w:jc w:val="center"/>
            </w:pPr>
            <w:r>
              <w:rPr>
                <w:rFonts w:hint="eastAsia"/>
              </w:rPr>
              <w:t>C3099其他非金属矿物制品制造</w:t>
            </w:r>
          </w:p>
        </w:tc>
        <w:tc>
          <w:tcPr>
            <w:tcW w:w="1888" w:type="dxa"/>
            <w:vAlign w:val="center"/>
          </w:tcPr>
          <w:p w14:paraId="3803C23C">
            <w:pPr>
              <w:adjustRightInd w:val="0"/>
              <w:snapToGrid w:val="0"/>
              <w:spacing w:line="276" w:lineRule="auto"/>
              <w:ind w:firstLine="0" w:firstLineChars="0"/>
              <w:jc w:val="center"/>
            </w:pPr>
            <w:bookmarkStart w:id="7" w:name="_Hlk49843745"/>
            <w:r>
              <w:t>建设项目</w:t>
            </w:r>
          </w:p>
          <w:p w14:paraId="5615F3B5">
            <w:pPr>
              <w:adjustRightInd w:val="0"/>
              <w:snapToGrid w:val="0"/>
              <w:spacing w:line="276" w:lineRule="auto"/>
              <w:ind w:firstLine="0" w:firstLineChars="0"/>
              <w:jc w:val="center"/>
            </w:pPr>
            <w:r>
              <w:t>行业类别</w:t>
            </w:r>
            <w:bookmarkEnd w:id="7"/>
          </w:p>
        </w:tc>
        <w:tc>
          <w:tcPr>
            <w:tcW w:w="3188" w:type="dxa"/>
            <w:vAlign w:val="center"/>
          </w:tcPr>
          <w:p w14:paraId="251F45F2">
            <w:pPr>
              <w:adjustRightInd w:val="0"/>
              <w:snapToGrid w:val="0"/>
              <w:spacing w:line="276" w:lineRule="auto"/>
              <w:ind w:firstLine="0" w:firstLineChars="0"/>
            </w:pPr>
            <w:r>
              <w:rPr>
                <w:rFonts w:hint="eastAsia"/>
              </w:rPr>
              <w:t>二十七、非金属矿物制品业</w:t>
            </w:r>
          </w:p>
          <w:p w14:paraId="369FA16B">
            <w:pPr>
              <w:adjustRightInd w:val="0"/>
              <w:snapToGrid w:val="0"/>
              <w:spacing w:line="276" w:lineRule="auto"/>
              <w:ind w:firstLine="0" w:firstLineChars="0"/>
            </w:pPr>
            <w:r>
              <w:rPr>
                <w:rFonts w:hint="eastAsia"/>
              </w:rPr>
              <w:t>60 石墨及其他非金属矿物制品制造309</w:t>
            </w:r>
          </w:p>
        </w:tc>
      </w:tr>
      <w:tr w14:paraId="7B7DC7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1404" w:type="dxa"/>
            <w:gridSpan w:val="2"/>
            <w:tcMar>
              <w:top w:w="16" w:type="dxa"/>
              <w:left w:w="16" w:type="dxa"/>
              <w:right w:w="16" w:type="dxa"/>
            </w:tcMar>
            <w:vAlign w:val="center"/>
          </w:tcPr>
          <w:p w14:paraId="164C0860">
            <w:pPr>
              <w:adjustRightInd w:val="0"/>
              <w:snapToGrid w:val="0"/>
              <w:spacing w:line="276" w:lineRule="auto"/>
              <w:ind w:firstLine="0" w:firstLineChars="0"/>
              <w:jc w:val="center"/>
            </w:pPr>
            <w:r>
              <w:t>建设性质</w:t>
            </w:r>
          </w:p>
        </w:tc>
        <w:tc>
          <w:tcPr>
            <w:tcW w:w="2359" w:type="dxa"/>
            <w:vAlign w:val="center"/>
          </w:tcPr>
          <w:p w14:paraId="3388C1AC">
            <w:pPr>
              <w:spacing w:line="276" w:lineRule="auto"/>
              <w:ind w:firstLine="0" w:firstLineChars="0"/>
              <w:jc w:val="left"/>
            </w:pPr>
            <w:r>
              <w:rPr/>
              <w:sym w:font="Wingdings 2" w:char="0052"/>
            </w:r>
            <w:r>
              <w:t>新建（迁建）</w:t>
            </w:r>
          </w:p>
          <w:p w14:paraId="76D37879">
            <w:pPr>
              <w:spacing w:line="276" w:lineRule="auto"/>
              <w:ind w:firstLine="0" w:firstLineChars="0"/>
              <w:jc w:val="left"/>
            </w:pPr>
            <w:r>
              <w:rPr/>
              <w:sym w:font="Wingdings 2" w:char="00A3"/>
            </w:r>
            <w:r>
              <w:t>改建</w:t>
            </w:r>
          </w:p>
          <w:p w14:paraId="0EE16A19">
            <w:pPr>
              <w:spacing w:line="276" w:lineRule="auto"/>
              <w:ind w:firstLine="0" w:firstLineChars="0"/>
              <w:jc w:val="left"/>
            </w:pPr>
            <w:r>
              <w:rPr/>
              <w:sym w:font="Wingdings 2" w:char="00A3"/>
            </w:r>
            <w:r>
              <w:t>扩建</w:t>
            </w:r>
          </w:p>
          <w:p w14:paraId="589FDC18">
            <w:pPr>
              <w:spacing w:line="276" w:lineRule="auto"/>
              <w:ind w:firstLine="0" w:firstLineChars="0"/>
              <w:jc w:val="left"/>
            </w:pPr>
            <w:r>
              <w:rPr/>
              <w:sym w:font="Wingdings 2" w:char="00A3"/>
            </w:r>
            <w:r>
              <w:t>技术改造</w:t>
            </w:r>
          </w:p>
        </w:tc>
        <w:tc>
          <w:tcPr>
            <w:tcW w:w="1888" w:type="dxa"/>
            <w:vAlign w:val="center"/>
          </w:tcPr>
          <w:p w14:paraId="4DD59501">
            <w:pPr>
              <w:adjustRightInd w:val="0"/>
              <w:snapToGrid w:val="0"/>
              <w:spacing w:line="276" w:lineRule="auto"/>
              <w:ind w:firstLine="0" w:firstLineChars="0"/>
              <w:jc w:val="center"/>
            </w:pPr>
            <w:r>
              <w:t>建设项目</w:t>
            </w:r>
          </w:p>
          <w:p w14:paraId="7F282C49">
            <w:pPr>
              <w:adjustRightInd w:val="0"/>
              <w:snapToGrid w:val="0"/>
              <w:spacing w:line="276" w:lineRule="auto"/>
              <w:ind w:firstLine="0" w:firstLineChars="0"/>
              <w:jc w:val="center"/>
            </w:pPr>
            <w:r>
              <w:t>申报情形</w:t>
            </w:r>
          </w:p>
        </w:tc>
        <w:tc>
          <w:tcPr>
            <w:tcW w:w="3188" w:type="dxa"/>
            <w:vAlign w:val="center"/>
          </w:tcPr>
          <w:p w14:paraId="3EA788BE">
            <w:pPr>
              <w:spacing w:line="276" w:lineRule="auto"/>
              <w:ind w:firstLine="0" w:firstLineChars="0"/>
              <w:jc w:val="left"/>
            </w:pPr>
            <w:r>
              <w:rPr/>
              <w:sym w:font="Wingdings 2" w:char="0052"/>
            </w:r>
            <w:r>
              <w:t xml:space="preserve">首次申报项目             </w:t>
            </w:r>
          </w:p>
          <w:p w14:paraId="67937915">
            <w:pPr>
              <w:spacing w:line="276" w:lineRule="auto"/>
              <w:ind w:firstLine="0" w:firstLineChars="0"/>
              <w:jc w:val="left"/>
            </w:pPr>
            <w:r>
              <w:rPr/>
              <w:sym w:font="Wingdings 2" w:char="00A3"/>
            </w:r>
            <w:r>
              <w:t>不予批准后再次申报项目</w:t>
            </w:r>
          </w:p>
          <w:p w14:paraId="2A4E3194">
            <w:pPr>
              <w:spacing w:line="276" w:lineRule="auto"/>
              <w:ind w:firstLine="0" w:firstLineChars="0"/>
              <w:jc w:val="left"/>
            </w:pPr>
            <w:r>
              <w:rPr/>
              <w:sym w:font="Wingdings 2" w:char="00A3"/>
            </w:r>
            <w:r>
              <w:t xml:space="preserve">超五年重新审核项目     </w:t>
            </w:r>
          </w:p>
          <w:p w14:paraId="79EE4E17">
            <w:pPr>
              <w:spacing w:line="276" w:lineRule="auto"/>
              <w:ind w:firstLine="0" w:firstLineChars="0"/>
              <w:jc w:val="left"/>
            </w:pPr>
            <w:r>
              <w:rPr/>
              <w:sym w:font="Wingdings 2" w:char="00A3"/>
            </w:r>
            <w:r>
              <w:t>重大变动重新报批项目</w:t>
            </w:r>
          </w:p>
        </w:tc>
      </w:tr>
      <w:tr w14:paraId="2E6C0F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1404" w:type="dxa"/>
            <w:gridSpan w:val="2"/>
            <w:tcMar>
              <w:top w:w="16" w:type="dxa"/>
              <w:left w:w="16" w:type="dxa"/>
              <w:right w:w="16" w:type="dxa"/>
            </w:tcMar>
            <w:vAlign w:val="center"/>
          </w:tcPr>
          <w:p w14:paraId="4A9BB53E">
            <w:pPr>
              <w:adjustRightInd w:val="0"/>
              <w:snapToGrid w:val="0"/>
              <w:spacing w:line="276" w:lineRule="auto"/>
              <w:ind w:firstLine="0" w:firstLineChars="0"/>
              <w:jc w:val="center"/>
            </w:pPr>
            <w:r>
              <w:t>项目审批（核准/备案）部门（选填）</w:t>
            </w:r>
          </w:p>
        </w:tc>
        <w:tc>
          <w:tcPr>
            <w:tcW w:w="2359" w:type="dxa"/>
            <w:vAlign w:val="center"/>
          </w:tcPr>
          <w:p w14:paraId="76B11217">
            <w:pPr>
              <w:adjustRightInd w:val="0"/>
              <w:snapToGrid w:val="0"/>
              <w:spacing w:line="276" w:lineRule="auto"/>
              <w:ind w:firstLine="0" w:firstLineChars="0"/>
              <w:jc w:val="center"/>
            </w:pPr>
            <w:r>
              <w:rPr>
                <w:rFonts w:hint="eastAsia"/>
              </w:rPr>
              <w:t>寻甸回族彝族自治县发展和改革局</w:t>
            </w:r>
          </w:p>
        </w:tc>
        <w:tc>
          <w:tcPr>
            <w:tcW w:w="1888" w:type="dxa"/>
            <w:vAlign w:val="center"/>
          </w:tcPr>
          <w:p w14:paraId="6EDC77D3">
            <w:pPr>
              <w:adjustRightInd w:val="0"/>
              <w:snapToGrid w:val="0"/>
              <w:spacing w:line="276" w:lineRule="auto"/>
              <w:ind w:firstLine="0" w:firstLineChars="0"/>
              <w:jc w:val="center"/>
            </w:pPr>
            <w:r>
              <w:t>项目审批（核准/</w:t>
            </w:r>
          </w:p>
          <w:p w14:paraId="74D11BDE">
            <w:pPr>
              <w:adjustRightInd w:val="0"/>
              <w:snapToGrid w:val="0"/>
              <w:spacing w:line="276" w:lineRule="auto"/>
              <w:ind w:firstLine="0" w:firstLineChars="0"/>
              <w:jc w:val="center"/>
            </w:pPr>
            <w:r>
              <w:t>备案）文号（选填）</w:t>
            </w:r>
          </w:p>
        </w:tc>
        <w:tc>
          <w:tcPr>
            <w:tcW w:w="3188" w:type="dxa"/>
            <w:vAlign w:val="center"/>
          </w:tcPr>
          <w:p w14:paraId="1AAA28A8">
            <w:pPr>
              <w:pStyle w:val="12"/>
              <w:ind w:firstLine="0" w:firstLineChars="0"/>
              <w:jc w:val="center"/>
              <w:rPr>
                <w:rFonts w:ascii="Times New Roman" w:hAnsi="Times New Roman"/>
              </w:rPr>
            </w:pPr>
            <w:r>
              <w:rPr>
                <w:rFonts w:hint="eastAsia" w:ascii="Times New Roman" w:hAnsi="Times New Roman"/>
              </w:rPr>
              <w:t>/</w:t>
            </w:r>
          </w:p>
        </w:tc>
      </w:tr>
      <w:tr w14:paraId="013F98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404" w:type="dxa"/>
            <w:gridSpan w:val="2"/>
            <w:tcMar>
              <w:top w:w="16" w:type="dxa"/>
              <w:left w:w="16" w:type="dxa"/>
              <w:right w:w="16" w:type="dxa"/>
            </w:tcMar>
            <w:vAlign w:val="center"/>
          </w:tcPr>
          <w:p w14:paraId="30764B6F">
            <w:pPr>
              <w:adjustRightInd w:val="0"/>
              <w:snapToGrid w:val="0"/>
              <w:spacing w:line="276" w:lineRule="auto"/>
              <w:ind w:firstLine="0" w:firstLineChars="0"/>
              <w:jc w:val="center"/>
            </w:pPr>
            <w:r>
              <w:t>总投资（万元）</w:t>
            </w:r>
          </w:p>
        </w:tc>
        <w:tc>
          <w:tcPr>
            <w:tcW w:w="2359" w:type="dxa"/>
            <w:vAlign w:val="center"/>
          </w:tcPr>
          <w:p w14:paraId="13BD96EC">
            <w:pPr>
              <w:adjustRightInd w:val="0"/>
              <w:snapToGrid w:val="0"/>
              <w:spacing w:line="276" w:lineRule="auto"/>
              <w:ind w:firstLine="0" w:firstLineChars="0"/>
              <w:jc w:val="center"/>
            </w:pPr>
            <w:r>
              <w:rPr>
                <w:rFonts w:hint="eastAsia"/>
              </w:rPr>
              <w:t>1500</w:t>
            </w:r>
          </w:p>
        </w:tc>
        <w:tc>
          <w:tcPr>
            <w:tcW w:w="1888" w:type="dxa"/>
            <w:tcMar>
              <w:top w:w="16" w:type="dxa"/>
              <w:left w:w="16" w:type="dxa"/>
              <w:right w:w="16" w:type="dxa"/>
            </w:tcMar>
            <w:vAlign w:val="center"/>
          </w:tcPr>
          <w:p w14:paraId="28687473">
            <w:pPr>
              <w:adjustRightInd w:val="0"/>
              <w:snapToGrid w:val="0"/>
              <w:spacing w:line="276" w:lineRule="auto"/>
              <w:ind w:firstLine="0" w:firstLineChars="0"/>
              <w:jc w:val="center"/>
            </w:pPr>
            <w:r>
              <w:t>环保投资（万元）</w:t>
            </w:r>
          </w:p>
        </w:tc>
        <w:tc>
          <w:tcPr>
            <w:tcW w:w="3188" w:type="dxa"/>
            <w:vAlign w:val="center"/>
          </w:tcPr>
          <w:p w14:paraId="0778883D">
            <w:pPr>
              <w:adjustRightInd w:val="0"/>
              <w:snapToGrid w:val="0"/>
              <w:spacing w:line="276" w:lineRule="auto"/>
              <w:ind w:firstLine="0" w:firstLineChars="0"/>
              <w:jc w:val="center"/>
            </w:pPr>
            <w:r>
              <w:rPr>
                <w:rFonts w:hint="eastAsia"/>
              </w:rPr>
              <w:t>96.9</w:t>
            </w:r>
          </w:p>
        </w:tc>
      </w:tr>
      <w:tr w14:paraId="7708E8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404" w:type="dxa"/>
            <w:gridSpan w:val="2"/>
            <w:tcMar>
              <w:top w:w="16" w:type="dxa"/>
              <w:left w:w="16" w:type="dxa"/>
              <w:right w:w="16" w:type="dxa"/>
            </w:tcMar>
            <w:vAlign w:val="center"/>
          </w:tcPr>
          <w:p w14:paraId="77E90933">
            <w:pPr>
              <w:adjustRightInd w:val="0"/>
              <w:snapToGrid w:val="0"/>
              <w:spacing w:line="276" w:lineRule="auto"/>
              <w:ind w:firstLine="0" w:firstLineChars="0"/>
              <w:jc w:val="center"/>
            </w:pPr>
            <w:r>
              <w:t>环保投资占比（%）</w:t>
            </w:r>
          </w:p>
        </w:tc>
        <w:tc>
          <w:tcPr>
            <w:tcW w:w="2359" w:type="dxa"/>
            <w:vAlign w:val="center"/>
          </w:tcPr>
          <w:p w14:paraId="348BBE53">
            <w:pPr>
              <w:adjustRightInd w:val="0"/>
              <w:snapToGrid w:val="0"/>
              <w:spacing w:line="276" w:lineRule="auto"/>
              <w:ind w:firstLine="0" w:firstLineChars="0"/>
              <w:jc w:val="center"/>
            </w:pPr>
            <w:r>
              <w:rPr>
                <w:rFonts w:hint="eastAsia"/>
              </w:rPr>
              <w:t>6.5%</w:t>
            </w:r>
          </w:p>
        </w:tc>
        <w:tc>
          <w:tcPr>
            <w:tcW w:w="1888" w:type="dxa"/>
            <w:tcMar>
              <w:top w:w="16" w:type="dxa"/>
              <w:left w:w="16" w:type="dxa"/>
              <w:right w:w="16" w:type="dxa"/>
            </w:tcMar>
            <w:vAlign w:val="center"/>
          </w:tcPr>
          <w:p w14:paraId="4C821E8C">
            <w:pPr>
              <w:adjustRightInd w:val="0"/>
              <w:snapToGrid w:val="0"/>
              <w:spacing w:line="276" w:lineRule="auto"/>
              <w:ind w:firstLine="0" w:firstLineChars="0"/>
              <w:jc w:val="center"/>
            </w:pPr>
            <w:r>
              <w:t>施工工期</w:t>
            </w:r>
          </w:p>
        </w:tc>
        <w:tc>
          <w:tcPr>
            <w:tcW w:w="3188" w:type="dxa"/>
            <w:vAlign w:val="center"/>
          </w:tcPr>
          <w:p w14:paraId="6C40776F">
            <w:pPr>
              <w:adjustRightInd w:val="0"/>
              <w:snapToGrid w:val="0"/>
              <w:spacing w:line="276" w:lineRule="auto"/>
              <w:ind w:firstLine="0" w:firstLineChars="0"/>
              <w:jc w:val="center"/>
            </w:pPr>
            <w:r>
              <w:rPr>
                <w:rFonts w:hint="eastAsia"/>
              </w:rPr>
              <w:t>3个月</w:t>
            </w:r>
          </w:p>
        </w:tc>
      </w:tr>
      <w:tr w14:paraId="1F512B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404" w:type="dxa"/>
            <w:gridSpan w:val="2"/>
            <w:tcMar>
              <w:top w:w="16" w:type="dxa"/>
              <w:left w:w="16" w:type="dxa"/>
              <w:right w:w="16" w:type="dxa"/>
            </w:tcMar>
            <w:vAlign w:val="center"/>
          </w:tcPr>
          <w:p w14:paraId="0E208388">
            <w:pPr>
              <w:adjustRightInd w:val="0"/>
              <w:snapToGrid w:val="0"/>
              <w:spacing w:line="276" w:lineRule="auto"/>
              <w:ind w:firstLine="0" w:firstLineChars="0"/>
              <w:jc w:val="center"/>
            </w:pPr>
            <w:r>
              <w:t>是否开工建设</w:t>
            </w:r>
          </w:p>
        </w:tc>
        <w:tc>
          <w:tcPr>
            <w:tcW w:w="2359" w:type="dxa"/>
            <w:vAlign w:val="center"/>
          </w:tcPr>
          <w:p w14:paraId="73C51244">
            <w:pPr>
              <w:adjustRightInd w:val="0"/>
              <w:snapToGrid w:val="0"/>
              <w:spacing w:line="276" w:lineRule="auto"/>
              <w:ind w:firstLine="0" w:firstLineChars="0"/>
            </w:pPr>
            <w:r>
              <w:rPr/>
              <w:sym w:font="Wingdings 2" w:char="0052"/>
            </w:r>
            <w:r>
              <w:t>否</w:t>
            </w:r>
          </w:p>
          <w:p w14:paraId="6171326B">
            <w:pPr>
              <w:adjustRightInd w:val="0"/>
              <w:snapToGrid w:val="0"/>
              <w:spacing w:line="276" w:lineRule="auto"/>
              <w:ind w:firstLine="0" w:firstLineChars="0"/>
            </w:pPr>
            <w:r>
              <w:rPr/>
              <w:sym w:font="Wingdings 2" w:char="00A3"/>
            </w:r>
            <w:r>
              <w:t>是：</w:t>
            </w:r>
          </w:p>
        </w:tc>
        <w:tc>
          <w:tcPr>
            <w:tcW w:w="1888" w:type="dxa"/>
            <w:tcMar>
              <w:top w:w="16" w:type="dxa"/>
              <w:left w:w="16" w:type="dxa"/>
              <w:right w:w="16" w:type="dxa"/>
            </w:tcMar>
            <w:vAlign w:val="center"/>
          </w:tcPr>
          <w:p w14:paraId="25798113">
            <w:pPr>
              <w:adjustRightInd w:val="0"/>
              <w:snapToGrid w:val="0"/>
              <w:spacing w:line="276" w:lineRule="auto"/>
              <w:ind w:firstLine="0" w:firstLineChars="0"/>
              <w:jc w:val="center"/>
              <w:rPr>
                <w:spacing w:val="-6"/>
              </w:rPr>
            </w:pPr>
            <w:r>
              <w:rPr>
                <w:spacing w:val="-6"/>
              </w:rPr>
              <w:t>用地（用海）</w:t>
            </w:r>
          </w:p>
          <w:p w14:paraId="77B2012E">
            <w:pPr>
              <w:adjustRightInd w:val="0"/>
              <w:snapToGrid w:val="0"/>
              <w:spacing w:line="276" w:lineRule="auto"/>
              <w:ind w:firstLine="0" w:firstLineChars="0"/>
              <w:jc w:val="center"/>
            </w:pPr>
            <w:r>
              <w:rPr>
                <w:spacing w:val="-6"/>
              </w:rPr>
              <w:t>面积（m</w:t>
            </w:r>
            <w:r>
              <w:rPr>
                <w:spacing w:val="-6"/>
                <w:vertAlign w:val="superscript"/>
              </w:rPr>
              <w:t>2</w:t>
            </w:r>
            <w:r>
              <w:rPr>
                <w:spacing w:val="-6"/>
              </w:rPr>
              <w:t>）</w:t>
            </w:r>
          </w:p>
        </w:tc>
        <w:tc>
          <w:tcPr>
            <w:tcW w:w="3188" w:type="dxa"/>
            <w:vAlign w:val="center"/>
          </w:tcPr>
          <w:p w14:paraId="71E1C50E">
            <w:pPr>
              <w:adjustRightInd w:val="0"/>
              <w:snapToGrid w:val="0"/>
              <w:spacing w:line="276" w:lineRule="auto"/>
              <w:ind w:firstLine="0" w:firstLineChars="0"/>
              <w:jc w:val="center"/>
            </w:pPr>
            <w:r>
              <w:rPr>
                <w:rFonts w:hint="eastAsia"/>
              </w:rPr>
              <w:t>4348m</w:t>
            </w:r>
            <w:r>
              <w:rPr>
                <w:rFonts w:hint="eastAsia"/>
                <w:vertAlign w:val="superscript"/>
              </w:rPr>
              <w:t>2</w:t>
            </w:r>
          </w:p>
        </w:tc>
      </w:tr>
      <w:tr w14:paraId="0FC367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895" w:type="dxa"/>
            <w:vAlign w:val="center"/>
          </w:tcPr>
          <w:p w14:paraId="782E1019">
            <w:pPr>
              <w:autoSpaceDE w:val="0"/>
              <w:autoSpaceDN w:val="0"/>
              <w:adjustRightInd w:val="0"/>
              <w:snapToGrid w:val="0"/>
              <w:spacing w:line="240" w:lineRule="auto"/>
              <w:ind w:firstLine="0" w:firstLineChars="0"/>
              <w:jc w:val="center"/>
              <w:rPr>
                <w:kern w:val="0"/>
              </w:rPr>
            </w:pPr>
            <w:r>
              <w:t>专项评价设置情况</w:t>
            </w:r>
          </w:p>
        </w:tc>
        <w:tc>
          <w:tcPr>
            <w:tcW w:w="7944" w:type="dxa"/>
            <w:gridSpan w:val="4"/>
            <w:vAlign w:val="center"/>
          </w:tcPr>
          <w:p w14:paraId="167C9491">
            <w:pPr>
              <w:ind w:firstLine="480"/>
            </w:pPr>
            <w:r>
              <w:rPr>
                <w:rFonts w:hint="eastAsia"/>
              </w:rPr>
              <w:t>项目专项评价判定情况如下表所示。</w:t>
            </w:r>
          </w:p>
          <w:p w14:paraId="41AD71E3">
            <w:pPr>
              <w:ind w:firstLine="0" w:firstLineChars="0"/>
              <w:jc w:val="center"/>
              <w:rPr>
                <w:b/>
                <w:bCs/>
                <w:sz w:val="21"/>
                <w:szCs w:val="21"/>
              </w:rPr>
            </w:pPr>
            <w:r>
              <w:rPr>
                <w:rFonts w:hint="eastAsia"/>
                <w:b/>
                <w:bCs/>
                <w:sz w:val="21"/>
                <w:szCs w:val="21"/>
              </w:rPr>
              <w:t>表1-1  项目专项评价判定表</w:t>
            </w:r>
          </w:p>
          <w:tbl>
            <w:tblPr>
              <w:tblStyle w:val="2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
              <w:gridCol w:w="2664"/>
              <w:gridCol w:w="2970"/>
              <w:gridCol w:w="1177"/>
            </w:tblGrid>
            <w:tr w14:paraId="7DF32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pct"/>
                  <w:vAlign w:val="center"/>
                </w:tcPr>
                <w:p w14:paraId="4A7D63C6">
                  <w:pPr>
                    <w:tabs>
                      <w:tab w:val="left" w:pos="5327"/>
                      <w:tab w:val="left" w:pos="6326"/>
                      <w:tab w:val="left" w:pos="7230"/>
                      <w:tab w:val="left" w:pos="9301"/>
                    </w:tabs>
                    <w:spacing w:line="240" w:lineRule="auto"/>
                    <w:ind w:firstLine="0" w:firstLineChars="0"/>
                    <w:jc w:val="center"/>
                    <w:rPr>
                      <w:b/>
                      <w:bCs/>
                      <w:sz w:val="21"/>
                      <w:szCs w:val="21"/>
                    </w:rPr>
                  </w:pPr>
                  <w:r>
                    <w:rPr>
                      <w:rFonts w:hint="eastAsia"/>
                      <w:b/>
                      <w:bCs/>
                      <w:sz w:val="21"/>
                      <w:szCs w:val="21"/>
                    </w:rPr>
                    <w:t>专项评价类比</w:t>
                  </w:r>
                </w:p>
              </w:tc>
              <w:tc>
                <w:tcPr>
                  <w:tcW w:w="1727" w:type="pct"/>
                  <w:vAlign w:val="center"/>
                </w:tcPr>
                <w:p w14:paraId="1CFC8D06">
                  <w:pPr>
                    <w:tabs>
                      <w:tab w:val="left" w:pos="5327"/>
                      <w:tab w:val="left" w:pos="6326"/>
                      <w:tab w:val="left" w:pos="7230"/>
                      <w:tab w:val="left" w:pos="9301"/>
                    </w:tabs>
                    <w:spacing w:line="240" w:lineRule="auto"/>
                    <w:ind w:firstLine="0" w:firstLineChars="0"/>
                    <w:jc w:val="center"/>
                    <w:rPr>
                      <w:b/>
                      <w:bCs/>
                      <w:sz w:val="21"/>
                      <w:szCs w:val="21"/>
                    </w:rPr>
                  </w:pPr>
                  <w:r>
                    <w:rPr>
                      <w:rFonts w:hint="eastAsia"/>
                      <w:b/>
                      <w:bCs/>
                      <w:sz w:val="21"/>
                      <w:szCs w:val="21"/>
                    </w:rPr>
                    <w:t>设置原则</w:t>
                  </w:r>
                </w:p>
              </w:tc>
              <w:tc>
                <w:tcPr>
                  <w:tcW w:w="1925" w:type="pct"/>
                  <w:vAlign w:val="center"/>
                </w:tcPr>
                <w:p w14:paraId="4467AFA2">
                  <w:pPr>
                    <w:tabs>
                      <w:tab w:val="left" w:pos="5327"/>
                      <w:tab w:val="left" w:pos="6326"/>
                      <w:tab w:val="left" w:pos="7230"/>
                      <w:tab w:val="left" w:pos="9301"/>
                    </w:tabs>
                    <w:spacing w:line="240" w:lineRule="auto"/>
                    <w:ind w:firstLine="0" w:firstLineChars="0"/>
                    <w:jc w:val="center"/>
                    <w:rPr>
                      <w:b/>
                      <w:bCs/>
                      <w:sz w:val="21"/>
                      <w:szCs w:val="21"/>
                    </w:rPr>
                  </w:pPr>
                  <w:r>
                    <w:rPr>
                      <w:rFonts w:hint="eastAsia"/>
                      <w:b/>
                      <w:bCs/>
                      <w:sz w:val="21"/>
                      <w:szCs w:val="21"/>
                    </w:rPr>
                    <w:t>本项目情况</w:t>
                  </w:r>
                </w:p>
              </w:tc>
              <w:tc>
                <w:tcPr>
                  <w:tcW w:w="761" w:type="pct"/>
                  <w:vAlign w:val="center"/>
                </w:tcPr>
                <w:p w14:paraId="14124D1B">
                  <w:pPr>
                    <w:tabs>
                      <w:tab w:val="left" w:pos="5327"/>
                      <w:tab w:val="left" w:pos="6326"/>
                      <w:tab w:val="left" w:pos="7230"/>
                      <w:tab w:val="left" w:pos="9301"/>
                    </w:tabs>
                    <w:spacing w:line="240" w:lineRule="auto"/>
                    <w:ind w:firstLine="0" w:firstLineChars="0"/>
                    <w:jc w:val="center"/>
                    <w:rPr>
                      <w:b/>
                      <w:bCs/>
                      <w:sz w:val="21"/>
                      <w:szCs w:val="21"/>
                    </w:rPr>
                  </w:pPr>
                  <w:r>
                    <w:rPr>
                      <w:rFonts w:hint="eastAsia"/>
                      <w:b/>
                      <w:bCs/>
                      <w:sz w:val="21"/>
                      <w:szCs w:val="21"/>
                    </w:rPr>
                    <w:t>是否设置专项评价</w:t>
                  </w:r>
                </w:p>
              </w:tc>
            </w:tr>
            <w:tr w14:paraId="0A882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pct"/>
                  <w:vAlign w:val="center"/>
                </w:tcPr>
                <w:p w14:paraId="35D2F49B">
                  <w:pPr>
                    <w:spacing w:line="240" w:lineRule="auto"/>
                    <w:ind w:firstLine="0" w:firstLineChars="0"/>
                    <w:jc w:val="center"/>
                    <w:rPr>
                      <w:sz w:val="21"/>
                      <w:szCs w:val="21"/>
                    </w:rPr>
                  </w:pPr>
                  <w:r>
                    <w:rPr>
                      <w:rFonts w:hint="eastAsia"/>
                      <w:sz w:val="21"/>
                      <w:szCs w:val="21"/>
                    </w:rPr>
                    <w:t>大气</w:t>
                  </w:r>
                </w:p>
              </w:tc>
              <w:tc>
                <w:tcPr>
                  <w:tcW w:w="1727" w:type="pct"/>
                  <w:vAlign w:val="center"/>
                </w:tcPr>
                <w:p w14:paraId="3CADF01F">
                  <w:pPr>
                    <w:spacing w:line="240" w:lineRule="auto"/>
                    <w:ind w:firstLine="0" w:firstLineChars="0"/>
                    <w:jc w:val="center"/>
                    <w:rPr>
                      <w:sz w:val="21"/>
                      <w:szCs w:val="21"/>
                    </w:rPr>
                  </w:pPr>
                  <w:r>
                    <w:rPr>
                      <w:rFonts w:hint="eastAsia"/>
                      <w:sz w:val="21"/>
                      <w:szCs w:val="21"/>
                    </w:rPr>
                    <w:t>排放废气含有毒有害污染物</w:t>
                  </w:r>
                  <w:r>
                    <w:rPr>
                      <w:rFonts w:hint="eastAsia"/>
                      <w:sz w:val="21"/>
                      <w:szCs w:val="21"/>
                      <w:vertAlign w:val="superscript"/>
                    </w:rPr>
                    <w:t>1</w:t>
                  </w:r>
                  <w:r>
                    <w:rPr>
                      <w:rFonts w:hint="eastAsia"/>
                      <w:sz w:val="21"/>
                      <w:szCs w:val="21"/>
                    </w:rPr>
                    <w:t>、二噁英、苯并[a]芘、氰化物、氯气且厂界500m范围内有环境空气保护目标</w:t>
                  </w:r>
                  <w:r>
                    <w:rPr>
                      <w:rFonts w:hint="eastAsia"/>
                      <w:sz w:val="21"/>
                      <w:szCs w:val="21"/>
                      <w:vertAlign w:val="superscript"/>
                    </w:rPr>
                    <w:t>2</w:t>
                  </w:r>
                  <w:r>
                    <w:rPr>
                      <w:rFonts w:hint="eastAsia"/>
                      <w:sz w:val="21"/>
                      <w:szCs w:val="21"/>
                    </w:rPr>
                    <w:t>的建设项目。</w:t>
                  </w:r>
                </w:p>
              </w:tc>
              <w:tc>
                <w:tcPr>
                  <w:tcW w:w="1925" w:type="pct"/>
                  <w:vAlign w:val="center"/>
                </w:tcPr>
                <w:p w14:paraId="4BD43F21">
                  <w:pPr>
                    <w:spacing w:line="240" w:lineRule="auto"/>
                    <w:ind w:firstLine="0" w:firstLineChars="0"/>
                    <w:jc w:val="center"/>
                    <w:rPr>
                      <w:sz w:val="21"/>
                      <w:szCs w:val="21"/>
                    </w:rPr>
                  </w:pPr>
                  <w:r>
                    <w:rPr>
                      <w:rFonts w:hint="eastAsia"/>
                      <w:sz w:val="21"/>
                      <w:szCs w:val="21"/>
                    </w:rPr>
                    <w:t>项目排放废气主要为颗粒物、SO</w:t>
                  </w:r>
                  <w:r>
                    <w:rPr>
                      <w:rFonts w:hint="eastAsia"/>
                      <w:sz w:val="21"/>
                      <w:szCs w:val="21"/>
                      <w:vertAlign w:val="subscript"/>
                    </w:rPr>
                    <w:t>2</w:t>
                  </w:r>
                  <w:r>
                    <w:rPr>
                      <w:rFonts w:hint="eastAsia"/>
                      <w:sz w:val="21"/>
                      <w:szCs w:val="21"/>
                    </w:rPr>
                    <w:t>、NOx、非甲烷总烃、</w:t>
                  </w:r>
                  <w:r>
                    <w:rPr>
                      <w:rFonts w:hint="eastAsia" w:cs="宋体"/>
                      <w:sz w:val="21"/>
                      <w:szCs w:val="21"/>
                    </w:rPr>
                    <w:t>苯并[a]芘、沥青烟</w:t>
                  </w:r>
                  <w:r>
                    <w:rPr>
                      <w:rFonts w:hint="eastAsia"/>
                      <w:sz w:val="21"/>
                      <w:szCs w:val="21"/>
                    </w:rPr>
                    <w:t>等，其中</w:t>
                  </w:r>
                  <w:r>
                    <w:rPr>
                      <w:rFonts w:hint="eastAsia" w:cs="宋体"/>
                      <w:sz w:val="21"/>
                      <w:szCs w:val="21"/>
                    </w:rPr>
                    <w:t>苯并[a]芘</w:t>
                  </w:r>
                  <w:r>
                    <w:rPr>
                      <w:rFonts w:hint="eastAsia"/>
                      <w:sz w:val="21"/>
                      <w:szCs w:val="21"/>
                    </w:rPr>
                    <w:t>为有毒有害污染物。项目500m范围内有小法古村等大气环境敏感目标，故本项目需要设置大气专项评价。</w:t>
                  </w:r>
                </w:p>
              </w:tc>
              <w:tc>
                <w:tcPr>
                  <w:tcW w:w="761" w:type="pct"/>
                  <w:vAlign w:val="center"/>
                </w:tcPr>
                <w:p w14:paraId="25BA2ECB">
                  <w:pPr>
                    <w:spacing w:line="240" w:lineRule="auto"/>
                    <w:ind w:firstLine="0" w:firstLineChars="0"/>
                    <w:jc w:val="center"/>
                    <w:rPr>
                      <w:sz w:val="21"/>
                      <w:szCs w:val="21"/>
                    </w:rPr>
                  </w:pPr>
                  <w:r>
                    <w:rPr>
                      <w:rFonts w:hint="eastAsia"/>
                      <w:sz w:val="21"/>
                      <w:szCs w:val="21"/>
                    </w:rPr>
                    <w:t>是</w:t>
                  </w:r>
                </w:p>
              </w:tc>
            </w:tr>
            <w:tr w14:paraId="17E4F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pct"/>
                  <w:vAlign w:val="center"/>
                </w:tcPr>
                <w:p w14:paraId="195E78CD">
                  <w:pPr>
                    <w:tabs>
                      <w:tab w:val="left" w:pos="5327"/>
                      <w:tab w:val="left" w:pos="6326"/>
                      <w:tab w:val="left" w:pos="7230"/>
                      <w:tab w:val="left" w:pos="9301"/>
                    </w:tabs>
                    <w:spacing w:line="240" w:lineRule="auto"/>
                    <w:ind w:firstLine="0" w:firstLineChars="0"/>
                    <w:jc w:val="center"/>
                    <w:rPr>
                      <w:sz w:val="21"/>
                      <w:szCs w:val="21"/>
                    </w:rPr>
                  </w:pPr>
                  <w:r>
                    <w:rPr>
                      <w:rFonts w:hint="eastAsia"/>
                      <w:sz w:val="21"/>
                      <w:szCs w:val="21"/>
                    </w:rPr>
                    <w:t>地表水</w:t>
                  </w:r>
                </w:p>
              </w:tc>
              <w:tc>
                <w:tcPr>
                  <w:tcW w:w="1727" w:type="pct"/>
                  <w:vAlign w:val="center"/>
                </w:tcPr>
                <w:p w14:paraId="301BA9D7">
                  <w:pPr>
                    <w:tabs>
                      <w:tab w:val="left" w:pos="5327"/>
                      <w:tab w:val="left" w:pos="6326"/>
                      <w:tab w:val="left" w:pos="7230"/>
                      <w:tab w:val="left" w:pos="9301"/>
                    </w:tabs>
                    <w:spacing w:line="240" w:lineRule="auto"/>
                    <w:ind w:firstLine="0" w:firstLineChars="0"/>
                    <w:jc w:val="center"/>
                    <w:rPr>
                      <w:sz w:val="21"/>
                      <w:szCs w:val="21"/>
                    </w:rPr>
                  </w:pPr>
                  <w:r>
                    <w:rPr>
                      <w:rFonts w:hint="eastAsia"/>
                      <w:sz w:val="21"/>
                      <w:szCs w:val="21"/>
                    </w:rPr>
                    <w:t>新增工业废水直排建设项目（槽罐车外送污水处理厂的除外）；新增废水直排的污水集中处理厂。</w:t>
                  </w:r>
                </w:p>
              </w:tc>
              <w:tc>
                <w:tcPr>
                  <w:tcW w:w="1925" w:type="pct"/>
                  <w:vAlign w:val="center"/>
                </w:tcPr>
                <w:p w14:paraId="3A94772D">
                  <w:pPr>
                    <w:spacing w:line="240" w:lineRule="auto"/>
                    <w:ind w:firstLine="0" w:firstLineChars="0"/>
                    <w:jc w:val="center"/>
                    <w:rPr>
                      <w:sz w:val="21"/>
                      <w:szCs w:val="21"/>
                    </w:rPr>
                  </w:pPr>
                  <w:r>
                    <w:rPr>
                      <w:rFonts w:hint="eastAsia"/>
                      <w:sz w:val="21"/>
                      <w:szCs w:val="21"/>
                    </w:rPr>
                    <w:t>本项目实施雨污分流排水体制，初期雨水收集沉淀回用。车轮清洗废水循环使用不外排，食堂含油废水经油水分离器预处理后与其他办公生活污水一并进入化粪池、一体化污水处理设备处理后回用于项目绿化和降尘，不外排。因此项目不设置地表水专项评价。</w:t>
                  </w:r>
                </w:p>
              </w:tc>
              <w:tc>
                <w:tcPr>
                  <w:tcW w:w="761" w:type="pct"/>
                  <w:vAlign w:val="center"/>
                </w:tcPr>
                <w:p w14:paraId="5FF27E1F">
                  <w:pPr>
                    <w:spacing w:line="240" w:lineRule="auto"/>
                    <w:ind w:firstLine="0" w:firstLineChars="0"/>
                    <w:jc w:val="center"/>
                    <w:rPr>
                      <w:sz w:val="21"/>
                      <w:szCs w:val="21"/>
                    </w:rPr>
                  </w:pPr>
                  <w:r>
                    <w:rPr>
                      <w:rFonts w:hint="eastAsia"/>
                      <w:sz w:val="21"/>
                      <w:szCs w:val="21"/>
                    </w:rPr>
                    <w:t>否</w:t>
                  </w:r>
                </w:p>
              </w:tc>
            </w:tr>
            <w:tr w14:paraId="1EA9D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pct"/>
                  <w:vAlign w:val="center"/>
                </w:tcPr>
                <w:p w14:paraId="62DD8198">
                  <w:pPr>
                    <w:spacing w:line="240" w:lineRule="auto"/>
                    <w:ind w:firstLine="0" w:firstLineChars="0"/>
                    <w:jc w:val="center"/>
                    <w:rPr>
                      <w:sz w:val="21"/>
                      <w:szCs w:val="21"/>
                    </w:rPr>
                  </w:pPr>
                  <w:r>
                    <w:rPr>
                      <w:rFonts w:hint="eastAsia"/>
                      <w:sz w:val="21"/>
                      <w:szCs w:val="21"/>
                    </w:rPr>
                    <w:t>环境风险</w:t>
                  </w:r>
                </w:p>
              </w:tc>
              <w:tc>
                <w:tcPr>
                  <w:tcW w:w="1727" w:type="pct"/>
                  <w:vAlign w:val="center"/>
                </w:tcPr>
                <w:p w14:paraId="5722DC98">
                  <w:pPr>
                    <w:spacing w:line="240" w:lineRule="auto"/>
                    <w:ind w:firstLine="0" w:firstLineChars="0"/>
                    <w:jc w:val="center"/>
                    <w:rPr>
                      <w:sz w:val="21"/>
                      <w:szCs w:val="21"/>
                    </w:rPr>
                  </w:pPr>
                  <w:r>
                    <w:rPr>
                      <w:rFonts w:hint="eastAsia"/>
                      <w:sz w:val="21"/>
                      <w:szCs w:val="21"/>
                    </w:rPr>
                    <w:t>有毒有害和易燃易爆危险物质存储量超过临界量</w:t>
                  </w:r>
                  <w:r>
                    <w:rPr>
                      <w:rFonts w:hint="eastAsia"/>
                      <w:sz w:val="21"/>
                      <w:szCs w:val="21"/>
                      <w:vertAlign w:val="superscript"/>
                    </w:rPr>
                    <w:t>3</w:t>
                  </w:r>
                  <w:r>
                    <w:rPr>
                      <w:rFonts w:hint="eastAsia"/>
                      <w:sz w:val="21"/>
                      <w:szCs w:val="21"/>
                    </w:rPr>
                    <w:t>的建设项目。</w:t>
                  </w:r>
                </w:p>
              </w:tc>
              <w:tc>
                <w:tcPr>
                  <w:tcW w:w="1925" w:type="pct"/>
                  <w:vAlign w:val="center"/>
                </w:tcPr>
                <w:p w14:paraId="60708345">
                  <w:pPr>
                    <w:spacing w:line="240" w:lineRule="auto"/>
                    <w:ind w:firstLine="0" w:firstLineChars="0"/>
                    <w:jc w:val="center"/>
                    <w:rPr>
                      <w:sz w:val="21"/>
                      <w:szCs w:val="21"/>
                    </w:rPr>
                  </w:pPr>
                  <w:r>
                    <w:rPr>
                      <w:rFonts w:hint="eastAsia"/>
                      <w:sz w:val="21"/>
                      <w:szCs w:val="21"/>
                    </w:rPr>
                    <w:t>项目风险物质主要为柴油、废机油，最大暂存量与临界量比值（Q）=</w:t>
                  </w:r>
                  <w:r>
                    <w:rPr>
                      <w:rFonts w:hint="eastAsia"/>
                      <w:color w:val="000000" w:themeColor="text1"/>
                      <w:sz w:val="21"/>
                      <w:szCs w:val="21"/>
                      <w14:textFill>
                        <w14:solidFill>
                          <w14:schemeClr w14:val="tx1"/>
                        </w14:solidFill>
                      </w14:textFill>
                    </w:rPr>
                    <w:t>0.03344</w:t>
                  </w:r>
                  <w:r>
                    <w:rPr>
                      <w:rFonts w:hint="eastAsia"/>
                      <w:sz w:val="21"/>
                      <w:szCs w:val="21"/>
                    </w:rPr>
                    <w:t>＜1，故不设环境风险专项评价。</w:t>
                  </w:r>
                </w:p>
              </w:tc>
              <w:tc>
                <w:tcPr>
                  <w:tcW w:w="761" w:type="pct"/>
                  <w:vAlign w:val="center"/>
                </w:tcPr>
                <w:p w14:paraId="6A1AA6AC">
                  <w:pPr>
                    <w:spacing w:line="240" w:lineRule="auto"/>
                    <w:ind w:firstLine="0" w:firstLineChars="0"/>
                    <w:jc w:val="center"/>
                    <w:rPr>
                      <w:sz w:val="21"/>
                      <w:szCs w:val="21"/>
                    </w:rPr>
                  </w:pPr>
                  <w:r>
                    <w:rPr>
                      <w:rFonts w:hint="eastAsia"/>
                      <w:sz w:val="21"/>
                      <w:szCs w:val="21"/>
                    </w:rPr>
                    <w:t>否</w:t>
                  </w:r>
                </w:p>
              </w:tc>
            </w:tr>
            <w:tr w14:paraId="742F4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pct"/>
                  <w:vAlign w:val="center"/>
                </w:tcPr>
                <w:p w14:paraId="77287ACE">
                  <w:pPr>
                    <w:spacing w:line="240" w:lineRule="auto"/>
                    <w:ind w:firstLine="0" w:firstLineChars="0"/>
                    <w:jc w:val="center"/>
                    <w:rPr>
                      <w:sz w:val="21"/>
                      <w:szCs w:val="21"/>
                    </w:rPr>
                  </w:pPr>
                  <w:r>
                    <w:rPr>
                      <w:rFonts w:hint="eastAsia"/>
                      <w:sz w:val="21"/>
                      <w:szCs w:val="21"/>
                    </w:rPr>
                    <w:t>生态</w:t>
                  </w:r>
                </w:p>
              </w:tc>
              <w:tc>
                <w:tcPr>
                  <w:tcW w:w="1727" w:type="pct"/>
                  <w:vAlign w:val="center"/>
                </w:tcPr>
                <w:p w14:paraId="65E6E824">
                  <w:pPr>
                    <w:spacing w:line="240" w:lineRule="auto"/>
                    <w:ind w:firstLine="0" w:firstLineChars="0"/>
                    <w:jc w:val="center"/>
                    <w:rPr>
                      <w:sz w:val="21"/>
                      <w:szCs w:val="21"/>
                    </w:rPr>
                  </w:pPr>
                  <w:r>
                    <w:rPr>
                      <w:rFonts w:hint="eastAsia"/>
                      <w:sz w:val="21"/>
                      <w:szCs w:val="21"/>
                    </w:rPr>
                    <w:t>取水口下游500米范围内有重要水生生物的自然产卵场、索饵场、越冬场和洄游通道的新增河道取水的污染类建设项目。</w:t>
                  </w:r>
                </w:p>
              </w:tc>
              <w:tc>
                <w:tcPr>
                  <w:tcW w:w="1925" w:type="pct"/>
                  <w:vAlign w:val="center"/>
                </w:tcPr>
                <w:p w14:paraId="14F05AC5">
                  <w:pPr>
                    <w:spacing w:line="240" w:lineRule="auto"/>
                    <w:ind w:firstLine="0" w:firstLineChars="0"/>
                    <w:jc w:val="center"/>
                    <w:rPr>
                      <w:sz w:val="21"/>
                      <w:szCs w:val="21"/>
                    </w:rPr>
                  </w:pPr>
                  <w:r>
                    <w:rPr>
                      <w:rFonts w:hint="eastAsia"/>
                      <w:sz w:val="21"/>
                      <w:szCs w:val="21"/>
                    </w:rPr>
                    <w:t>项目用水由市政供水管网提供。本项目不涉及此项情况。</w:t>
                  </w:r>
                </w:p>
              </w:tc>
              <w:tc>
                <w:tcPr>
                  <w:tcW w:w="761" w:type="pct"/>
                  <w:vAlign w:val="center"/>
                </w:tcPr>
                <w:p w14:paraId="39E6BBDE">
                  <w:pPr>
                    <w:spacing w:line="240" w:lineRule="auto"/>
                    <w:ind w:firstLine="0" w:firstLineChars="0"/>
                    <w:jc w:val="center"/>
                    <w:rPr>
                      <w:sz w:val="21"/>
                      <w:szCs w:val="21"/>
                    </w:rPr>
                  </w:pPr>
                  <w:r>
                    <w:rPr>
                      <w:rFonts w:hint="eastAsia"/>
                      <w:sz w:val="21"/>
                      <w:szCs w:val="21"/>
                    </w:rPr>
                    <w:t>否</w:t>
                  </w:r>
                </w:p>
              </w:tc>
            </w:tr>
            <w:tr w14:paraId="47D11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 w:type="pct"/>
                  <w:vAlign w:val="center"/>
                </w:tcPr>
                <w:p w14:paraId="68DAF4F5">
                  <w:pPr>
                    <w:spacing w:line="240" w:lineRule="auto"/>
                    <w:ind w:firstLine="0" w:firstLineChars="0"/>
                    <w:jc w:val="center"/>
                    <w:rPr>
                      <w:sz w:val="21"/>
                      <w:szCs w:val="21"/>
                    </w:rPr>
                  </w:pPr>
                  <w:r>
                    <w:rPr>
                      <w:rFonts w:hint="eastAsia"/>
                      <w:sz w:val="21"/>
                      <w:szCs w:val="21"/>
                    </w:rPr>
                    <w:t>海洋</w:t>
                  </w:r>
                </w:p>
              </w:tc>
              <w:tc>
                <w:tcPr>
                  <w:tcW w:w="1727" w:type="pct"/>
                  <w:vAlign w:val="center"/>
                </w:tcPr>
                <w:p w14:paraId="40076663">
                  <w:pPr>
                    <w:spacing w:line="240" w:lineRule="auto"/>
                    <w:ind w:firstLine="0" w:firstLineChars="0"/>
                    <w:jc w:val="center"/>
                    <w:rPr>
                      <w:sz w:val="21"/>
                      <w:szCs w:val="21"/>
                    </w:rPr>
                  </w:pPr>
                  <w:r>
                    <w:rPr>
                      <w:rFonts w:hint="eastAsia"/>
                      <w:sz w:val="21"/>
                      <w:szCs w:val="21"/>
                    </w:rPr>
                    <w:t>直接向海排放污染物的海洋工程建设项目。</w:t>
                  </w:r>
                </w:p>
              </w:tc>
              <w:tc>
                <w:tcPr>
                  <w:tcW w:w="1925" w:type="pct"/>
                  <w:vAlign w:val="center"/>
                </w:tcPr>
                <w:p w14:paraId="43B7499D">
                  <w:pPr>
                    <w:spacing w:line="240" w:lineRule="auto"/>
                    <w:ind w:firstLine="0" w:firstLineChars="0"/>
                    <w:jc w:val="center"/>
                    <w:rPr>
                      <w:sz w:val="21"/>
                      <w:szCs w:val="21"/>
                    </w:rPr>
                  </w:pPr>
                  <w:r>
                    <w:rPr>
                      <w:rFonts w:hint="eastAsia"/>
                      <w:sz w:val="21"/>
                      <w:szCs w:val="21"/>
                    </w:rPr>
                    <w:t>项目不属于海洋工程建设项目，不向海洋排放污染物。</w:t>
                  </w:r>
                </w:p>
              </w:tc>
              <w:tc>
                <w:tcPr>
                  <w:tcW w:w="761" w:type="pct"/>
                  <w:vAlign w:val="center"/>
                </w:tcPr>
                <w:p w14:paraId="58036669">
                  <w:pPr>
                    <w:spacing w:line="240" w:lineRule="auto"/>
                    <w:ind w:firstLine="0" w:firstLineChars="0"/>
                    <w:jc w:val="center"/>
                    <w:rPr>
                      <w:sz w:val="21"/>
                      <w:szCs w:val="21"/>
                    </w:rPr>
                  </w:pPr>
                  <w:r>
                    <w:rPr>
                      <w:rFonts w:hint="eastAsia"/>
                      <w:sz w:val="21"/>
                      <w:szCs w:val="21"/>
                    </w:rPr>
                    <w:t>否</w:t>
                  </w:r>
                </w:p>
              </w:tc>
            </w:tr>
            <w:tr w14:paraId="10339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vAlign w:val="center"/>
                </w:tcPr>
                <w:p w14:paraId="6352CD4D">
                  <w:pPr>
                    <w:spacing w:line="240" w:lineRule="auto"/>
                    <w:ind w:firstLine="0" w:firstLineChars="0"/>
                    <w:rPr>
                      <w:sz w:val="21"/>
                      <w:szCs w:val="21"/>
                    </w:rPr>
                  </w:pPr>
                  <w:r>
                    <w:rPr>
                      <w:rFonts w:hint="eastAsia"/>
                      <w:sz w:val="21"/>
                      <w:szCs w:val="21"/>
                    </w:rPr>
                    <w:t>注：1.废气中有毒有害污染物指纳入《有毒有害大气污染物名录》的污染物（不包括无排放标准的污染物）。</w:t>
                  </w:r>
                </w:p>
                <w:p w14:paraId="7EE7E59B">
                  <w:pPr>
                    <w:spacing w:line="240" w:lineRule="auto"/>
                    <w:ind w:firstLine="0" w:firstLineChars="0"/>
                    <w:rPr>
                      <w:sz w:val="21"/>
                      <w:szCs w:val="21"/>
                    </w:rPr>
                  </w:pPr>
                  <w:r>
                    <w:rPr>
                      <w:rFonts w:hint="eastAsia"/>
                      <w:sz w:val="21"/>
                      <w:szCs w:val="21"/>
                    </w:rPr>
                    <w:t>2.环境空气保护目标指自然保护区、风景名胜区、居住区、文化区和农村地区中人群较集中的区域。</w:t>
                  </w:r>
                </w:p>
                <w:p w14:paraId="7F456224">
                  <w:pPr>
                    <w:spacing w:line="240" w:lineRule="auto"/>
                    <w:ind w:firstLine="0" w:firstLineChars="0"/>
                    <w:rPr>
                      <w:sz w:val="21"/>
                      <w:szCs w:val="21"/>
                    </w:rPr>
                  </w:pPr>
                  <w:r>
                    <w:rPr>
                      <w:rFonts w:hint="eastAsia"/>
                      <w:sz w:val="21"/>
                      <w:szCs w:val="21"/>
                    </w:rPr>
                    <w:t>3.临界量及其计算方法可参考《建设项目环境风险评价技术导则》（HJ169）附录B、附录C。</w:t>
                  </w:r>
                </w:p>
              </w:tc>
            </w:tr>
          </w:tbl>
          <w:p w14:paraId="0F0D0ADB">
            <w:pPr>
              <w:ind w:firstLine="480"/>
            </w:pPr>
            <w:r>
              <w:rPr>
                <w:rFonts w:hint="eastAsia"/>
              </w:rPr>
              <w:t>由上表可知，本项目需设置大气专项评价。</w:t>
            </w:r>
          </w:p>
        </w:tc>
      </w:tr>
      <w:tr w14:paraId="6651DB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895" w:type="dxa"/>
            <w:vAlign w:val="center"/>
          </w:tcPr>
          <w:p w14:paraId="29253439">
            <w:pPr>
              <w:autoSpaceDE w:val="0"/>
              <w:autoSpaceDN w:val="0"/>
              <w:adjustRightInd w:val="0"/>
              <w:snapToGrid w:val="0"/>
              <w:spacing w:line="240" w:lineRule="auto"/>
              <w:ind w:firstLine="0" w:firstLineChars="0"/>
              <w:jc w:val="center"/>
            </w:pPr>
            <w:r>
              <w:t>规划情况</w:t>
            </w:r>
          </w:p>
        </w:tc>
        <w:tc>
          <w:tcPr>
            <w:tcW w:w="7944" w:type="dxa"/>
            <w:gridSpan w:val="4"/>
            <w:vAlign w:val="center"/>
          </w:tcPr>
          <w:p w14:paraId="7A8C3FD9">
            <w:pPr>
              <w:autoSpaceDE w:val="0"/>
              <w:autoSpaceDN w:val="0"/>
              <w:adjustRightInd w:val="0"/>
              <w:snapToGrid w:val="0"/>
              <w:ind w:firstLine="0" w:firstLineChars="0"/>
              <w:jc w:val="left"/>
              <w:rPr>
                <w:rFonts w:hint="default" w:eastAsia="宋体"/>
                <w:color w:val="0000FF"/>
                <w:kern w:val="0"/>
                <w:lang w:val="en-US" w:eastAsia="zh-CN"/>
              </w:rPr>
            </w:pPr>
            <w:r>
              <w:rPr>
                <w:rFonts w:hint="eastAsia"/>
                <w:b/>
                <w:bCs/>
                <w:color w:val="0000FF"/>
                <w:kern w:val="0"/>
              </w:rPr>
              <w:t>规划名称：</w:t>
            </w:r>
            <w:r>
              <w:rPr>
                <w:rFonts w:hint="eastAsia"/>
                <w:color w:val="0000FF"/>
                <w:kern w:val="0"/>
              </w:rPr>
              <w:t>《</w:t>
            </w:r>
            <w:r>
              <w:rPr>
                <w:rFonts w:hint="eastAsia"/>
                <w:color w:val="0000FF"/>
                <w:kern w:val="0"/>
                <w:lang w:val="en-US" w:eastAsia="zh-CN"/>
              </w:rPr>
              <w:t>寻甸县仁德街道中桥社区“多规合一”实用性村庄规划</w:t>
            </w:r>
            <w:r>
              <w:rPr>
                <w:rFonts w:hint="eastAsia"/>
                <w:color w:val="0000FF"/>
                <w:kern w:val="0"/>
              </w:rPr>
              <w:t>（2021-2035</w:t>
            </w:r>
            <w:r>
              <w:rPr>
                <w:rFonts w:hint="eastAsia"/>
                <w:color w:val="0000FF"/>
                <w:kern w:val="0"/>
                <w:lang w:val="en-US" w:eastAsia="zh-CN"/>
              </w:rPr>
              <w:t>年</w:t>
            </w:r>
            <w:r>
              <w:rPr>
                <w:rFonts w:hint="eastAsia"/>
                <w:color w:val="0000FF"/>
                <w:kern w:val="0"/>
              </w:rPr>
              <w:t>）</w:t>
            </w:r>
            <w:r>
              <w:rPr>
                <w:rFonts w:hint="eastAsia"/>
                <w:color w:val="0000FF"/>
                <w:kern w:val="0"/>
                <w:lang w:val="en-US" w:eastAsia="zh-CN"/>
              </w:rPr>
              <w:t>调整说明</w:t>
            </w:r>
            <w:r>
              <w:rPr>
                <w:rFonts w:hint="eastAsia"/>
                <w:color w:val="0000FF"/>
                <w:kern w:val="0"/>
              </w:rPr>
              <w:t>》</w:t>
            </w:r>
          </w:p>
          <w:p w14:paraId="7D51B0A3">
            <w:pPr>
              <w:autoSpaceDE w:val="0"/>
              <w:autoSpaceDN w:val="0"/>
              <w:adjustRightInd w:val="0"/>
              <w:snapToGrid w:val="0"/>
              <w:ind w:firstLine="0" w:firstLineChars="0"/>
              <w:jc w:val="left"/>
              <w:rPr>
                <w:color w:val="0000FF"/>
                <w:kern w:val="0"/>
              </w:rPr>
            </w:pPr>
            <w:r>
              <w:rPr>
                <w:rFonts w:hint="eastAsia"/>
                <w:b/>
                <w:bCs/>
                <w:color w:val="0000FF"/>
                <w:kern w:val="0"/>
              </w:rPr>
              <w:t>审批机关：</w:t>
            </w:r>
            <w:r>
              <w:rPr>
                <w:rFonts w:hint="eastAsia"/>
                <w:color w:val="0000FF"/>
                <w:kern w:val="0"/>
                <w:lang w:val="en-US" w:eastAsia="zh-CN"/>
              </w:rPr>
              <w:t>寻甸回族彝族自治县人民政府</w:t>
            </w:r>
          </w:p>
          <w:p w14:paraId="6AD30F5F">
            <w:pPr>
              <w:autoSpaceDE w:val="0"/>
              <w:autoSpaceDN w:val="0"/>
              <w:adjustRightInd w:val="0"/>
              <w:snapToGrid w:val="0"/>
              <w:ind w:firstLine="0" w:firstLineChars="0"/>
              <w:jc w:val="left"/>
              <w:rPr>
                <w:kern w:val="0"/>
              </w:rPr>
            </w:pPr>
            <w:r>
              <w:rPr>
                <w:rFonts w:hint="eastAsia"/>
                <w:b/>
                <w:bCs/>
                <w:color w:val="0000FF"/>
                <w:kern w:val="0"/>
              </w:rPr>
              <w:t>审批文件名称及文号：</w:t>
            </w:r>
            <w:r>
              <w:rPr>
                <w:rFonts w:hint="eastAsia"/>
                <w:color w:val="0000FF"/>
                <w:kern w:val="0"/>
                <w:lang w:val="en-US" w:eastAsia="zh-CN"/>
              </w:rPr>
              <w:t>寻甸回族彝族自治县人民政府</w:t>
            </w:r>
            <w:r>
              <w:rPr>
                <w:rFonts w:hint="eastAsia"/>
                <w:color w:val="0000FF"/>
                <w:kern w:val="0"/>
              </w:rPr>
              <w:t>关于</w:t>
            </w:r>
            <w:r>
              <w:rPr>
                <w:rFonts w:hint="eastAsia"/>
                <w:color w:val="0000FF"/>
                <w:kern w:val="0"/>
                <w:lang w:val="en-US" w:eastAsia="zh-CN"/>
              </w:rPr>
              <w:t>同意仁德街道中桥、建设、道院社区“多规合一”实用性村庄规划（2021-2035年）修改成果的</w:t>
            </w:r>
            <w:r>
              <w:rPr>
                <w:rFonts w:hint="eastAsia"/>
                <w:color w:val="0000FF"/>
                <w:kern w:val="0"/>
              </w:rPr>
              <w:t>批复（</w:t>
            </w:r>
            <w:r>
              <w:rPr>
                <w:rFonts w:hint="eastAsia"/>
                <w:color w:val="0000FF"/>
                <w:kern w:val="0"/>
                <w:lang w:val="en-US" w:eastAsia="zh-CN"/>
              </w:rPr>
              <w:t>寻</w:t>
            </w:r>
            <w:r>
              <w:rPr>
                <w:rFonts w:hint="eastAsia"/>
                <w:color w:val="0000FF"/>
                <w:kern w:val="0"/>
              </w:rPr>
              <w:t>政复〔2025〕</w:t>
            </w:r>
            <w:r>
              <w:rPr>
                <w:rFonts w:hint="eastAsia"/>
                <w:color w:val="0000FF"/>
                <w:kern w:val="0"/>
                <w:lang w:val="en-US" w:eastAsia="zh-CN"/>
              </w:rPr>
              <w:t>148</w:t>
            </w:r>
            <w:r>
              <w:rPr>
                <w:rFonts w:hint="eastAsia"/>
                <w:color w:val="0000FF"/>
                <w:kern w:val="0"/>
              </w:rPr>
              <w:t>号）。</w:t>
            </w:r>
          </w:p>
        </w:tc>
      </w:tr>
      <w:tr w14:paraId="41EF44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1404" w:type="dxa"/>
            <w:gridSpan w:val="2"/>
            <w:vAlign w:val="center"/>
          </w:tcPr>
          <w:p w14:paraId="5616B91F">
            <w:pPr>
              <w:autoSpaceDE w:val="0"/>
              <w:autoSpaceDN w:val="0"/>
              <w:adjustRightInd w:val="0"/>
              <w:snapToGrid w:val="0"/>
              <w:spacing w:line="240" w:lineRule="auto"/>
              <w:ind w:firstLine="0" w:firstLineChars="0"/>
              <w:jc w:val="center"/>
            </w:pPr>
            <w:r>
              <w:t>规划环境影响评价情况</w:t>
            </w:r>
          </w:p>
        </w:tc>
        <w:tc>
          <w:tcPr>
            <w:tcW w:w="7435" w:type="dxa"/>
            <w:gridSpan w:val="3"/>
            <w:vAlign w:val="center"/>
          </w:tcPr>
          <w:p w14:paraId="68629D4A">
            <w:pPr>
              <w:autoSpaceDE w:val="0"/>
              <w:autoSpaceDN w:val="0"/>
              <w:adjustRightInd w:val="0"/>
              <w:snapToGrid w:val="0"/>
              <w:ind w:firstLine="0" w:firstLineChars="0"/>
              <w:jc w:val="center"/>
            </w:pPr>
            <w:r>
              <w:rPr>
                <w:rFonts w:hint="eastAsia"/>
              </w:rPr>
              <w:t>/</w:t>
            </w:r>
          </w:p>
        </w:tc>
      </w:tr>
      <w:tr w14:paraId="55CB7E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895" w:type="dxa"/>
            <w:vAlign w:val="center"/>
          </w:tcPr>
          <w:p w14:paraId="51E99D1A">
            <w:pPr>
              <w:autoSpaceDE w:val="0"/>
              <w:autoSpaceDN w:val="0"/>
              <w:adjustRightInd w:val="0"/>
              <w:snapToGrid w:val="0"/>
              <w:spacing w:line="240" w:lineRule="auto"/>
              <w:ind w:firstLine="0" w:firstLineChars="0"/>
              <w:jc w:val="center"/>
            </w:pPr>
            <w:r>
              <w:t>规划及规划环境影响评价符合性分析</w:t>
            </w:r>
          </w:p>
        </w:tc>
        <w:tc>
          <w:tcPr>
            <w:tcW w:w="7944" w:type="dxa"/>
            <w:gridSpan w:val="4"/>
            <w:vAlign w:val="center"/>
          </w:tcPr>
          <w:p w14:paraId="3AE33C29">
            <w:pPr>
              <w:numPr>
                <w:ilvl w:val="0"/>
                <w:numId w:val="2"/>
              </w:numPr>
              <w:ind w:firstLine="0" w:firstLineChars="0"/>
              <w:rPr>
                <w:b/>
                <w:bCs/>
                <w:kern w:val="0"/>
              </w:rPr>
            </w:pPr>
            <w:r>
              <w:rPr>
                <w:b/>
                <w:bCs/>
              </w:rPr>
              <w:t>与</w:t>
            </w:r>
            <w:r>
              <w:rPr>
                <w:rFonts w:hint="eastAsia"/>
                <w:b/>
                <w:bCs/>
                <w:color w:val="0000FF"/>
                <w:kern w:val="0"/>
              </w:rPr>
              <w:t>《</w:t>
            </w:r>
            <w:r>
              <w:rPr>
                <w:rFonts w:hint="eastAsia"/>
                <w:b/>
                <w:bCs/>
                <w:color w:val="0000FF"/>
                <w:kern w:val="0"/>
                <w:lang w:val="en-US" w:eastAsia="zh-CN"/>
              </w:rPr>
              <w:t>寻甸县仁德街道中桥社区“多规合一”实用性村庄规划</w:t>
            </w:r>
            <w:r>
              <w:rPr>
                <w:rFonts w:hint="eastAsia"/>
                <w:b/>
                <w:bCs/>
                <w:color w:val="0000FF"/>
                <w:kern w:val="0"/>
              </w:rPr>
              <w:t>（2021-2035</w:t>
            </w:r>
            <w:r>
              <w:rPr>
                <w:rFonts w:hint="eastAsia"/>
                <w:b/>
                <w:bCs/>
                <w:color w:val="0000FF"/>
                <w:kern w:val="0"/>
                <w:lang w:val="en-US" w:eastAsia="zh-CN"/>
              </w:rPr>
              <w:t>年</w:t>
            </w:r>
            <w:r>
              <w:rPr>
                <w:rFonts w:hint="eastAsia"/>
                <w:b/>
                <w:bCs/>
                <w:color w:val="0000FF"/>
                <w:kern w:val="0"/>
              </w:rPr>
              <w:t>）</w:t>
            </w:r>
            <w:r>
              <w:rPr>
                <w:rFonts w:hint="eastAsia"/>
                <w:b/>
                <w:bCs/>
                <w:color w:val="0000FF"/>
                <w:kern w:val="0"/>
                <w:lang w:val="en-US" w:eastAsia="zh-CN"/>
              </w:rPr>
              <w:t>调整说明</w:t>
            </w:r>
            <w:r>
              <w:rPr>
                <w:rFonts w:hint="eastAsia"/>
                <w:b/>
                <w:bCs/>
                <w:color w:val="0000FF"/>
                <w:kern w:val="0"/>
              </w:rPr>
              <w:t>》相符性分析</w:t>
            </w:r>
          </w:p>
          <w:p w14:paraId="14D9DED8">
            <w:pPr>
              <w:ind w:firstLine="480"/>
              <w:rPr>
                <w:rFonts w:hint="default"/>
                <w:b w:val="0"/>
                <w:bCs w:val="0"/>
                <w:color w:val="0000FF"/>
                <w:kern w:val="0"/>
                <w:lang w:val="en-US" w:eastAsia="zh-CN"/>
              </w:rPr>
            </w:pPr>
            <w:r>
              <w:rPr>
                <w:rFonts w:hint="eastAsia"/>
                <w:color w:val="0000FF"/>
              </w:rPr>
              <w:t>根据</w:t>
            </w:r>
            <w:r>
              <w:rPr>
                <w:rFonts w:hint="eastAsia"/>
                <w:b w:val="0"/>
                <w:bCs w:val="0"/>
                <w:color w:val="0000FF"/>
                <w:kern w:val="0"/>
              </w:rPr>
              <w:t>《</w:t>
            </w:r>
            <w:r>
              <w:rPr>
                <w:rFonts w:hint="eastAsia"/>
                <w:b w:val="0"/>
                <w:bCs w:val="0"/>
                <w:color w:val="0000FF"/>
                <w:kern w:val="0"/>
                <w:lang w:val="en-US" w:eastAsia="zh-CN"/>
              </w:rPr>
              <w:t>寻甸县仁德街道中桥社区“多规合一”实用性村庄规划</w:t>
            </w:r>
            <w:r>
              <w:rPr>
                <w:rFonts w:hint="eastAsia"/>
                <w:b w:val="0"/>
                <w:bCs w:val="0"/>
                <w:color w:val="0000FF"/>
                <w:kern w:val="0"/>
              </w:rPr>
              <w:t>（2021-2035</w:t>
            </w:r>
            <w:r>
              <w:rPr>
                <w:rFonts w:hint="eastAsia"/>
                <w:b w:val="0"/>
                <w:bCs w:val="0"/>
                <w:color w:val="0000FF"/>
                <w:kern w:val="0"/>
                <w:lang w:val="en-US" w:eastAsia="zh-CN"/>
              </w:rPr>
              <w:t>年</w:t>
            </w:r>
            <w:r>
              <w:rPr>
                <w:rFonts w:hint="eastAsia"/>
                <w:b w:val="0"/>
                <w:bCs w:val="0"/>
                <w:color w:val="0000FF"/>
                <w:kern w:val="0"/>
              </w:rPr>
              <w:t>）</w:t>
            </w:r>
            <w:r>
              <w:rPr>
                <w:rFonts w:hint="eastAsia"/>
                <w:b w:val="0"/>
                <w:bCs w:val="0"/>
                <w:color w:val="0000FF"/>
                <w:kern w:val="0"/>
                <w:lang w:val="en-US" w:eastAsia="zh-CN"/>
              </w:rPr>
              <w:t>》，规划范围为中桥社区全域国土空间（全部自然村、耕地、林地、水系、建设用地），规划面积15.70km²。总体空间格局遵循云南省村庄规划“生态空间、农业空间、建设空间”三大空间划分：</w:t>
            </w:r>
          </w:p>
          <w:p w14:paraId="52994A40">
            <w:pPr>
              <w:ind w:firstLine="480"/>
              <w:rPr>
                <w:rFonts w:hint="eastAsia"/>
                <w:b w:val="0"/>
                <w:bCs w:val="0"/>
                <w:color w:val="0000FF"/>
                <w:kern w:val="0"/>
                <w:lang w:val="en-US" w:eastAsia="zh-CN"/>
              </w:rPr>
            </w:pPr>
            <w:r>
              <w:rPr>
                <w:rFonts w:hint="eastAsia"/>
                <w:b w:val="0"/>
                <w:bCs w:val="0"/>
                <w:color w:val="0000FF"/>
                <w:kern w:val="0"/>
                <w:lang w:val="en-US" w:eastAsia="zh-CN"/>
              </w:rPr>
              <w:t>（1）生态空间</w:t>
            </w:r>
          </w:p>
          <w:p w14:paraId="3F7D9E04">
            <w:pPr>
              <w:ind w:firstLine="480"/>
              <w:rPr>
                <w:rFonts w:hint="eastAsia"/>
                <w:b w:val="0"/>
                <w:bCs w:val="0"/>
                <w:color w:val="0000FF"/>
                <w:kern w:val="0"/>
                <w:lang w:val="en-US" w:eastAsia="zh-CN"/>
              </w:rPr>
            </w:pPr>
            <w:r>
              <w:rPr>
                <w:rFonts w:hint="eastAsia"/>
                <w:b w:val="0"/>
                <w:bCs w:val="0"/>
                <w:color w:val="0000FF"/>
                <w:kern w:val="0"/>
                <w:lang w:val="en-US" w:eastAsia="zh-CN"/>
              </w:rPr>
              <w:t>分布：社区北部、东部低山丘陵林地、沟谷水系、小型防护林、河道岸线；</w:t>
            </w:r>
          </w:p>
          <w:p w14:paraId="01147559">
            <w:pPr>
              <w:ind w:firstLine="480"/>
              <w:rPr>
                <w:rFonts w:hint="eastAsia"/>
                <w:b w:val="0"/>
                <w:bCs w:val="0"/>
                <w:color w:val="0000FF"/>
                <w:kern w:val="0"/>
                <w:lang w:val="en-US" w:eastAsia="zh-CN"/>
              </w:rPr>
            </w:pPr>
            <w:r>
              <w:rPr>
                <w:rFonts w:hint="eastAsia"/>
                <w:b w:val="0"/>
                <w:bCs w:val="0"/>
                <w:color w:val="0000FF"/>
                <w:kern w:val="0"/>
                <w:lang w:val="en-US" w:eastAsia="zh-CN"/>
              </w:rPr>
              <w:t>管控：保护山体植被、沟谷水系，开展水土保持、面源污染治理；不新增建设，禁止挖山、填沟；对河道实施生态护岸、清淤整治；无生态保护红线穿越，以一般生态管控区为主。</w:t>
            </w:r>
          </w:p>
          <w:p w14:paraId="789FD049">
            <w:pPr>
              <w:ind w:firstLine="480"/>
              <w:rPr>
                <w:rFonts w:hint="eastAsia"/>
                <w:b w:val="0"/>
                <w:bCs w:val="0"/>
                <w:color w:val="0000FF"/>
                <w:kern w:val="0"/>
                <w:lang w:val="en-US" w:eastAsia="zh-CN"/>
              </w:rPr>
            </w:pPr>
            <w:r>
              <w:rPr>
                <w:rFonts w:hint="eastAsia"/>
                <w:b w:val="0"/>
                <w:bCs w:val="0"/>
                <w:color w:val="0000FF"/>
                <w:kern w:val="0"/>
                <w:lang w:val="en-US" w:eastAsia="zh-CN"/>
              </w:rPr>
              <w:t>（2）农业空间（社区主体空间，仁德坝区优质农田）</w:t>
            </w:r>
          </w:p>
          <w:p w14:paraId="7AF9E35B">
            <w:pPr>
              <w:ind w:firstLine="480"/>
              <w:rPr>
                <w:rFonts w:hint="eastAsia"/>
                <w:b w:val="0"/>
                <w:bCs w:val="0"/>
                <w:color w:val="0000FF"/>
                <w:kern w:val="0"/>
                <w:lang w:val="en-US" w:eastAsia="zh-CN"/>
              </w:rPr>
            </w:pPr>
            <w:r>
              <w:rPr>
                <w:rFonts w:hint="eastAsia"/>
                <w:b w:val="0"/>
                <w:bCs w:val="0"/>
                <w:color w:val="0000FF"/>
                <w:kern w:val="0"/>
                <w:lang w:val="en-US" w:eastAsia="zh-CN"/>
              </w:rPr>
              <w:t>分布：坝区中部连片平地，永久基本农田集中区；</w:t>
            </w:r>
          </w:p>
          <w:p w14:paraId="50C8EF73">
            <w:pPr>
              <w:ind w:firstLine="480"/>
              <w:rPr>
                <w:rFonts w:hint="eastAsia"/>
                <w:b w:val="0"/>
                <w:bCs w:val="0"/>
                <w:color w:val="0000FF"/>
                <w:kern w:val="0"/>
                <w:lang w:val="en-US" w:eastAsia="zh-CN"/>
              </w:rPr>
            </w:pPr>
            <w:r>
              <w:rPr>
                <w:rFonts w:hint="eastAsia"/>
                <w:b w:val="0"/>
                <w:bCs w:val="0"/>
                <w:color w:val="0000FF"/>
                <w:kern w:val="0"/>
                <w:lang w:val="en-US" w:eastAsia="zh-CN"/>
              </w:rPr>
              <w:t>功能：粮食生产+高原特色城郊农业（蔬菜、经济作物、畜禽养殖配套）；落实耕地保护，严禁非农建设占用永久基本农田；开展土地整治、高标准农田建设；</w:t>
            </w:r>
          </w:p>
          <w:p w14:paraId="5E48465B">
            <w:pPr>
              <w:ind w:firstLine="480"/>
              <w:rPr>
                <w:rFonts w:hint="eastAsia"/>
                <w:b w:val="0"/>
                <w:bCs w:val="0"/>
                <w:color w:val="0000FF"/>
                <w:kern w:val="0"/>
                <w:lang w:val="en-US" w:eastAsia="zh-CN"/>
              </w:rPr>
            </w:pPr>
            <w:r>
              <w:rPr>
                <w:rFonts w:hint="eastAsia"/>
                <w:b w:val="0"/>
                <w:bCs w:val="0"/>
                <w:color w:val="0000FF"/>
                <w:kern w:val="0"/>
                <w:lang w:val="en-US" w:eastAsia="zh-CN"/>
              </w:rPr>
              <w:t>配套：田间道路、灌溉管网、农业生产设施用地（设施农业、小型仓储，严格点状布局，不连片扩张）。</w:t>
            </w:r>
          </w:p>
          <w:p w14:paraId="13ED2972">
            <w:pPr>
              <w:ind w:firstLine="480"/>
              <w:rPr>
                <w:rFonts w:hint="eastAsia"/>
                <w:b w:val="0"/>
                <w:bCs w:val="0"/>
                <w:color w:val="0000FF"/>
                <w:kern w:val="0"/>
                <w:lang w:val="en-US" w:eastAsia="zh-CN"/>
              </w:rPr>
            </w:pPr>
            <w:r>
              <w:rPr>
                <w:rFonts w:hint="eastAsia"/>
                <w:b w:val="0"/>
                <w:bCs w:val="0"/>
                <w:color w:val="0000FF"/>
                <w:kern w:val="0"/>
                <w:lang w:val="en-US" w:eastAsia="zh-CN"/>
              </w:rPr>
              <w:t>（3）建设空间（村庄建设边界内，集中在靠近县城一侧）</w:t>
            </w:r>
          </w:p>
          <w:p w14:paraId="048D46C6">
            <w:pPr>
              <w:ind w:firstLine="480"/>
              <w:rPr>
                <w:rFonts w:hint="eastAsia"/>
                <w:b w:val="0"/>
                <w:bCs w:val="0"/>
                <w:color w:val="0000FF"/>
                <w:kern w:val="0"/>
                <w:lang w:val="en-US" w:eastAsia="zh-CN"/>
              </w:rPr>
            </w:pPr>
            <w:r>
              <w:rPr>
                <w:rFonts w:hint="eastAsia"/>
                <w:b w:val="0"/>
                <w:bCs w:val="0"/>
                <w:color w:val="0000FF"/>
                <w:kern w:val="0"/>
                <w:lang w:val="en-US" w:eastAsia="zh-CN"/>
              </w:rPr>
              <w:t>中桥社区属于县城近郊，建设用地主要集中在靠近仁德城区、寻沾高速连接线沿线的自然村居民点，引导集中集聚，缩减零散散户。</w:t>
            </w:r>
          </w:p>
          <w:p w14:paraId="7AB3305D">
            <w:pPr>
              <w:ind w:firstLine="480"/>
              <w:rPr>
                <w:rFonts w:hint="eastAsia"/>
                <w:b w:val="0"/>
                <w:bCs w:val="0"/>
                <w:color w:val="0000FF"/>
                <w:kern w:val="0"/>
                <w:lang w:val="en-US" w:eastAsia="zh-CN"/>
              </w:rPr>
            </w:pPr>
            <w:r>
              <w:rPr>
                <w:rFonts w:hint="eastAsia"/>
                <w:b w:val="0"/>
                <w:bCs w:val="0"/>
                <w:color w:val="0000FF"/>
                <w:kern w:val="0"/>
                <w:lang w:val="en-US" w:eastAsia="zh-CN"/>
              </w:rPr>
              <w:t>村庄建设边界：划定闭合边界，新建宅基地、公共服务、产业配套全部在边界内；零散偏远散户原则不再新增建房，鼓励逐步向集中居民点集聚；</w:t>
            </w:r>
          </w:p>
          <w:p w14:paraId="499C2012">
            <w:pPr>
              <w:ind w:firstLine="480"/>
              <w:rPr>
                <w:rFonts w:hint="eastAsia"/>
                <w:b w:val="0"/>
                <w:bCs w:val="0"/>
                <w:color w:val="0000FF"/>
                <w:kern w:val="0"/>
                <w:lang w:val="en-US" w:eastAsia="zh-CN"/>
              </w:rPr>
            </w:pPr>
            <w:r>
              <w:rPr>
                <w:rFonts w:hint="eastAsia"/>
                <w:b w:val="0"/>
                <w:bCs w:val="0"/>
                <w:color w:val="0000FF"/>
                <w:kern w:val="0"/>
                <w:lang w:val="en-US" w:eastAsia="zh-CN"/>
              </w:rPr>
              <w:t>重大线性工程：寻沾高速仁德互通连接线横穿社区南部，作为对外主要通道，预留廊道管控空间</w:t>
            </w:r>
          </w:p>
          <w:p w14:paraId="3F7AA215">
            <w:pPr>
              <w:keepNext w:val="0"/>
              <w:keepLines w:val="0"/>
              <w:widowControl/>
              <w:suppressLineNumbers w:val="0"/>
              <w:jc w:val="left"/>
              <w:rPr>
                <w:rFonts w:hint="eastAsia"/>
                <w:b w:val="0"/>
                <w:bCs w:val="0"/>
                <w:color w:val="0000FF"/>
                <w:kern w:val="0"/>
                <w:lang w:val="en-US" w:eastAsia="zh-CN"/>
              </w:rPr>
            </w:pPr>
            <w:r>
              <w:rPr>
                <w:rFonts w:hint="eastAsia"/>
                <w:b w:val="0"/>
                <w:bCs w:val="0"/>
                <w:color w:val="0000FF"/>
                <w:kern w:val="0"/>
                <w:lang w:val="en-US" w:eastAsia="zh-CN"/>
              </w:rPr>
              <w:t>为落实乡村振兴发展战略，保障农村集体经济产业发展与村民住房建设等实际需求，实现村庄规划更好服务村民、服务乡村振兴发展，涉及农村产业融合发展、宅基地等用地需纳入村庄规划布局，通过对《中桥社区村庄规划》进行实施评估，已编制入库的村庄规划在产业用地布局匹配度和宅基地保障度等方面出现了错位、不协调、数量不满足需求等情况，规划的时效性滞后，同时也增大了规划实施与监督管理的压力，故需对中桥社区村庄规划进行动态调整，进一步提高规划的时效性与科学性。故昆明市寻甸县仁德街道办事处于2025年4月组织编制</w:t>
            </w:r>
            <w:r>
              <w:rPr>
                <w:rFonts w:hint="eastAsia"/>
                <w:b w:val="0"/>
                <w:bCs w:val="0"/>
                <w:color w:val="0000FF"/>
                <w:kern w:val="0"/>
              </w:rPr>
              <w:t>《</w:t>
            </w:r>
            <w:r>
              <w:rPr>
                <w:rFonts w:hint="eastAsia"/>
                <w:b w:val="0"/>
                <w:bCs w:val="0"/>
                <w:color w:val="0000FF"/>
                <w:kern w:val="0"/>
                <w:lang w:val="en-US" w:eastAsia="zh-CN"/>
              </w:rPr>
              <w:t>寻甸县仁德街道中桥社区“多规合一”实用性村庄规划（2021-2035年）调整说明》，此次调整内容包括宅基地调整、产业用地调整、城镇开发边界优化调出的地块调整和联动调整等。</w:t>
            </w:r>
          </w:p>
          <w:p w14:paraId="65480E4F">
            <w:pPr>
              <w:keepNext w:val="0"/>
              <w:keepLines w:val="0"/>
              <w:widowControl/>
              <w:suppressLineNumbers w:val="0"/>
              <w:jc w:val="left"/>
              <w:rPr>
                <w:rFonts w:hint="eastAsia" w:eastAsia="宋体"/>
                <w:lang w:val="en-US" w:eastAsia="zh-CN"/>
              </w:rPr>
            </w:pPr>
            <w:r>
              <w:rPr>
                <w:rFonts w:hint="eastAsia"/>
                <w:b w:val="0"/>
                <w:bCs w:val="0"/>
                <w:color w:val="0000FF"/>
                <w:kern w:val="0"/>
                <w:lang w:val="en-US" w:eastAsia="zh-CN"/>
              </w:rPr>
              <w:t>本项目用地编号为：530129001008001562，属于产业用地调整，调整后地块用地性质为工业用地，位于村庄建设边界内。根据寻甸回族彝族自治县自然资源局“关于寻甸熠峰建设工程有限公司搅拌站项目用地范围是否涉及生态保护红线及城镇开发边界的情况说明”和“关于寻甸熠峰建设工程有限公司搅拌站项目用地范围是否涉及永久基本农田的情况说明”，项目用地范围不涉及生态红线、永久基本农田，位于仁德街道中桥社区“多规合一”实用性村庄规划村庄建设边界内，规划地类为工业用地，项目的建设符合中桥社区“多规合一”实用性村庄规划和用地性质。</w:t>
            </w:r>
          </w:p>
        </w:tc>
      </w:tr>
      <w:tr w14:paraId="435228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895" w:type="dxa"/>
            <w:vAlign w:val="center"/>
          </w:tcPr>
          <w:p w14:paraId="4719806D">
            <w:pPr>
              <w:autoSpaceDE w:val="0"/>
              <w:autoSpaceDN w:val="0"/>
              <w:adjustRightInd w:val="0"/>
              <w:snapToGrid w:val="0"/>
              <w:ind w:firstLine="0" w:firstLineChars="0"/>
              <w:jc w:val="center"/>
              <w:rPr>
                <w:kern w:val="0"/>
              </w:rPr>
            </w:pPr>
            <w:r>
              <w:t>其他符合性分析</w:t>
            </w:r>
          </w:p>
        </w:tc>
        <w:tc>
          <w:tcPr>
            <w:tcW w:w="7944" w:type="dxa"/>
            <w:gridSpan w:val="4"/>
            <w:vAlign w:val="center"/>
          </w:tcPr>
          <w:p w14:paraId="2ACBC175">
            <w:pPr>
              <w:numPr>
                <w:ilvl w:val="0"/>
                <w:numId w:val="3"/>
              </w:numPr>
              <w:ind w:firstLine="0" w:firstLineChars="0"/>
              <w:rPr>
                <w:b/>
                <w:bCs/>
              </w:rPr>
            </w:pPr>
            <w:r>
              <w:rPr>
                <w:b/>
                <w:bCs/>
              </w:rPr>
              <w:t>产业政策</w:t>
            </w:r>
            <w:r>
              <w:rPr>
                <w:rFonts w:hint="eastAsia"/>
                <w:b/>
                <w:bCs/>
              </w:rPr>
              <w:t>符合性分析</w:t>
            </w:r>
          </w:p>
          <w:p w14:paraId="05FE18BA">
            <w:pPr>
              <w:topLinePunct/>
              <w:ind w:firstLine="480"/>
              <w:jc w:val="left"/>
            </w:pPr>
            <w:r>
              <w:rPr>
                <w:lang w:val="zh-CN"/>
              </w:rPr>
              <w:t>本项目</w:t>
            </w:r>
            <w:r>
              <w:rPr>
                <w:rFonts w:hint="eastAsia"/>
              </w:rPr>
              <w:t>为C3099其他非金属矿物制品制造</w:t>
            </w:r>
            <w:r>
              <w:rPr>
                <w:rFonts w:hint="eastAsia"/>
                <w:kern w:val="0"/>
              </w:rPr>
              <w:t>，</w:t>
            </w:r>
            <w:r>
              <w:rPr>
                <w:kern w:val="0"/>
              </w:rPr>
              <w:t>对照国家发展和改革委员会《产业结构调整指导目录（20</w:t>
            </w:r>
            <w:r>
              <w:rPr>
                <w:rFonts w:hint="eastAsia"/>
                <w:kern w:val="0"/>
              </w:rPr>
              <w:t>24</w:t>
            </w:r>
            <w:r>
              <w:rPr>
                <w:kern w:val="0"/>
              </w:rPr>
              <w:t>年本）》，</w:t>
            </w:r>
            <w:r>
              <w:rPr>
                <w:rFonts w:hint="eastAsia"/>
                <w:kern w:val="0"/>
              </w:rPr>
              <w:t>本项目不属于国家产业政策鼓励类、限制类及淘汰类项目，为允许类。</w:t>
            </w:r>
          </w:p>
          <w:p w14:paraId="2372B369">
            <w:pPr>
              <w:ind w:firstLine="480"/>
              <w:rPr>
                <w:kern w:val="0"/>
              </w:rPr>
            </w:pPr>
            <w:r>
              <w:rPr>
                <w:rFonts w:hint="eastAsia"/>
              </w:rPr>
              <w:t>且</w:t>
            </w:r>
            <w:r>
              <w:t>建设单位于202</w:t>
            </w:r>
            <w:r>
              <w:rPr>
                <w:rFonts w:hint="eastAsia"/>
              </w:rPr>
              <w:t>6</w:t>
            </w:r>
            <w:r>
              <w:t>年</w:t>
            </w:r>
            <w:r>
              <w:rPr>
                <w:rFonts w:hint="eastAsia"/>
              </w:rPr>
              <w:t>3</w:t>
            </w:r>
            <w:r>
              <w:t>月</w:t>
            </w:r>
            <w:r>
              <w:rPr>
                <w:rFonts w:hint="eastAsia"/>
              </w:rPr>
              <w:t>16</w:t>
            </w:r>
            <w:r>
              <w:t>日取得</w:t>
            </w:r>
            <w:r>
              <w:rPr>
                <w:rFonts w:hint="eastAsia"/>
              </w:rPr>
              <w:t>寻甸回族彝族自治县发展和改革局</w:t>
            </w:r>
            <w:r>
              <w:t>发放的投资备案证，项目</w:t>
            </w:r>
            <w:r>
              <w:rPr>
                <w:rFonts w:hint="eastAsia"/>
              </w:rPr>
              <w:t>代</w:t>
            </w:r>
            <w:r>
              <w:t>码为</w:t>
            </w:r>
            <w:r>
              <w:rPr>
                <w:rFonts w:hint="eastAsia"/>
              </w:rPr>
              <w:t>2603-530129-04-01-460331</w:t>
            </w:r>
            <w:r>
              <w:t>，</w:t>
            </w:r>
            <w:r>
              <w:rPr>
                <w:kern w:val="0"/>
              </w:rPr>
              <w:t>因此，本项目的建设符合国家及地方产业政策</w:t>
            </w:r>
            <w:r>
              <w:rPr>
                <w:rFonts w:hint="eastAsia"/>
                <w:kern w:val="0"/>
              </w:rPr>
              <w:t>。</w:t>
            </w:r>
          </w:p>
          <w:p w14:paraId="4B5DFC7E">
            <w:pPr>
              <w:ind w:firstLine="0" w:firstLineChars="0"/>
              <w:rPr>
                <w:b/>
                <w:bCs/>
              </w:rPr>
            </w:pPr>
            <w:r>
              <w:rPr>
                <w:rFonts w:hint="eastAsia"/>
                <w:b/>
                <w:bCs/>
                <w:kern w:val="0"/>
              </w:rPr>
              <w:t>2、</w:t>
            </w:r>
            <w:r>
              <w:rPr>
                <w:rFonts w:hint="eastAsia"/>
                <w:b/>
                <w:bCs/>
              </w:rPr>
              <w:t>《国家污染防治技术指导目录》(2024年，限制类和淘汰类)符合性分析</w:t>
            </w:r>
          </w:p>
          <w:p w14:paraId="6A06C0B7">
            <w:pPr>
              <w:ind w:firstLine="480"/>
              <w:rPr>
                <w:rStyle w:val="30"/>
                <w:kern w:val="0"/>
                <w:sz w:val="24"/>
                <w:szCs w:val="24"/>
              </w:rPr>
            </w:pPr>
            <w:r>
              <w:rPr>
                <w:rStyle w:val="30"/>
                <w:rFonts w:hint="eastAsia"/>
                <w:kern w:val="0"/>
                <w:sz w:val="24"/>
                <w:szCs w:val="24"/>
              </w:rPr>
              <w:t>对照《国家污染防治技术指导目录》（2024年，限制类和淘汰类）中限制类和淘汰类技术，项目不涉及所列技术，具体见下表。</w:t>
            </w:r>
          </w:p>
          <w:p w14:paraId="6C05A288">
            <w:pPr>
              <w:ind w:firstLine="0" w:firstLineChars="0"/>
              <w:jc w:val="center"/>
              <w:rPr>
                <w:b/>
                <w:bCs/>
                <w:sz w:val="21"/>
                <w:szCs w:val="21"/>
              </w:rPr>
            </w:pPr>
            <w:r>
              <w:rPr>
                <w:rFonts w:hint="eastAsia"/>
                <w:b/>
                <w:bCs/>
                <w:sz w:val="21"/>
                <w:szCs w:val="21"/>
              </w:rPr>
              <w:t>表1-1  《国家污染防治技术指导目录》 (2024年，限制类和淘汰类)相符合性分析</w:t>
            </w:r>
          </w:p>
          <w:tbl>
            <w:tblPr>
              <w:tblStyle w:val="27"/>
              <w:tblW w:w="78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4"/>
              <w:gridCol w:w="4382"/>
              <w:gridCol w:w="2095"/>
              <w:gridCol w:w="900"/>
            </w:tblGrid>
            <w:tr w14:paraId="79632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856" w:type="dxa"/>
                  <w:gridSpan w:val="2"/>
                  <w:vAlign w:val="center"/>
                </w:tcPr>
                <w:p w14:paraId="06F079B2">
                  <w:pPr>
                    <w:spacing w:line="240" w:lineRule="auto"/>
                    <w:ind w:firstLine="0" w:firstLineChars="0"/>
                    <w:jc w:val="center"/>
                    <w:rPr>
                      <w:rFonts w:cs="宋体"/>
                      <w:b/>
                      <w:bCs/>
                      <w:sz w:val="21"/>
                      <w:szCs w:val="21"/>
                    </w:rPr>
                  </w:pPr>
                  <w:r>
                    <w:rPr>
                      <w:rFonts w:hint="eastAsia" w:cs="宋体"/>
                      <w:b/>
                      <w:bCs/>
                      <w:sz w:val="21"/>
                      <w:szCs w:val="21"/>
                    </w:rPr>
                    <w:t>文件内容</w:t>
                  </w:r>
                </w:p>
              </w:tc>
              <w:tc>
                <w:tcPr>
                  <w:tcW w:w="2095" w:type="dxa"/>
                  <w:vAlign w:val="center"/>
                </w:tcPr>
                <w:p w14:paraId="5ADDF286">
                  <w:pPr>
                    <w:spacing w:line="240" w:lineRule="auto"/>
                    <w:ind w:firstLine="0" w:firstLineChars="0"/>
                    <w:jc w:val="center"/>
                    <w:rPr>
                      <w:rFonts w:cs="宋体"/>
                      <w:b/>
                      <w:bCs/>
                      <w:sz w:val="21"/>
                      <w:szCs w:val="21"/>
                    </w:rPr>
                  </w:pPr>
                  <w:r>
                    <w:rPr>
                      <w:rFonts w:hint="eastAsia" w:cs="宋体"/>
                      <w:b/>
                      <w:bCs/>
                      <w:sz w:val="21"/>
                      <w:szCs w:val="21"/>
                    </w:rPr>
                    <w:t>项目情况</w:t>
                  </w:r>
                </w:p>
              </w:tc>
              <w:tc>
                <w:tcPr>
                  <w:tcW w:w="900" w:type="dxa"/>
                  <w:vAlign w:val="center"/>
                </w:tcPr>
                <w:p w14:paraId="3E6C7B4E">
                  <w:pPr>
                    <w:spacing w:line="240" w:lineRule="auto"/>
                    <w:ind w:firstLine="0" w:firstLineChars="0"/>
                    <w:jc w:val="center"/>
                    <w:rPr>
                      <w:rFonts w:cs="宋体"/>
                      <w:b/>
                      <w:bCs/>
                      <w:sz w:val="21"/>
                      <w:szCs w:val="21"/>
                    </w:rPr>
                  </w:pPr>
                  <w:r>
                    <w:rPr>
                      <w:rFonts w:hint="eastAsia" w:cs="宋体"/>
                      <w:b/>
                      <w:bCs/>
                      <w:sz w:val="21"/>
                      <w:szCs w:val="21"/>
                    </w:rPr>
                    <w:t>符合性</w:t>
                  </w:r>
                </w:p>
              </w:tc>
            </w:tr>
            <w:tr w14:paraId="2A948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4" w:type="dxa"/>
                  <w:vMerge w:val="restart"/>
                  <w:vAlign w:val="center"/>
                </w:tcPr>
                <w:p w14:paraId="0FB90E63">
                  <w:pPr>
                    <w:spacing w:line="240" w:lineRule="auto"/>
                    <w:ind w:firstLine="0" w:firstLineChars="0"/>
                    <w:jc w:val="center"/>
                    <w:rPr>
                      <w:rFonts w:cs="宋体"/>
                      <w:sz w:val="21"/>
                      <w:szCs w:val="21"/>
                    </w:rPr>
                  </w:pPr>
                  <w:r>
                    <w:rPr>
                      <w:rFonts w:hint="eastAsia" w:cs="宋体"/>
                      <w:sz w:val="21"/>
                      <w:szCs w:val="21"/>
                    </w:rPr>
                    <w:t>限制类</w:t>
                  </w:r>
                </w:p>
              </w:tc>
              <w:tc>
                <w:tcPr>
                  <w:tcW w:w="4382" w:type="dxa"/>
                  <w:vAlign w:val="center"/>
                </w:tcPr>
                <w:p w14:paraId="6955E1A4">
                  <w:pPr>
                    <w:spacing w:line="240" w:lineRule="auto"/>
                    <w:ind w:firstLine="0" w:firstLineChars="0"/>
                    <w:jc w:val="left"/>
                    <w:rPr>
                      <w:rFonts w:cs="宋体"/>
                      <w:sz w:val="21"/>
                      <w:szCs w:val="21"/>
                    </w:rPr>
                  </w:pPr>
                  <w:r>
                    <w:rPr>
                      <w:rFonts w:hint="eastAsia" w:cs="宋体"/>
                      <w:sz w:val="21"/>
                      <w:szCs w:val="21"/>
                    </w:rPr>
                    <w:t>技术名称：低效干式除尘技术</w:t>
                  </w:r>
                </w:p>
                <w:p w14:paraId="334AEF20">
                  <w:pPr>
                    <w:spacing w:line="240" w:lineRule="auto"/>
                    <w:ind w:firstLine="0" w:firstLineChars="0"/>
                    <w:jc w:val="left"/>
                    <w:rPr>
                      <w:rFonts w:cs="宋体"/>
                      <w:sz w:val="21"/>
                      <w:szCs w:val="21"/>
                    </w:rPr>
                  </w:pPr>
                  <w:r>
                    <w:rPr>
                      <w:rFonts w:hint="eastAsia" w:cs="宋体"/>
                      <w:sz w:val="21"/>
                      <w:szCs w:val="21"/>
                    </w:rPr>
                    <w:t>工艺、设施简介：该技术为利用颗粒物的重力、惯性力和离心力等机械力，采用旋风除尘、重力沉降、惯性除尘等干式除尘技术及其组合的除尘净化技术。</w:t>
                  </w:r>
                </w:p>
                <w:p w14:paraId="60DB417E">
                  <w:pPr>
                    <w:spacing w:line="240" w:lineRule="auto"/>
                    <w:ind w:firstLine="0" w:firstLineChars="0"/>
                    <w:jc w:val="left"/>
                    <w:rPr>
                      <w:rFonts w:cs="宋体"/>
                      <w:sz w:val="21"/>
                      <w:szCs w:val="21"/>
                    </w:rPr>
                  </w:pPr>
                  <w:r>
                    <w:rPr>
                      <w:rFonts w:hint="eastAsia" w:cs="宋体"/>
                      <w:sz w:val="21"/>
                      <w:szCs w:val="21"/>
                    </w:rPr>
                    <w:t>限制理由：除尘效率低。</w:t>
                  </w:r>
                </w:p>
                <w:p w14:paraId="0DB20FC9">
                  <w:pPr>
                    <w:spacing w:line="240" w:lineRule="auto"/>
                    <w:ind w:firstLine="0" w:firstLineChars="0"/>
                    <w:jc w:val="left"/>
                    <w:rPr>
                      <w:rFonts w:cs="宋体"/>
                      <w:sz w:val="21"/>
                      <w:szCs w:val="21"/>
                    </w:rPr>
                  </w:pPr>
                  <w:r>
                    <w:rPr>
                      <w:rFonts w:hint="eastAsia" w:cs="宋体"/>
                      <w:sz w:val="21"/>
                      <w:szCs w:val="21"/>
                    </w:rPr>
                    <w:t>豁免范围：预除尘。</w:t>
                  </w:r>
                </w:p>
              </w:tc>
              <w:tc>
                <w:tcPr>
                  <w:tcW w:w="2095" w:type="dxa"/>
                  <w:vMerge w:val="restart"/>
                  <w:vAlign w:val="center"/>
                </w:tcPr>
                <w:p w14:paraId="226E6DAB">
                  <w:pPr>
                    <w:spacing w:line="240" w:lineRule="auto"/>
                    <w:ind w:firstLine="0" w:firstLineChars="0"/>
                    <w:jc w:val="left"/>
                    <w:rPr>
                      <w:rFonts w:cs="宋体"/>
                      <w:sz w:val="21"/>
                      <w:szCs w:val="21"/>
                    </w:rPr>
                  </w:pPr>
                  <w:r>
                    <w:rPr>
                      <w:rFonts w:hint="eastAsia" w:cs="宋体"/>
                      <w:sz w:val="21"/>
                      <w:szCs w:val="21"/>
                    </w:rPr>
                    <w:t>本项目燃烧器燃烧废气，砂石骨料烘干、筛分、提升、计量等产生的废气经过密闭管道收集后由布袋除尘处理；沥青储罐呼吸废气、沥青混凝土搅拌和出料废气经收集后由“电捕焦油器+三级活性炭吸附装置”处理。项目所采用技术不属于文件中限制类别，符合要求</w:t>
                  </w:r>
                </w:p>
              </w:tc>
              <w:tc>
                <w:tcPr>
                  <w:tcW w:w="900" w:type="dxa"/>
                  <w:vMerge w:val="restart"/>
                  <w:vAlign w:val="center"/>
                </w:tcPr>
                <w:p w14:paraId="6026C6D8">
                  <w:pPr>
                    <w:spacing w:line="240" w:lineRule="auto"/>
                    <w:ind w:firstLine="0" w:firstLineChars="0"/>
                    <w:jc w:val="center"/>
                    <w:rPr>
                      <w:rFonts w:cs="宋体"/>
                      <w:sz w:val="21"/>
                      <w:szCs w:val="21"/>
                    </w:rPr>
                  </w:pPr>
                  <w:r>
                    <w:rPr>
                      <w:rFonts w:hint="eastAsia" w:cs="宋体"/>
                      <w:sz w:val="21"/>
                      <w:szCs w:val="21"/>
                    </w:rPr>
                    <w:t>符合</w:t>
                  </w:r>
                </w:p>
              </w:tc>
            </w:tr>
            <w:tr w14:paraId="252A0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4" w:type="dxa"/>
                  <w:vMerge w:val="continue"/>
                  <w:vAlign w:val="center"/>
                </w:tcPr>
                <w:p w14:paraId="75551B32">
                  <w:pPr>
                    <w:spacing w:line="240" w:lineRule="auto"/>
                    <w:ind w:firstLine="0" w:firstLineChars="0"/>
                    <w:jc w:val="center"/>
                    <w:rPr>
                      <w:rFonts w:cs="宋体"/>
                      <w:sz w:val="21"/>
                      <w:szCs w:val="21"/>
                    </w:rPr>
                  </w:pPr>
                </w:p>
              </w:tc>
              <w:tc>
                <w:tcPr>
                  <w:tcW w:w="4382" w:type="dxa"/>
                  <w:vAlign w:val="center"/>
                </w:tcPr>
                <w:p w14:paraId="2C61A0DD">
                  <w:pPr>
                    <w:spacing w:line="240" w:lineRule="auto"/>
                    <w:ind w:firstLine="0" w:firstLineChars="0"/>
                    <w:jc w:val="left"/>
                    <w:rPr>
                      <w:rFonts w:cs="宋体"/>
                      <w:sz w:val="21"/>
                      <w:szCs w:val="21"/>
                    </w:rPr>
                  </w:pPr>
                  <w:r>
                    <w:rPr>
                      <w:rFonts w:hint="eastAsia" w:cs="宋体"/>
                      <w:sz w:val="21"/>
                      <w:szCs w:val="21"/>
                    </w:rPr>
                    <w:t>技术名称：烟气湿法除尘脱硫一体化技术</w:t>
                  </w:r>
                </w:p>
              </w:tc>
              <w:tc>
                <w:tcPr>
                  <w:tcW w:w="2095" w:type="dxa"/>
                  <w:vMerge w:val="continue"/>
                  <w:vAlign w:val="center"/>
                </w:tcPr>
                <w:p w14:paraId="1B65159D">
                  <w:pPr>
                    <w:spacing w:line="240" w:lineRule="auto"/>
                    <w:ind w:firstLine="0" w:firstLineChars="0"/>
                    <w:jc w:val="center"/>
                    <w:rPr>
                      <w:rFonts w:cs="宋体"/>
                      <w:sz w:val="21"/>
                      <w:szCs w:val="21"/>
                    </w:rPr>
                  </w:pPr>
                </w:p>
              </w:tc>
              <w:tc>
                <w:tcPr>
                  <w:tcW w:w="900" w:type="dxa"/>
                  <w:vMerge w:val="continue"/>
                  <w:vAlign w:val="center"/>
                </w:tcPr>
                <w:p w14:paraId="601EDB21">
                  <w:pPr>
                    <w:spacing w:line="240" w:lineRule="auto"/>
                    <w:ind w:firstLine="0" w:firstLineChars="0"/>
                    <w:jc w:val="center"/>
                    <w:rPr>
                      <w:rFonts w:cs="宋体"/>
                      <w:sz w:val="21"/>
                      <w:szCs w:val="21"/>
                    </w:rPr>
                  </w:pPr>
                </w:p>
              </w:tc>
            </w:tr>
            <w:tr w14:paraId="04E17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4" w:type="dxa"/>
                  <w:vMerge w:val="continue"/>
                  <w:vAlign w:val="center"/>
                </w:tcPr>
                <w:p w14:paraId="32267651">
                  <w:pPr>
                    <w:spacing w:line="240" w:lineRule="auto"/>
                    <w:ind w:firstLine="0" w:firstLineChars="0"/>
                    <w:jc w:val="center"/>
                    <w:rPr>
                      <w:rFonts w:cs="宋体"/>
                      <w:sz w:val="21"/>
                      <w:szCs w:val="21"/>
                    </w:rPr>
                  </w:pPr>
                </w:p>
              </w:tc>
              <w:tc>
                <w:tcPr>
                  <w:tcW w:w="4382" w:type="dxa"/>
                  <w:vAlign w:val="center"/>
                </w:tcPr>
                <w:p w14:paraId="6FD9239D">
                  <w:pPr>
                    <w:spacing w:line="240" w:lineRule="auto"/>
                    <w:ind w:firstLine="0" w:firstLineChars="0"/>
                    <w:jc w:val="left"/>
                    <w:rPr>
                      <w:rFonts w:cs="宋体"/>
                      <w:sz w:val="21"/>
                      <w:szCs w:val="21"/>
                    </w:rPr>
                  </w:pPr>
                  <w:r>
                    <w:rPr>
                      <w:rFonts w:hint="eastAsia" w:cs="宋体"/>
                      <w:sz w:val="21"/>
                      <w:szCs w:val="21"/>
                    </w:rPr>
                    <w:t>技术名称：VOCs（挥发性有机物）洗涤吸收净化技术</w:t>
                  </w:r>
                </w:p>
                <w:p w14:paraId="19948921">
                  <w:pPr>
                    <w:spacing w:line="240" w:lineRule="auto"/>
                    <w:ind w:firstLine="0" w:firstLineChars="0"/>
                    <w:jc w:val="left"/>
                    <w:rPr>
                      <w:rFonts w:cs="宋体"/>
                      <w:sz w:val="21"/>
                      <w:szCs w:val="21"/>
                    </w:rPr>
                  </w:pPr>
                  <w:r>
                    <w:rPr>
                      <w:rFonts w:hint="eastAsia" w:cs="宋体"/>
                      <w:sz w:val="21"/>
                      <w:szCs w:val="21"/>
                    </w:rPr>
                    <w:t>工艺、设施简介：该技术仅采用水、酸液、碱液洗涤吸收工业废气中VOCs后直接排放。</w:t>
                  </w:r>
                </w:p>
                <w:p w14:paraId="06800B63">
                  <w:pPr>
                    <w:spacing w:line="240" w:lineRule="auto"/>
                    <w:ind w:firstLine="0" w:firstLineChars="0"/>
                    <w:jc w:val="left"/>
                    <w:rPr>
                      <w:rFonts w:cs="宋体"/>
                      <w:sz w:val="21"/>
                      <w:szCs w:val="21"/>
                    </w:rPr>
                  </w:pPr>
                  <w:r>
                    <w:rPr>
                      <w:rFonts w:hint="eastAsia" w:cs="宋体"/>
                      <w:sz w:val="21"/>
                      <w:szCs w:val="21"/>
                    </w:rPr>
                    <w:t>限制理由：对非水溶性、无酸碱反应性的VOCs无净化效果。</w:t>
                  </w:r>
                </w:p>
                <w:p w14:paraId="25A079A6">
                  <w:pPr>
                    <w:spacing w:line="240" w:lineRule="auto"/>
                    <w:ind w:firstLine="0" w:firstLineChars="0"/>
                    <w:jc w:val="left"/>
                    <w:rPr>
                      <w:rFonts w:cs="宋体"/>
                      <w:sz w:val="21"/>
                      <w:szCs w:val="21"/>
                    </w:rPr>
                  </w:pPr>
                  <w:r>
                    <w:rPr>
                      <w:rFonts w:hint="eastAsia" w:cs="宋体"/>
                      <w:sz w:val="21"/>
                      <w:szCs w:val="21"/>
                    </w:rPr>
                    <w:t>豁免范围：水溶性或有酸碱反应性的VOCs处理。</w:t>
                  </w:r>
                </w:p>
              </w:tc>
              <w:tc>
                <w:tcPr>
                  <w:tcW w:w="2095" w:type="dxa"/>
                  <w:vMerge w:val="continue"/>
                  <w:vAlign w:val="center"/>
                </w:tcPr>
                <w:p w14:paraId="216A20C4">
                  <w:pPr>
                    <w:spacing w:line="240" w:lineRule="auto"/>
                    <w:ind w:firstLine="0" w:firstLineChars="0"/>
                    <w:jc w:val="center"/>
                    <w:rPr>
                      <w:rFonts w:cs="宋体"/>
                      <w:sz w:val="21"/>
                      <w:szCs w:val="21"/>
                    </w:rPr>
                  </w:pPr>
                </w:p>
              </w:tc>
              <w:tc>
                <w:tcPr>
                  <w:tcW w:w="900" w:type="dxa"/>
                  <w:vMerge w:val="continue"/>
                  <w:vAlign w:val="center"/>
                </w:tcPr>
                <w:p w14:paraId="177BD127">
                  <w:pPr>
                    <w:spacing w:line="240" w:lineRule="auto"/>
                    <w:ind w:firstLine="0" w:firstLineChars="0"/>
                    <w:jc w:val="center"/>
                    <w:rPr>
                      <w:rFonts w:cs="宋体"/>
                      <w:sz w:val="21"/>
                      <w:szCs w:val="21"/>
                    </w:rPr>
                  </w:pPr>
                </w:p>
              </w:tc>
            </w:tr>
            <w:tr w14:paraId="355E0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4" w:type="dxa"/>
                  <w:vMerge w:val="continue"/>
                  <w:vAlign w:val="center"/>
                </w:tcPr>
                <w:p w14:paraId="65DD46A6">
                  <w:pPr>
                    <w:spacing w:line="240" w:lineRule="auto"/>
                    <w:ind w:firstLine="0" w:firstLineChars="0"/>
                    <w:jc w:val="center"/>
                    <w:rPr>
                      <w:rFonts w:cs="宋体"/>
                      <w:sz w:val="21"/>
                      <w:szCs w:val="21"/>
                    </w:rPr>
                  </w:pPr>
                </w:p>
              </w:tc>
              <w:tc>
                <w:tcPr>
                  <w:tcW w:w="4382" w:type="dxa"/>
                  <w:vAlign w:val="center"/>
                </w:tcPr>
                <w:p w14:paraId="1CE47020">
                  <w:pPr>
                    <w:spacing w:line="240" w:lineRule="auto"/>
                    <w:ind w:firstLine="0" w:firstLineChars="0"/>
                    <w:jc w:val="left"/>
                    <w:rPr>
                      <w:rFonts w:cs="宋体"/>
                      <w:sz w:val="21"/>
                      <w:szCs w:val="21"/>
                    </w:rPr>
                  </w:pPr>
                  <w:r>
                    <w:rPr>
                      <w:rFonts w:hint="eastAsia" w:cs="宋体"/>
                      <w:sz w:val="21"/>
                      <w:szCs w:val="21"/>
                    </w:rPr>
                    <w:t>技术名称：无控制系统或控制系统未实现对设施关键参数进行自动调节控制的燃烧、冷凝、吸附-脱附VOCs治理技术</w:t>
                  </w:r>
                </w:p>
                <w:p w14:paraId="3A4B4A04">
                  <w:pPr>
                    <w:spacing w:line="240" w:lineRule="auto"/>
                    <w:ind w:firstLine="0" w:firstLineChars="0"/>
                    <w:jc w:val="left"/>
                    <w:rPr>
                      <w:rFonts w:cs="宋体"/>
                      <w:sz w:val="21"/>
                      <w:szCs w:val="21"/>
                    </w:rPr>
                  </w:pPr>
                  <w:r>
                    <w:rPr>
                      <w:rFonts w:hint="eastAsia" w:cs="宋体"/>
                      <w:sz w:val="21"/>
                      <w:szCs w:val="21"/>
                    </w:rPr>
                    <w:t>工艺、设施简介：未对燃烧设施的辅助燃料用量、燃烧温度，冷凝设施的冷凝温度，吸附设施的吸附床层吸脱附时间和温度等关键参数进行自动调节与控制的VOCs治理技术。</w:t>
                  </w:r>
                </w:p>
                <w:p w14:paraId="2EAFAA04">
                  <w:pPr>
                    <w:spacing w:line="240" w:lineRule="auto"/>
                    <w:ind w:firstLine="0" w:firstLineChars="0"/>
                    <w:jc w:val="left"/>
                    <w:rPr>
                      <w:rFonts w:cs="宋体"/>
                      <w:sz w:val="21"/>
                      <w:szCs w:val="21"/>
                    </w:rPr>
                  </w:pPr>
                  <w:r>
                    <w:rPr>
                      <w:rFonts w:hint="eastAsia" w:cs="宋体"/>
                      <w:sz w:val="21"/>
                      <w:szCs w:val="21"/>
                    </w:rPr>
                    <w:t>限制理由：无法保证治理效果连续稳定。</w:t>
                  </w:r>
                </w:p>
                <w:p w14:paraId="12B18504">
                  <w:pPr>
                    <w:spacing w:line="240" w:lineRule="auto"/>
                    <w:ind w:firstLine="0" w:firstLineChars="0"/>
                    <w:jc w:val="left"/>
                    <w:rPr>
                      <w:rFonts w:cs="宋体"/>
                      <w:sz w:val="21"/>
                      <w:szCs w:val="21"/>
                    </w:rPr>
                  </w:pPr>
                  <w:r>
                    <w:rPr>
                      <w:rFonts w:hint="eastAsia" w:cs="宋体"/>
                      <w:sz w:val="21"/>
                      <w:szCs w:val="21"/>
                    </w:rPr>
                    <w:t>限制范围：全行业新改扩建VOCs治理装置。</w:t>
                  </w:r>
                </w:p>
              </w:tc>
              <w:tc>
                <w:tcPr>
                  <w:tcW w:w="2095" w:type="dxa"/>
                  <w:vMerge w:val="continue"/>
                  <w:vAlign w:val="center"/>
                </w:tcPr>
                <w:p w14:paraId="76836C8C">
                  <w:pPr>
                    <w:spacing w:line="240" w:lineRule="auto"/>
                    <w:ind w:firstLine="0" w:firstLineChars="0"/>
                    <w:jc w:val="center"/>
                    <w:rPr>
                      <w:rFonts w:cs="宋体"/>
                      <w:sz w:val="21"/>
                      <w:szCs w:val="21"/>
                    </w:rPr>
                  </w:pPr>
                </w:p>
              </w:tc>
              <w:tc>
                <w:tcPr>
                  <w:tcW w:w="900" w:type="dxa"/>
                  <w:vMerge w:val="continue"/>
                  <w:vAlign w:val="center"/>
                </w:tcPr>
                <w:p w14:paraId="5C7DC508">
                  <w:pPr>
                    <w:spacing w:line="240" w:lineRule="auto"/>
                    <w:ind w:firstLine="0" w:firstLineChars="0"/>
                    <w:jc w:val="center"/>
                    <w:rPr>
                      <w:rFonts w:cs="宋体"/>
                      <w:sz w:val="21"/>
                      <w:szCs w:val="21"/>
                    </w:rPr>
                  </w:pPr>
                </w:p>
              </w:tc>
            </w:tr>
            <w:tr w14:paraId="0097D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4" w:type="dxa"/>
                  <w:vMerge w:val="restart"/>
                  <w:vAlign w:val="center"/>
                </w:tcPr>
                <w:p w14:paraId="2DE6681C">
                  <w:pPr>
                    <w:spacing w:line="240" w:lineRule="auto"/>
                    <w:ind w:firstLine="0" w:firstLineChars="0"/>
                    <w:jc w:val="center"/>
                    <w:rPr>
                      <w:rFonts w:cs="宋体"/>
                      <w:sz w:val="21"/>
                      <w:szCs w:val="21"/>
                    </w:rPr>
                  </w:pPr>
                  <w:r>
                    <w:rPr>
                      <w:rFonts w:hint="eastAsia" w:cs="宋体"/>
                      <w:sz w:val="21"/>
                      <w:szCs w:val="21"/>
                    </w:rPr>
                    <w:t>淘汰类</w:t>
                  </w:r>
                </w:p>
              </w:tc>
              <w:tc>
                <w:tcPr>
                  <w:tcW w:w="4382" w:type="dxa"/>
                </w:tcPr>
                <w:p w14:paraId="03553467">
                  <w:pPr>
                    <w:spacing w:line="240" w:lineRule="auto"/>
                    <w:ind w:firstLine="0" w:firstLineChars="0"/>
                    <w:jc w:val="left"/>
                    <w:rPr>
                      <w:rFonts w:cs="宋体"/>
                      <w:sz w:val="21"/>
                      <w:szCs w:val="21"/>
                    </w:rPr>
                  </w:pPr>
                  <w:r>
                    <w:rPr>
                      <w:rFonts w:hint="eastAsia" w:cs="宋体"/>
                      <w:sz w:val="21"/>
                      <w:szCs w:val="21"/>
                    </w:rPr>
                    <w:t>技术名称：正压反吸风类袋式除尘技术</w:t>
                  </w:r>
                </w:p>
                <w:p w14:paraId="04E5CBD1">
                  <w:pPr>
                    <w:spacing w:line="240" w:lineRule="auto"/>
                    <w:ind w:firstLine="0" w:firstLineChars="0"/>
                    <w:jc w:val="left"/>
                    <w:rPr>
                      <w:rFonts w:cs="宋体"/>
                      <w:sz w:val="21"/>
                      <w:szCs w:val="21"/>
                    </w:rPr>
                  </w:pPr>
                  <w:r>
                    <w:rPr>
                      <w:rFonts w:hint="eastAsia" w:cs="宋体"/>
                      <w:sz w:val="21"/>
                      <w:szCs w:val="21"/>
                    </w:rPr>
                    <w:t>工艺、设施简介：该技术为采用正压过滤和反吸风方式清灰，且无排气筒，直接排放的袋式除尘技术。</w:t>
                  </w:r>
                </w:p>
                <w:p w14:paraId="178F49AB">
                  <w:pPr>
                    <w:spacing w:line="240" w:lineRule="auto"/>
                    <w:ind w:firstLine="0" w:firstLineChars="0"/>
                    <w:jc w:val="left"/>
                    <w:rPr>
                      <w:rFonts w:cs="宋体"/>
                      <w:sz w:val="21"/>
                      <w:szCs w:val="21"/>
                    </w:rPr>
                  </w:pPr>
                  <w:r>
                    <w:rPr>
                      <w:rFonts w:hint="eastAsia" w:cs="宋体"/>
                      <w:sz w:val="21"/>
                      <w:szCs w:val="21"/>
                    </w:rPr>
                    <w:t>淘汰理由：易形成无组织排放，清灰能力弱，无法实现连续监测，排空高度不够。</w:t>
                  </w:r>
                </w:p>
                <w:p w14:paraId="62FBBEEB">
                  <w:pPr>
                    <w:spacing w:line="240" w:lineRule="auto"/>
                    <w:ind w:firstLine="0" w:firstLineChars="0"/>
                    <w:jc w:val="left"/>
                    <w:rPr>
                      <w:rFonts w:cs="宋体"/>
                      <w:sz w:val="21"/>
                      <w:szCs w:val="21"/>
                    </w:rPr>
                  </w:pPr>
                  <w:r>
                    <w:rPr>
                      <w:rFonts w:hint="eastAsia" w:cs="宋体"/>
                      <w:sz w:val="21"/>
                      <w:szCs w:val="21"/>
                    </w:rPr>
                    <w:t>淘汰范围：全行业烟气除尘。</w:t>
                  </w:r>
                </w:p>
              </w:tc>
              <w:tc>
                <w:tcPr>
                  <w:tcW w:w="2095" w:type="dxa"/>
                  <w:vMerge w:val="restart"/>
                  <w:vAlign w:val="center"/>
                </w:tcPr>
                <w:p w14:paraId="19414F76">
                  <w:pPr>
                    <w:spacing w:line="240" w:lineRule="auto"/>
                    <w:ind w:firstLine="0" w:firstLineChars="0"/>
                    <w:jc w:val="center"/>
                    <w:rPr>
                      <w:rFonts w:cs="宋体"/>
                      <w:sz w:val="21"/>
                      <w:szCs w:val="21"/>
                    </w:rPr>
                  </w:pPr>
                  <w:r>
                    <w:rPr>
                      <w:rFonts w:hint="eastAsia" w:cs="宋体"/>
                      <w:sz w:val="21"/>
                      <w:szCs w:val="21"/>
                    </w:rPr>
                    <w:t>本项目燃烧器燃烧，砂石骨料烘干、筛分、提升、计量等产生的废气经过密闭管道收集后由布袋除尘处理；沥青储罐呼吸废气、沥青混凝土搅拌和出料废气经收集后由“电捕焦油器+三级活性炭吸附装置”处理。项目所采用技术不属于文件中淘汰类别，符合要求。</w:t>
                  </w:r>
                </w:p>
              </w:tc>
              <w:tc>
                <w:tcPr>
                  <w:tcW w:w="900" w:type="dxa"/>
                  <w:vMerge w:val="restart"/>
                  <w:vAlign w:val="center"/>
                </w:tcPr>
                <w:p w14:paraId="3712793A">
                  <w:pPr>
                    <w:spacing w:line="240" w:lineRule="auto"/>
                    <w:ind w:firstLine="0" w:firstLineChars="0"/>
                    <w:jc w:val="center"/>
                    <w:rPr>
                      <w:rFonts w:cs="宋体"/>
                      <w:sz w:val="21"/>
                      <w:szCs w:val="21"/>
                    </w:rPr>
                  </w:pPr>
                  <w:r>
                    <w:rPr>
                      <w:rFonts w:hint="eastAsia" w:cs="宋体"/>
                      <w:sz w:val="21"/>
                      <w:szCs w:val="21"/>
                    </w:rPr>
                    <w:t>符合</w:t>
                  </w:r>
                </w:p>
              </w:tc>
            </w:tr>
            <w:tr w14:paraId="703E2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4" w:type="dxa"/>
                  <w:vMerge w:val="continue"/>
                  <w:vAlign w:val="center"/>
                </w:tcPr>
                <w:p w14:paraId="5DAE6B7E">
                  <w:pPr>
                    <w:spacing w:line="240" w:lineRule="auto"/>
                    <w:ind w:firstLine="0" w:firstLineChars="0"/>
                    <w:jc w:val="center"/>
                    <w:rPr>
                      <w:rFonts w:cs="宋体"/>
                      <w:sz w:val="21"/>
                      <w:szCs w:val="21"/>
                    </w:rPr>
                  </w:pPr>
                </w:p>
              </w:tc>
              <w:tc>
                <w:tcPr>
                  <w:tcW w:w="4382" w:type="dxa"/>
                </w:tcPr>
                <w:p w14:paraId="2AD3D534">
                  <w:pPr>
                    <w:spacing w:line="240" w:lineRule="auto"/>
                    <w:ind w:firstLine="0" w:firstLineChars="0"/>
                    <w:jc w:val="left"/>
                    <w:rPr>
                      <w:rFonts w:cs="宋体"/>
                      <w:sz w:val="21"/>
                      <w:szCs w:val="21"/>
                    </w:rPr>
                  </w:pPr>
                  <w:r>
                    <w:rPr>
                      <w:rFonts w:hint="eastAsia" w:cs="宋体"/>
                      <w:sz w:val="21"/>
                      <w:szCs w:val="21"/>
                    </w:rPr>
                    <w:t>技术名称：VOCs光催化及其组合净化技术</w:t>
                  </w:r>
                </w:p>
                <w:p w14:paraId="2271E76C">
                  <w:pPr>
                    <w:spacing w:line="240" w:lineRule="auto"/>
                    <w:ind w:firstLine="0" w:firstLineChars="0"/>
                    <w:jc w:val="left"/>
                    <w:rPr>
                      <w:rFonts w:cs="宋体"/>
                      <w:sz w:val="21"/>
                      <w:szCs w:val="21"/>
                    </w:rPr>
                  </w:pPr>
                  <w:r>
                    <w:rPr>
                      <w:rFonts w:hint="eastAsia" w:cs="宋体"/>
                      <w:sz w:val="21"/>
                      <w:szCs w:val="21"/>
                    </w:rPr>
                    <w:t>工艺、设施简介：该技术利用二氧化钛等光催化剂，通过紫外光、可见光激活并氧化VOCs。</w:t>
                  </w:r>
                </w:p>
                <w:p w14:paraId="51FE5DBC">
                  <w:pPr>
                    <w:spacing w:line="240" w:lineRule="auto"/>
                    <w:ind w:firstLine="0" w:firstLineChars="0"/>
                    <w:jc w:val="left"/>
                    <w:rPr>
                      <w:rFonts w:cs="宋体"/>
                      <w:sz w:val="21"/>
                      <w:szCs w:val="21"/>
                    </w:rPr>
                  </w:pPr>
                  <w:r>
                    <w:rPr>
                      <w:rFonts w:hint="eastAsia" w:cs="宋体"/>
                      <w:sz w:val="21"/>
                      <w:szCs w:val="21"/>
                    </w:rPr>
                    <w:t>淘汰理由：光催化反应速率慢、产物不明，应用于VOCs治理时处理效率低，达不到治理要求。</w:t>
                  </w:r>
                </w:p>
                <w:p w14:paraId="3027D4FC">
                  <w:pPr>
                    <w:spacing w:line="240" w:lineRule="auto"/>
                    <w:ind w:firstLine="0" w:firstLineChars="0"/>
                    <w:jc w:val="left"/>
                    <w:rPr>
                      <w:rFonts w:cs="宋体"/>
                      <w:sz w:val="21"/>
                      <w:szCs w:val="21"/>
                    </w:rPr>
                  </w:pPr>
                  <w:r>
                    <w:rPr>
                      <w:rFonts w:hint="eastAsia" w:cs="宋体"/>
                      <w:sz w:val="21"/>
                      <w:szCs w:val="21"/>
                    </w:rPr>
                    <w:t>淘汰范围：有组织排放的VOCs治理（恶臭异味治理豁免）。</w:t>
                  </w:r>
                </w:p>
              </w:tc>
              <w:tc>
                <w:tcPr>
                  <w:tcW w:w="2095" w:type="dxa"/>
                  <w:vMerge w:val="continue"/>
                  <w:vAlign w:val="center"/>
                </w:tcPr>
                <w:p w14:paraId="3FC2D002">
                  <w:pPr>
                    <w:spacing w:line="240" w:lineRule="auto"/>
                    <w:ind w:firstLine="0" w:firstLineChars="0"/>
                    <w:jc w:val="center"/>
                    <w:rPr>
                      <w:rFonts w:cs="宋体"/>
                      <w:sz w:val="21"/>
                      <w:szCs w:val="21"/>
                    </w:rPr>
                  </w:pPr>
                </w:p>
              </w:tc>
              <w:tc>
                <w:tcPr>
                  <w:tcW w:w="900" w:type="dxa"/>
                  <w:vMerge w:val="continue"/>
                  <w:vAlign w:val="center"/>
                </w:tcPr>
                <w:p w14:paraId="7A8464E6">
                  <w:pPr>
                    <w:spacing w:line="240" w:lineRule="auto"/>
                    <w:ind w:firstLine="0" w:firstLineChars="0"/>
                    <w:jc w:val="center"/>
                    <w:rPr>
                      <w:rFonts w:cs="宋体"/>
                      <w:sz w:val="21"/>
                      <w:szCs w:val="21"/>
                    </w:rPr>
                  </w:pPr>
                </w:p>
              </w:tc>
            </w:tr>
            <w:tr w14:paraId="0FF58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4" w:type="dxa"/>
                  <w:vMerge w:val="continue"/>
                  <w:vAlign w:val="center"/>
                </w:tcPr>
                <w:p w14:paraId="444CECF2">
                  <w:pPr>
                    <w:spacing w:line="240" w:lineRule="auto"/>
                    <w:ind w:firstLine="0" w:firstLineChars="0"/>
                    <w:jc w:val="center"/>
                    <w:rPr>
                      <w:rFonts w:cs="宋体"/>
                      <w:sz w:val="21"/>
                      <w:szCs w:val="21"/>
                    </w:rPr>
                  </w:pPr>
                </w:p>
              </w:tc>
              <w:tc>
                <w:tcPr>
                  <w:tcW w:w="4382" w:type="dxa"/>
                </w:tcPr>
                <w:p w14:paraId="3F777D41">
                  <w:pPr>
                    <w:spacing w:line="240" w:lineRule="auto"/>
                    <w:ind w:firstLine="0" w:firstLineChars="0"/>
                    <w:jc w:val="left"/>
                    <w:rPr>
                      <w:rFonts w:cs="宋体"/>
                      <w:sz w:val="21"/>
                      <w:szCs w:val="21"/>
                    </w:rPr>
                  </w:pPr>
                  <w:r>
                    <w:rPr>
                      <w:rFonts w:hint="eastAsia" w:cs="宋体"/>
                      <w:sz w:val="21"/>
                      <w:szCs w:val="21"/>
                    </w:rPr>
                    <w:t>技术名称：VOCs低温等离子体及其组合净化技术</w:t>
                  </w:r>
                </w:p>
                <w:p w14:paraId="4881C2D2">
                  <w:pPr>
                    <w:spacing w:line="240" w:lineRule="auto"/>
                    <w:ind w:firstLine="0" w:firstLineChars="0"/>
                    <w:jc w:val="left"/>
                    <w:rPr>
                      <w:rFonts w:cs="宋体"/>
                      <w:sz w:val="21"/>
                      <w:szCs w:val="21"/>
                    </w:rPr>
                  </w:pPr>
                  <w:r>
                    <w:rPr>
                      <w:rFonts w:hint="eastAsia" w:cs="宋体"/>
                      <w:sz w:val="21"/>
                      <w:szCs w:val="21"/>
                    </w:rPr>
                    <w:t>工艺、设施简介：该技术利用气体分子在电场作用下产生的激发态分子、电子、离子、原子和自由基等活性物种，降解废气中有机污染物分子。</w:t>
                  </w:r>
                </w:p>
                <w:p w14:paraId="5F314CEA">
                  <w:pPr>
                    <w:spacing w:line="240" w:lineRule="auto"/>
                    <w:ind w:firstLine="0" w:firstLineChars="0"/>
                    <w:jc w:val="left"/>
                    <w:rPr>
                      <w:rFonts w:cs="宋体"/>
                      <w:sz w:val="21"/>
                      <w:szCs w:val="21"/>
                    </w:rPr>
                  </w:pPr>
                  <w:r>
                    <w:rPr>
                      <w:rFonts w:hint="eastAsia" w:cs="宋体"/>
                      <w:sz w:val="21"/>
                      <w:szCs w:val="21"/>
                    </w:rPr>
                    <w:t>大部分挥发性有机物分子在低温等离子体场中淘汰理由：降解矿化不完全；目前低温等离子体净化设施普遍存在装机功率不足、反应时间不充分、处理效率低等问题；分解产物不明、生成臭氧等二次污染物。</w:t>
                  </w:r>
                </w:p>
                <w:p w14:paraId="423108BB">
                  <w:pPr>
                    <w:spacing w:line="240" w:lineRule="auto"/>
                    <w:ind w:firstLine="0" w:firstLineChars="0"/>
                    <w:jc w:val="left"/>
                    <w:rPr>
                      <w:rFonts w:cs="宋体"/>
                      <w:sz w:val="21"/>
                      <w:szCs w:val="21"/>
                    </w:rPr>
                  </w:pPr>
                  <w:r>
                    <w:rPr>
                      <w:rFonts w:hint="eastAsia" w:cs="宋体"/>
                      <w:sz w:val="21"/>
                      <w:szCs w:val="21"/>
                    </w:rPr>
                    <w:t>淘汰范围：全行业VOCs治理（恶臭异味治理豁免）。</w:t>
                  </w:r>
                </w:p>
              </w:tc>
              <w:tc>
                <w:tcPr>
                  <w:tcW w:w="2095" w:type="dxa"/>
                  <w:vMerge w:val="continue"/>
                  <w:vAlign w:val="center"/>
                </w:tcPr>
                <w:p w14:paraId="3B046E6B">
                  <w:pPr>
                    <w:spacing w:line="240" w:lineRule="auto"/>
                    <w:ind w:firstLine="0" w:firstLineChars="0"/>
                    <w:jc w:val="center"/>
                    <w:rPr>
                      <w:rFonts w:cs="宋体"/>
                      <w:sz w:val="21"/>
                      <w:szCs w:val="21"/>
                    </w:rPr>
                  </w:pPr>
                </w:p>
              </w:tc>
              <w:tc>
                <w:tcPr>
                  <w:tcW w:w="900" w:type="dxa"/>
                  <w:vMerge w:val="continue"/>
                  <w:vAlign w:val="center"/>
                </w:tcPr>
                <w:p w14:paraId="1C46FB7F">
                  <w:pPr>
                    <w:spacing w:line="240" w:lineRule="auto"/>
                    <w:ind w:firstLine="0" w:firstLineChars="0"/>
                    <w:jc w:val="center"/>
                    <w:rPr>
                      <w:rFonts w:cs="宋体"/>
                      <w:sz w:val="21"/>
                      <w:szCs w:val="21"/>
                    </w:rPr>
                  </w:pPr>
                </w:p>
              </w:tc>
            </w:tr>
            <w:tr w14:paraId="7E0D8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4" w:type="dxa"/>
                  <w:vMerge w:val="continue"/>
                  <w:vAlign w:val="center"/>
                </w:tcPr>
                <w:p w14:paraId="3537A1B0">
                  <w:pPr>
                    <w:spacing w:line="240" w:lineRule="auto"/>
                    <w:ind w:firstLine="0" w:firstLineChars="0"/>
                    <w:jc w:val="center"/>
                    <w:rPr>
                      <w:rFonts w:cs="宋体"/>
                      <w:sz w:val="21"/>
                      <w:szCs w:val="21"/>
                    </w:rPr>
                  </w:pPr>
                </w:p>
              </w:tc>
              <w:tc>
                <w:tcPr>
                  <w:tcW w:w="4382" w:type="dxa"/>
                </w:tcPr>
                <w:p w14:paraId="567125A4">
                  <w:pPr>
                    <w:spacing w:line="240" w:lineRule="auto"/>
                    <w:ind w:firstLine="0" w:firstLineChars="0"/>
                    <w:jc w:val="left"/>
                    <w:rPr>
                      <w:rFonts w:cs="宋体"/>
                      <w:sz w:val="21"/>
                      <w:szCs w:val="21"/>
                    </w:rPr>
                  </w:pPr>
                  <w:r>
                    <w:rPr>
                      <w:rFonts w:hint="eastAsia" w:cs="宋体"/>
                      <w:sz w:val="21"/>
                      <w:szCs w:val="21"/>
                    </w:rPr>
                    <w:t>技术名称：VOCs光解（光氧化）及其组合净化技术</w:t>
                  </w:r>
                </w:p>
                <w:p w14:paraId="3396951A">
                  <w:pPr>
                    <w:spacing w:line="240" w:lineRule="auto"/>
                    <w:ind w:firstLine="0" w:firstLineChars="0"/>
                    <w:jc w:val="left"/>
                    <w:rPr>
                      <w:rFonts w:cs="宋体"/>
                      <w:sz w:val="21"/>
                      <w:szCs w:val="21"/>
                    </w:rPr>
                  </w:pPr>
                  <w:r>
                    <w:rPr>
                      <w:rFonts w:hint="eastAsia" w:cs="宋体"/>
                      <w:sz w:val="21"/>
                      <w:szCs w:val="21"/>
                    </w:rPr>
                    <w:t>工艺、设施简介：该技术利用污染物分子吸收短波长紫外光，引发污染物分子化学键断裂，同时废气中的氧气或水分子吸收短波长紫外光后，产生包括臭氧和羟基自由基等在内的活性物种与污染物分子发生降解反应。</w:t>
                  </w:r>
                </w:p>
                <w:p w14:paraId="394F2351">
                  <w:pPr>
                    <w:spacing w:line="240" w:lineRule="auto"/>
                    <w:ind w:firstLine="0" w:firstLineChars="0"/>
                    <w:jc w:val="left"/>
                    <w:rPr>
                      <w:rFonts w:cs="宋体"/>
                      <w:sz w:val="21"/>
                      <w:szCs w:val="21"/>
                    </w:rPr>
                  </w:pPr>
                  <w:r>
                    <w:rPr>
                      <w:rFonts w:hint="eastAsia" w:cs="宋体"/>
                      <w:sz w:val="21"/>
                      <w:szCs w:val="21"/>
                    </w:rPr>
                    <w:t>淘汰理由：光氧化光电转换效率低，反应装置有效光辐射能量普遍不足；应用于工业废气处理时，处理效率低；反应产物不明。</w:t>
                  </w:r>
                </w:p>
                <w:p w14:paraId="5DE7CDC0">
                  <w:pPr>
                    <w:spacing w:line="240" w:lineRule="auto"/>
                    <w:ind w:firstLine="0" w:firstLineChars="0"/>
                    <w:jc w:val="left"/>
                    <w:rPr>
                      <w:rFonts w:cs="宋体"/>
                      <w:sz w:val="21"/>
                      <w:szCs w:val="21"/>
                    </w:rPr>
                  </w:pPr>
                  <w:r>
                    <w:rPr>
                      <w:rFonts w:hint="eastAsia" w:cs="宋体"/>
                      <w:sz w:val="21"/>
                      <w:szCs w:val="21"/>
                    </w:rPr>
                    <w:t>淘汰范围：全行业VOCs治理（恶臭异味治理豁免）。</w:t>
                  </w:r>
                </w:p>
              </w:tc>
              <w:tc>
                <w:tcPr>
                  <w:tcW w:w="2095" w:type="dxa"/>
                  <w:vMerge w:val="continue"/>
                  <w:vAlign w:val="center"/>
                </w:tcPr>
                <w:p w14:paraId="71BA2F60">
                  <w:pPr>
                    <w:spacing w:line="240" w:lineRule="auto"/>
                    <w:ind w:firstLine="0" w:firstLineChars="0"/>
                    <w:jc w:val="center"/>
                    <w:rPr>
                      <w:rFonts w:cs="宋体"/>
                      <w:sz w:val="21"/>
                      <w:szCs w:val="21"/>
                    </w:rPr>
                  </w:pPr>
                </w:p>
              </w:tc>
              <w:tc>
                <w:tcPr>
                  <w:tcW w:w="900" w:type="dxa"/>
                  <w:vMerge w:val="continue"/>
                  <w:vAlign w:val="center"/>
                </w:tcPr>
                <w:p w14:paraId="6B7A92DB">
                  <w:pPr>
                    <w:spacing w:line="240" w:lineRule="auto"/>
                    <w:ind w:firstLine="0" w:firstLineChars="0"/>
                    <w:jc w:val="center"/>
                    <w:rPr>
                      <w:rFonts w:cs="宋体"/>
                      <w:sz w:val="21"/>
                      <w:szCs w:val="21"/>
                    </w:rPr>
                  </w:pPr>
                </w:p>
              </w:tc>
            </w:tr>
          </w:tbl>
          <w:p w14:paraId="1A402536">
            <w:pPr>
              <w:ind w:firstLine="480"/>
              <w:rPr>
                <w:rStyle w:val="30"/>
                <w:kern w:val="0"/>
                <w:sz w:val="24"/>
                <w:szCs w:val="24"/>
              </w:rPr>
            </w:pPr>
            <w:r>
              <w:rPr>
                <w:rStyle w:val="30"/>
                <w:rFonts w:hint="eastAsia"/>
                <w:kern w:val="0"/>
                <w:sz w:val="24"/>
                <w:szCs w:val="24"/>
              </w:rPr>
              <w:t>综上，项目不属于《国家污染防治技术指导目录》（2024年，限制类和淘汰类）中限制类和淘汰类技术，项目所采用技术符合其要求。</w:t>
            </w:r>
          </w:p>
          <w:p w14:paraId="3E800CA6">
            <w:pPr>
              <w:numPr>
                <w:ilvl w:val="0"/>
                <w:numId w:val="3"/>
              </w:numPr>
              <w:ind w:firstLine="0" w:firstLineChars="0"/>
              <w:rPr>
                <w:b/>
                <w:bCs/>
              </w:rPr>
            </w:pPr>
            <w:r>
              <w:rPr>
                <w:rFonts w:hint="eastAsia"/>
                <w:b/>
                <w:bCs/>
              </w:rPr>
              <w:t>“昆明市生态环境分区管控动态更新方案（2023年）”符合性分析</w:t>
            </w:r>
          </w:p>
          <w:p w14:paraId="33862D1B">
            <w:pPr>
              <w:tabs>
                <w:tab w:val="left" w:pos="540"/>
                <w:tab w:val="left" w:pos="851"/>
                <w:tab w:val="left" w:pos="994"/>
                <w:tab w:val="left" w:pos="1028"/>
                <w:tab w:val="left" w:pos="1260"/>
                <w:tab w:val="left" w:pos="3108"/>
                <w:tab w:val="left" w:pos="3150"/>
              </w:tabs>
              <w:adjustRightInd w:val="0"/>
              <w:ind w:firstLine="480"/>
            </w:pPr>
            <w:r>
              <w:rPr>
                <w:rFonts w:hint="eastAsia"/>
              </w:rPr>
              <w:t>昆明市生态环境局2024年11月12日关于印发《昆明市生态环境分区管控动态更新方案（2023年）》的通知。</w:t>
            </w:r>
            <w:r>
              <w:rPr>
                <w:rStyle w:val="30"/>
                <w:rFonts w:hint="eastAsia"/>
                <w:kern w:val="0"/>
                <w:sz w:val="24"/>
                <w:szCs w:val="24"/>
              </w:rPr>
              <w:t>根据生态环境分区管控查询结果，</w:t>
            </w:r>
            <w:r>
              <w:rPr>
                <w:rFonts w:hint="eastAsia"/>
              </w:rPr>
              <w:t>项目占地范围为寻甸回族彝族自治县一般管控单元，周边300m范围内涉及环境管控单位为寻甸回族彝族自治县一般管控单元和一般生态空间优先保护单元。</w:t>
            </w:r>
          </w:p>
          <w:p w14:paraId="2F54CF2F">
            <w:pPr>
              <w:tabs>
                <w:tab w:val="left" w:pos="540"/>
                <w:tab w:val="left" w:pos="851"/>
                <w:tab w:val="left" w:pos="994"/>
                <w:tab w:val="left" w:pos="1028"/>
                <w:tab w:val="left" w:pos="1260"/>
                <w:tab w:val="left" w:pos="3108"/>
                <w:tab w:val="left" w:pos="3150"/>
              </w:tabs>
              <w:adjustRightInd w:val="0"/>
              <w:ind w:firstLine="480"/>
              <w:rPr>
                <w:rStyle w:val="30"/>
                <w:kern w:val="0"/>
                <w:sz w:val="24"/>
                <w:szCs w:val="24"/>
              </w:rPr>
            </w:pPr>
            <w:r>
              <w:rPr>
                <w:rFonts w:hint="eastAsia"/>
              </w:rPr>
              <w:t>本项目与《昆明市生态环境分区管控动态更新方案（2023年）》符合性</w:t>
            </w:r>
            <w:r>
              <w:t>具体分析见下表。</w:t>
            </w:r>
          </w:p>
          <w:p w14:paraId="0FDBBE7B">
            <w:pPr>
              <w:ind w:firstLine="0" w:firstLineChars="0"/>
              <w:jc w:val="center"/>
              <w:rPr>
                <w:b/>
                <w:bCs/>
                <w:sz w:val="21"/>
                <w:szCs w:val="21"/>
                <w:lang w:eastAsia="zh-TW"/>
              </w:rPr>
            </w:pPr>
            <w:r>
              <w:rPr>
                <w:rFonts w:hint="eastAsia"/>
                <w:b/>
                <w:bCs/>
                <w:sz w:val="21"/>
                <w:szCs w:val="21"/>
                <w:lang w:eastAsia="zh-TW"/>
              </w:rPr>
              <w:t>表1-</w:t>
            </w:r>
            <w:r>
              <w:rPr>
                <w:rFonts w:hint="eastAsia"/>
                <w:b/>
                <w:bCs/>
                <w:sz w:val="21"/>
                <w:szCs w:val="21"/>
              </w:rPr>
              <w:t>2</w:t>
            </w:r>
            <w:r>
              <w:rPr>
                <w:rFonts w:hint="eastAsia"/>
                <w:b/>
                <w:bCs/>
                <w:sz w:val="21"/>
                <w:szCs w:val="21"/>
                <w:lang w:eastAsia="zh-TW"/>
              </w:rPr>
              <w:t xml:space="preserve">  项目与《昆明市生态环境分区管控动态更新方案（2023年）》符合性分析表</w:t>
            </w:r>
          </w:p>
          <w:tbl>
            <w:tblPr>
              <w:tblStyle w:val="26"/>
              <w:tblW w:w="495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6"/>
              <w:gridCol w:w="465"/>
              <w:gridCol w:w="3560"/>
              <w:gridCol w:w="2259"/>
              <w:gridCol w:w="742"/>
            </w:tblGrid>
            <w:tr w14:paraId="75693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39" w:type="pct"/>
                  <w:gridSpan w:val="3"/>
                  <w:vAlign w:val="center"/>
                </w:tcPr>
                <w:p w14:paraId="71216855">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b/>
                      <w:bCs/>
                      <w:sz w:val="21"/>
                      <w:szCs w:val="21"/>
                    </w:rPr>
                  </w:pPr>
                  <w:r>
                    <w:rPr>
                      <w:rFonts w:hint="eastAsia"/>
                      <w:b/>
                      <w:bCs/>
                      <w:sz w:val="21"/>
                      <w:szCs w:val="21"/>
                    </w:rPr>
                    <w:t>管控</w:t>
                  </w:r>
                  <w:r>
                    <w:rPr>
                      <w:b/>
                      <w:bCs/>
                      <w:sz w:val="21"/>
                      <w:szCs w:val="21"/>
                    </w:rPr>
                    <w:t>要求</w:t>
                  </w:r>
                </w:p>
              </w:tc>
              <w:tc>
                <w:tcPr>
                  <w:tcW w:w="1476" w:type="pct"/>
                  <w:vAlign w:val="center"/>
                </w:tcPr>
                <w:p w14:paraId="516603E3">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b/>
                      <w:bCs/>
                      <w:sz w:val="21"/>
                      <w:szCs w:val="21"/>
                    </w:rPr>
                  </w:pPr>
                  <w:r>
                    <w:rPr>
                      <w:b/>
                      <w:bCs/>
                      <w:sz w:val="21"/>
                      <w:szCs w:val="21"/>
                    </w:rPr>
                    <w:t>项目概况</w:t>
                  </w:r>
                </w:p>
              </w:tc>
              <w:tc>
                <w:tcPr>
                  <w:tcW w:w="484" w:type="pct"/>
                  <w:vAlign w:val="center"/>
                </w:tcPr>
                <w:p w14:paraId="40FFAADA">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b/>
                      <w:bCs/>
                      <w:sz w:val="21"/>
                      <w:szCs w:val="21"/>
                    </w:rPr>
                  </w:pPr>
                  <w:r>
                    <w:rPr>
                      <w:b/>
                      <w:bCs/>
                      <w:sz w:val="21"/>
                      <w:szCs w:val="21"/>
                    </w:rPr>
                    <w:t>符合性</w:t>
                  </w:r>
                </w:p>
              </w:tc>
            </w:tr>
            <w:tr w14:paraId="055CF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5"/>
                  <w:vAlign w:val="center"/>
                </w:tcPr>
                <w:p w14:paraId="3B0E0159">
                  <w:pPr>
                    <w:tabs>
                      <w:tab w:val="left" w:pos="540"/>
                      <w:tab w:val="left" w:pos="851"/>
                      <w:tab w:val="left" w:pos="994"/>
                      <w:tab w:val="left" w:pos="1260"/>
                      <w:tab w:val="left" w:pos="3108"/>
                      <w:tab w:val="left" w:pos="3150"/>
                    </w:tabs>
                    <w:adjustRightInd w:val="0"/>
                    <w:snapToGrid w:val="0"/>
                    <w:spacing w:line="240" w:lineRule="auto"/>
                    <w:ind w:firstLine="0" w:firstLineChars="0"/>
                    <w:rPr>
                      <w:b/>
                      <w:bCs/>
                      <w:sz w:val="21"/>
                      <w:szCs w:val="21"/>
                    </w:rPr>
                  </w:pPr>
                  <w:r>
                    <w:rPr>
                      <w:rFonts w:hint="eastAsia"/>
                      <w:b/>
                      <w:bCs/>
                      <w:sz w:val="21"/>
                      <w:szCs w:val="21"/>
                    </w:rPr>
                    <w:t>一、昆明市生态环境管控总体要求</w:t>
                  </w:r>
                </w:p>
              </w:tc>
            </w:tr>
            <w:tr w14:paraId="0C40F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3" w:hRule="atLeast"/>
                <w:jc w:val="center"/>
              </w:trPr>
              <w:tc>
                <w:tcPr>
                  <w:tcW w:w="409" w:type="pct"/>
                  <w:vAlign w:val="center"/>
                </w:tcPr>
                <w:p w14:paraId="10F6064D">
                  <w:pPr>
                    <w:tabs>
                      <w:tab w:val="left" w:pos="540"/>
                      <w:tab w:val="left" w:pos="851"/>
                      <w:tab w:val="left" w:pos="994"/>
                      <w:tab w:val="left" w:pos="1260"/>
                      <w:tab w:val="left" w:pos="3108"/>
                      <w:tab w:val="left" w:pos="3150"/>
                    </w:tabs>
                    <w:adjustRightInd w:val="0"/>
                    <w:snapToGrid w:val="0"/>
                    <w:spacing w:line="240" w:lineRule="auto"/>
                    <w:ind w:firstLine="0" w:firstLineChars="0"/>
                    <w:rPr>
                      <w:sz w:val="21"/>
                      <w:szCs w:val="21"/>
                    </w:rPr>
                  </w:pPr>
                  <w:r>
                    <w:rPr>
                      <w:rFonts w:hint="eastAsia"/>
                      <w:sz w:val="21"/>
                      <w:szCs w:val="21"/>
                    </w:rPr>
                    <w:t>空间布局约束</w:t>
                  </w:r>
                </w:p>
              </w:tc>
              <w:tc>
                <w:tcPr>
                  <w:tcW w:w="2630" w:type="pct"/>
                  <w:gridSpan w:val="2"/>
                  <w:vAlign w:val="center"/>
                </w:tcPr>
                <w:p w14:paraId="441C70BD">
                  <w:pPr>
                    <w:tabs>
                      <w:tab w:val="left" w:pos="540"/>
                      <w:tab w:val="left" w:pos="851"/>
                      <w:tab w:val="left" w:pos="994"/>
                      <w:tab w:val="left" w:pos="1260"/>
                      <w:tab w:val="left" w:pos="3108"/>
                      <w:tab w:val="left" w:pos="3150"/>
                    </w:tabs>
                    <w:adjustRightInd w:val="0"/>
                    <w:snapToGrid w:val="0"/>
                    <w:spacing w:line="240" w:lineRule="auto"/>
                    <w:ind w:firstLine="0" w:firstLineChars="0"/>
                    <w:rPr>
                      <w:sz w:val="21"/>
                      <w:szCs w:val="21"/>
                    </w:rPr>
                  </w:pPr>
                  <w:r>
                    <w:rPr>
                      <w:rFonts w:hint="eastAsia"/>
                      <w:sz w:val="21"/>
                      <w:szCs w:val="21"/>
                    </w:rPr>
                    <w:t>1.根据《昆明市国土空间总体规划（2021—2035年）》进行空间管控。</w:t>
                  </w:r>
                  <w:r>
                    <w:rPr>
                      <w:rFonts w:hint="eastAsia"/>
                      <w:sz w:val="21"/>
                      <w:szCs w:val="21"/>
                    </w:rPr>
                    <w:br w:type="textWrapping"/>
                  </w:r>
                  <w:r>
                    <w:rPr>
                      <w:rFonts w:hint="eastAsia"/>
                      <w:sz w:val="21"/>
                      <w:szCs w:val="21"/>
                    </w:rPr>
                    <w:t>2.牛栏江流域内，严格按照《云南省牛栏江保护条例》相关要求对水环境进行分区管控。</w:t>
                  </w:r>
                </w:p>
                <w:p w14:paraId="02C8F908">
                  <w:pPr>
                    <w:tabs>
                      <w:tab w:val="left" w:pos="540"/>
                      <w:tab w:val="left" w:pos="851"/>
                      <w:tab w:val="left" w:pos="994"/>
                      <w:tab w:val="left" w:pos="1260"/>
                      <w:tab w:val="left" w:pos="3108"/>
                      <w:tab w:val="left" w:pos="3150"/>
                    </w:tabs>
                    <w:adjustRightInd w:val="0"/>
                    <w:snapToGrid w:val="0"/>
                    <w:spacing w:line="240" w:lineRule="auto"/>
                    <w:ind w:firstLine="0" w:firstLineChars="0"/>
                    <w:rPr>
                      <w:sz w:val="21"/>
                      <w:szCs w:val="21"/>
                    </w:rPr>
                  </w:pPr>
                  <w:r>
                    <w:rPr>
                      <w:rFonts w:hint="eastAsia"/>
                      <w:sz w:val="21"/>
                      <w:szCs w:val="21"/>
                    </w:rPr>
                    <w:t>3.滇池流域内，严格按照《云南省滇池湖滨生态红线及湖泊生态黄线“两线”划定方案》相关要求进行分区管控。</w:t>
                  </w:r>
                  <w:r>
                    <w:rPr>
                      <w:rFonts w:hint="eastAsia"/>
                      <w:sz w:val="21"/>
                      <w:szCs w:val="21"/>
                    </w:rPr>
                    <w:br w:type="textWrapping"/>
                  </w:r>
                  <w:r>
                    <w:rPr>
                      <w:rFonts w:hint="eastAsia"/>
                      <w:sz w:val="21"/>
                      <w:szCs w:val="21"/>
                    </w:rPr>
                    <w:t>4.阳宗海流域内，严格按照《云南省阳宗海湖滨生态红线及湖泊生态黄线“两线”划定方案》相关要求进行分区管控。</w:t>
                  </w:r>
                </w:p>
              </w:tc>
              <w:tc>
                <w:tcPr>
                  <w:tcW w:w="1476" w:type="pct"/>
                  <w:vAlign w:val="center"/>
                </w:tcPr>
                <w:p w14:paraId="7007E856">
                  <w:pPr>
                    <w:tabs>
                      <w:tab w:val="left" w:pos="540"/>
                      <w:tab w:val="left" w:pos="851"/>
                      <w:tab w:val="left" w:pos="994"/>
                      <w:tab w:val="left" w:pos="1260"/>
                      <w:tab w:val="left" w:pos="3108"/>
                      <w:tab w:val="left" w:pos="3150"/>
                    </w:tabs>
                    <w:adjustRightInd w:val="0"/>
                    <w:snapToGrid w:val="0"/>
                    <w:spacing w:line="240" w:lineRule="auto"/>
                    <w:ind w:firstLine="0" w:firstLineChars="0"/>
                    <w:rPr>
                      <w:sz w:val="21"/>
                      <w:szCs w:val="21"/>
                    </w:rPr>
                  </w:pPr>
                  <w:r>
                    <w:rPr>
                      <w:rFonts w:hint="eastAsia"/>
                      <w:sz w:val="21"/>
                      <w:szCs w:val="21"/>
                    </w:rPr>
                    <w:t>项目位于寻甸回族自治县仁德街道中桥社区，根据“三区三线”查询结果可知，项目用地范围不涉及占用生态红线、永久基本农田，不在城镇开发边界内。符合《昆明市国土空间总体规划（2021—2035年）》空间管控要求，符合《云南省牛栏江保护条例》的要求。</w:t>
                  </w:r>
                </w:p>
              </w:tc>
              <w:tc>
                <w:tcPr>
                  <w:tcW w:w="484" w:type="pct"/>
                  <w:vAlign w:val="center"/>
                </w:tcPr>
                <w:p w14:paraId="3A0AF4D7">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r>
                    <w:rPr>
                      <w:sz w:val="21"/>
                      <w:szCs w:val="21"/>
                    </w:rPr>
                    <w:t>符合</w:t>
                  </w:r>
                </w:p>
              </w:tc>
            </w:tr>
            <w:tr w14:paraId="1BD3B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9" w:type="pct"/>
                  <w:vAlign w:val="center"/>
                </w:tcPr>
                <w:p w14:paraId="19E1FBFA">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p>
                <w:p w14:paraId="55AE057E">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p>
                <w:p w14:paraId="1878AF08">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p>
                <w:p w14:paraId="7D5AA058">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p>
                <w:p w14:paraId="084A79EF">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p>
                <w:p w14:paraId="31637C27">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p>
                <w:p w14:paraId="34A4B771">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p>
                <w:p w14:paraId="200893A7">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p>
                <w:p w14:paraId="256CDAB0">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p>
                <w:p w14:paraId="6B80597E">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p>
                <w:p w14:paraId="644A15F4">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p>
                <w:p w14:paraId="02164497">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p>
                <w:p w14:paraId="5676A354">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p>
                <w:p w14:paraId="63E58605">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p>
                <w:p w14:paraId="11200FF0">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p>
                <w:p w14:paraId="088201DB">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p>
                <w:p w14:paraId="223EC01B">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p>
                <w:p w14:paraId="3B1CD40E">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p>
                <w:p w14:paraId="53020334">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p>
                <w:p w14:paraId="29B4C622">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p>
                <w:p w14:paraId="50263DDE">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p>
                <w:p w14:paraId="165F2DC2">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p>
                <w:p w14:paraId="02863F89">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p>
                <w:p w14:paraId="1C44CC9B">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p>
                <w:p w14:paraId="4A97E2B3">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p>
                <w:p w14:paraId="48AEF695">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r>
                    <w:rPr>
                      <w:rFonts w:hint="eastAsia"/>
                      <w:sz w:val="21"/>
                      <w:szCs w:val="21"/>
                    </w:rPr>
                    <w:t>污染物排放管控</w:t>
                  </w:r>
                </w:p>
                <w:p w14:paraId="5E36686F">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p>
                <w:p w14:paraId="48077001">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p>
                <w:p w14:paraId="5EED9BE2">
                  <w:pPr>
                    <w:tabs>
                      <w:tab w:val="left" w:pos="540"/>
                      <w:tab w:val="left" w:pos="851"/>
                      <w:tab w:val="left" w:pos="994"/>
                      <w:tab w:val="left" w:pos="1260"/>
                      <w:tab w:val="left" w:pos="3108"/>
                      <w:tab w:val="left" w:pos="3150"/>
                    </w:tabs>
                    <w:adjustRightInd w:val="0"/>
                    <w:snapToGrid w:val="0"/>
                    <w:spacing w:line="240" w:lineRule="auto"/>
                    <w:ind w:firstLine="0" w:firstLineChars="0"/>
                    <w:rPr>
                      <w:sz w:val="21"/>
                      <w:szCs w:val="21"/>
                    </w:rPr>
                  </w:pPr>
                </w:p>
              </w:tc>
              <w:tc>
                <w:tcPr>
                  <w:tcW w:w="2630" w:type="pct"/>
                  <w:gridSpan w:val="2"/>
                  <w:vAlign w:val="center"/>
                </w:tcPr>
                <w:p w14:paraId="22F023BB">
                  <w:pPr>
                    <w:tabs>
                      <w:tab w:val="left" w:pos="540"/>
                      <w:tab w:val="left" w:pos="851"/>
                      <w:tab w:val="left" w:pos="994"/>
                      <w:tab w:val="left" w:pos="1260"/>
                      <w:tab w:val="left" w:pos="3108"/>
                      <w:tab w:val="left" w:pos="3150"/>
                    </w:tabs>
                    <w:adjustRightInd w:val="0"/>
                    <w:snapToGrid w:val="0"/>
                    <w:spacing w:line="240" w:lineRule="auto"/>
                    <w:ind w:firstLine="0" w:firstLineChars="0"/>
                    <w:rPr>
                      <w:sz w:val="21"/>
                      <w:szCs w:val="21"/>
                    </w:rPr>
                  </w:pPr>
                  <w:r>
                    <w:rPr>
                      <w:rFonts w:hint="eastAsia"/>
                      <w:sz w:val="21"/>
                      <w:szCs w:val="21"/>
                    </w:rPr>
                    <w:t>1.到2025年，昆明市地表水国、省控断面达到或好于III类水体比例应达到81.5%；滇池草海水质稳定达到IV类、外海水质达到IV类（COD≤40mg/L），阳宗海水质稳定达到Ⅲ类水标准，县级及以上集中式饮用水水源地水质达标率100%。化学需氧量重点工程减排量10243t，氨氮重点工程减排量1009t。</w:t>
                  </w:r>
                  <w:r>
                    <w:rPr>
                      <w:rFonts w:hint="eastAsia"/>
                      <w:sz w:val="21"/>
                      <w:szCs w:val="21"/>
                    </w:rPr>
                    <w:br w:type="textWrapping"/>
                  </w:r>
                  <w:r>
                    <w:rPr>
                      <w:rFonts w:hint="eastAsia"/>
                      <w:sz w:val="21"/>
                      <w:szCs w:val="21"/>
                    </w:rPr>
                    <w:t>2.到2025年，昆明市环境空气质量优良天数比例应达到99.1%，城市细颗粒物（PM2.5）平均浓度应达到24μg/m3；氮氧化物重点工程减排量2237t，挥发性有机物重点工程减排量1684t。</w:t>
                  </w:r>
                  <w:r>
                    <w:rPr>
                      <w:rFonts w:hint="eastAsia"/>
                      <w:sz w:val="21"/>
                      <w:szCs w:val="21"/>
                    </w:rPr>
                    <w:br w:type="textWrapping"/>
                  </w:r>
                  <w:r>
                    <w:rPr>
                      <w:rFonts w:hint="eastAsia"/>
                      <w:sz w:val="21"/>
                      <w:szCs w:val="21"/>
                    </w:rPr>
                    <w:t>3.2025年底前，全面完成钢铁企业超低排放改造。持续开展燃煤锅炉整治，推进每小时65蒸吨以上的燃煤锅炉超低排放改造。燃气锅炉推行低氮燃烧，氮氧化物排放浓度不高于50毫克/立方米。重点涉气排放企业逐步取消烟气旁路，因安全生产无法取消的，安装在线监管系统。</w:t>
                  </w:r>
                  <w:r>
                    <w:rPr>
                      <w:rFonts w:hint="eastAsia"/>
                      <w:sz w:val="21"/>
                      <w:szCs w:val="21"/>
                    </w:rPr>
                    <w:br w:type="textWrapping"/>
                  </w:r>
                  <w:r>
                    <w:rPr>
                      <w:rFonts w:hint="eastAsia"/>
                      <w:sz w:val="21"/>
                      <w:szCs w:val="21"/>
                    </w:rPr>
                    <w:t>4.建立完善源头、过程和末端的VOCs全过程控制体系，实施VOCs排放总量控制。</w:t>
                  </w:r>
                  <w:r>
                    <w:rPr>
                      <w:rFonts w:hint="eastAsia"/>
                      <w:sz w:val="21"/>
                      <w:szCs w:val="21"/>
                    </w:rPr>
                    <w:br w:type="textWrapping"/>
                  </w:r>
                  <w:r>
                    <w:rPr>
                      <w:rFonts w:hint="eastAsia"/>
                      <w:sz w:val="21"/>
                      <w:szCs w:val="21"/>
                    </w:rPr>
                    <w:t>5.推进农业废弃物综合利用，2025年底前综合利用率达90%以上。</w:t>
                  </w:r>
                  <w:r>
                    <w:rPr>
                      <w:rFonts w:hint="eastAsia"/>
                      <w:sz w:val="21"/>
                      <w:szCs w:val="21"/>
                    </w:rPr>
                    <w:br w:type="textWrapping"/>
                  </w:r>
                  <w:r>
                    <w:rPr>
                      <w:rFonts w:hint="eastAsia"/>
                      <w:sz w:val="21"/>
                      <w:szCs w:val="21"/>
                    </w:rPr>
                    <w:t>6.滇池流域：2025年底前，完成流域内城镇雨污分流改造，城镇污水收集率达95％以上，农村生活污水收集处理率达75％以上，畜禽粪污综合利用率达90％以上，城市生活垃圾处理率达97％以上，实现农村生活垃圾分类投放、统一运输、集中处理。</w:t>
                  </w:r>
                  <w:r>
                    <w:rPr>
                      <w:rFonts w:hint="eastAsia"/>
                      <w:sz w:val="21"/>
                      <w:szCs w:val="21"/>
                    </w:rPr>
                    <w:br w:type="textWrapping"/>
                  </w:r>
                  <w:r>
                    <w:rPr>
                      <w:rFonts w:hint="eastAsia"/>
                      <w:sz w:val="21"/>
                      <w:szCs w:val="21"/>
                    </w:rPr>
                    <w:t>7.阳宗海流域：推进农业废弃物综合利用，2025年底前农作物综合利用率达90%以上，畜禽粪污综合利用率达96%以上，农膜回收利用率达85%以上。2025年底前，完成流域内城镇雨污分流改造，城镇污水收集率达95%以上，农村生活污水收集处理率达75%以上，畜禽粪污综合利用率达90%以上，城镇生活垃圾处理率达97%以上，实现农村生活垃圾分类投放、统一运输、集中处理。</w:t>
                  </w:r>
                  <w:r>
                    <w:rPr>
                      <w:rFonts w:hint="eastAsia"/>
                      <w:sz w:val="21"/>
                      <w:szCs w:val="21"/>
                    </w:rPr>
                    <w:br w:type="textWrapping"/>
                  </w:r>
                  <w:r>
                    <w:rPr>
                      <w:rFonts w:hint="eastAsia"/>
                      <w:sz w:val="21"/>
                      <w:szCs w:val="21"/>
                    </w:rPr>
                    <w:t>8.督促指导磷石膏产生企业配套建设（或委托建设）相应能力的磷石膏无害化处理设施，采用水洗、焙烧、浮选、中和等技术对磷石膏进行无害化处理，确保在2025年新产生磷石膏实现100%无害化处理，从根本上降低磷石膏污染隐患。无害化处理后暂时不能利用的磷石膏，应当按生态环境、应急管理要求依法依规安全环保分类存放。</w:t>
                  </w:r>
                  <w:r>
                    <w:rPr>
                      <w:rFonts w:hint="eastAsia"/>
                      <w:sz w:val="21"/>
                      <w:szCs w:val="21"/>
                    </w:rPr>
                    <w:br w:type="textWrapping"/>
                  </w:r>
                  <w:r>
                    <w:rPr>
                      <w:rFonts w:hint="eastAsia"/>
                      <w:sz w:val="21"/>
                      <w:szCs w:val="21"/>
                    </w:rPr>
                    <w:t>9.推动昆明市磷石膏综合利用率2023年达到52%，2024年达到64%，2025年确保达到73%，力争达到75%；到2025年底，中心城区污泥无害化处置率达到95%以上，县城污泥无害化处置率达到90%以上。</w:t>
                  </w:r>
                </w:p>
              </w:tc>
              <w:tc>
                <w:tcPr>
                  <w:tcW w:w="1476" w:type="pct"/>
                  <w:vAlign w:val="center"/>
                </w:tcPr>
                <w:p w14:paraId="7470197E">
                  <w:pPr>
                    <w:pStyle w:val="74"/>
                    <w:adjustRightInd w:val="0"/>
                    <w:snapToGrid w:val="0"/>
                    <w:spacing w:beforeLines="0" w:afterLines="0" w:line="240" w:lineRule="auto"/>
                    <w:ind w:firstLine="0" w:firstLineChars="0"/>
                    <w:jc w:val="both"/>
                    <w:rPr>
                      <w:rFonts w:cs="Times New Roman"/>
                      <w:kern w:val="2"/>
                      <w:sz w:val="21"/>
                      <w:szCs w:val="21"/>
                    </w:rPr>
                  </w:pPr>
                  <w:r>
                    <w:rPr>
                      <w:rFonts w:hint="eastAsia" w:cs="Times New Roman"/>
                      <w:kern w:val="2"/>
                      <w:sz w:val="21"/>
                      <w:szCs w:val="21"/>
                    </w:rPr>
                    <w:t>1、根据《2024年度昆明市生态环境状况公报》，35条滇池主要入湖河道中，2条河道断流，27条河道水质类别为Ⅱ~Ⅲ类，6条河道水质类别为IV~V类，无劣V类河道，达标率96.97%，较2023年提高3个百分点。滇池全湖水质类别为IV类，营养状态为中度富营养，与2023年相比，水质类别保持不变，营养状态保持不变。本项目废水经预处理后排入昆明市第十五水质净化厂处理，不直接排入地表水，不会使老宝象河和滇池的水质恶化。</w:t>
                  </w:r>
                </w:p>
                <w:p w14:paraId="0228232C">
                  <w:pPr>
                    <w:pStyle w:val="74"/>
                    <w:adjustRightInd w:val="0"/>
                    <w:snapToGrid w:val="0"/>
                    <w:spacing w:beforeLines="0" w:afterLines="0" w:line="240" w:lineRule="auto"/>
                    <w:ind w:firstLine="0" w:firstLineChars="0"/>
                    <w:jc w:val="both"/>
                    <w:rPr>
                      <w:rFonts w:cs="Times New Roman"/>
                      <w:kern w:val="2"/>
                      <w:sz w:val="21"/>
                      <w:szCs w:val="21"/>
                    </w:rPr>
                  </w:pPr>
                  <w:r>
                    <w:rPr>
                      <w:rFonts w:hint="eastAsia" w:cs="Times New Roman"/>
                      <w:kern w:val="2"/>
                      <w:sz w:val="21"/>
                      <w:szCs w:val="21"/>
                    </w:rPr>
                    <w:t>2、项目所在区域为环境空气质量达标区，产生的SO</w:t>
                  </w:r>
                  <w:r>
                    <w:rPr>
                      <w:rFonts w:hint="eastAsia" w:cs="Times New Roman"/>
                      <w:kern w:val="2"/>
                      <w:sz w:val="21"/>
                      <w:szCs w:val="21"/>
                      <w:vertAlign w:val="subscript"/>
                    </w:rPr>
                    <w:t>2</w:t>
                  </w:r>
                  <w:r>
                    <w:rPr>
                      <w:rFonts w:hint="eastAsia" w:cs="Times New Roman"/>
                      <w:kern w:val="2"/>
                      <w:sz w:val="21"/>
                      <w:szCs w:val="21"/>
                    </w:rPr>
                    <w:t>、NO</w:t>
                  </w:r>
                  <w:r>
                    <w:rPr>
                      <w:rFonts w:hint="eastAsia" w:cs="Times New Roman"/>
                      <w:kern w:val="2"/>
                      <w:sz w:val="21"/>
                      <w:szCs w:val="21"/>
                      <w:vertAlign w:val="subscript"/>
                    </w:rPr>
                    <w:t>X</w:t>
                  </w:r>
                  <w:r>
                    <w:rPr>
                      <w:rFonts w:hint="eastAsia" w:cs="Times New Roman"/>
                      <w:kern w:val="2"/>
                      <w:sz w:val="21"/>
                      <w:szCs w:val="21"/>
                    </w:rPr>
                    <w:t>和颗粒物、沥青烟、苯并[a]芘和非甲烷总烃等污染物均达标排放。</w:t>
                  </w:r>
                </w:p>
                <w:p w14:paraId="2B956F4C">
                  <w:pPr>
                    <w:pStyle w:val="74"/>
                    <w:adjustRightInd w:val="0"/>
                    <w:snapToGrid w:val="0"/>
                    <w:spacing w:beforeLines="0" w:afterLines="0" w:line="240" w:lineRule="auto"/>
                    <w:ind w:firstLine="0" w:firstLineChars="0"/>
                    <w:jc w:val="both"/>
                    <w:rPr>
                      <w:rFonts w:cs="Times New Roman"/>
                      <w:kern w:val="2"/>
                      <w:sz w:val="21"/>
                      <w:szCs w:val="21"/>
                    </w:rPr>
                  </w:pPr>
                  <w:r>
                    <w:rPr>
                      <w:rFonts w:hint="eastAsia" w:cs="Times New Roman"/>
                      <w:kern w:val="2"/>
                      <w:sz w:val="21"/>
                      <w:szCs w:val="21"/>
                    </w:rPr>
                    <w:t>3、不涉及。</w:t>
                  </w:r>
                </w:p>
                <w:p w14:paraId="226E02A3">
                  <w:pPr>
                    <w:pStyle w:val="74"/>
                    <w:adjustRightInd w:val="0"/>
                    <w:snapToGrid w:val="0"/>
                    <w:spacing w:beforeLines="0" w:afterLines="0" w:line="240" w:lineRule="auto"/>
                    <w:ind w:firstLine="0" w:firstLineChars="0"/>
                    <w:jc w:val="both"/>
                    <w:rPr>
                      <w:rFonts w:cs="Times New Roman"/>
                      <w:kern w:val="2"/>
                      <w:sz w:val="21"/>
                      <w:szCs w:val="21"/>
                    </w:rPr>
                  </w:pPr>
                  <w:r>
                    <w:rPr>
                      <w:rFonts w:hint="eastAsia" w:cs="Times New Roman"/>
                      <w:kern w:val="2"/>
                      <w:sz w:val="21"/>
                      <w:szCs w:val="21"/>
                    </w:rPr>
                    <w:t>4、项目对产生的沥青烟收集后由电捕焦油器+三级活性炭吸附装置处理后排放。</w:t>
                  </w:r>
                </w:p>
                <w:p w14:paraId="70724425">
                  <w:pPr>
                    <w:pStyle w:val="74"/>
                    <w:adjustRightInd w:val="0"/>
                    <w:snapToGrid w:val="0"/>
                    <w:spacing w:beforeLines="0" w:afterLines="0" w:line="240" w:lineRule="auto"/>
                    <w:ind w:firstLine="0" w:firstLineChars="0"/>
                    <w:jc w:val="both"/>
                    <w:rPr>
                      <w:rFonts w:cs="Times New Roman"/>
                      <w:kern w:val="2"/>
                      <w:sz w:val="21"/>
                      <w:szCs w:val="21"/>
                    </w:rPr>
                  </w:pPr>
                  <w:r>
                    <w:rPr>
                      <w:rFonts w:hint="eastAsia" w:cs="Times New Roman"/>
                      <w:kern w:val="2"/>
                      <w:sz w:val="21"/>
                      <w:szCs w:val="21"/>
                    </w:rPr>
                    <w:t>5、项目不涉及。</w:t>
                  </w:r>
                </w:p>
                <w:p w14:paraId="3CADDE05">
                  <w:pPr>
                    <w:pStyle w:val="74"/>
                    <w:adjustRightInd w:val="0"/>
                    <w:snapToGrid w:val="0"/>
                    <w:spacing w:beforeLines="0" w:afterLines="0" w:line="240" w:lineRule="auto"/>
                    <w:ind w:firstLine="0" w:firstLineChars="0"/>
                    <w:jc w:val="both"/>
                    <w:rPr>
                      <w:rFonts w:cs="Times New Roman"/>
                      <w:kern w:val="2"/>
                      <w:sz w:val="21"/>
                      <w:szCs w:val="21"/>
                    </w:rPr>
                  </w:pPr>
                  <w:r>
                    <w:rPr>
                      <w:rFonts w:hint="eastAsia" w:cs="Times New Roman"/>
                      <w:kern w:val="2"/>
                      <w:sz w:val="21"/>
                      <w:szCs w:val="21"/>
                    </w:rPr>
                    <w:t>6、项目不涉及。</w:t>
                  </w:r>
                </w:p>
                <w:p w14:paraId="2A49E19E">
                  <w:pPr>
                    <w:pStyle w:val="74"/>
                    <w:adjustRightInd w:val="0"/>
                    <w:snapToGrid w:val="0"/>
                    <w:spacing w:beforeLines="0" w:afterLines="0" w:line="240" w:lineRule="auto"/>
                    <w:ind w:firstLine="0" w:firstLineChars="0"/>
                    <w:jc w:val="both"/>
                    <w:rPr>
                      <w:rFonts w:cs="Times New Roman"/>
                      <w:kern w:val="2"/>
                      <w:sz w:val="21"/>
                      <w:szCs w:val="21"/>
                    </w:rPr>
                  </w:pPr>
                  <w:r>
                    <w:rPr>
                      <w:rFonts w:hint="eastAsia" w:cs="Times New Roman"/>
                      <w:kern w:val="2"/>
                      <w:sz w:val="21"/>
                      <w:szCs w:val="21"/>
                    </w:rPr>
                    <w:t>7、项目不涉及。</w:t>
                  </w:r>
                </w:p>
                <w:p w14:paraId="3EA95378">
                  <w:pPr>
                    <w:pStyle w:val="74"/>
                    <w:adjustRightInd w:val="0"/>
                    <w:snapToGrid w:val="0"/>
                    <w:spacing w:beforeLines="0" w:afterLines="0" w:line="240" w:lineRule="auto"/>
                    <w:ind w:firstLine="0" w:firstLineChars="0"/>
                    <w:jc w:val="both"/>
                    <w:rPr>
                      <w:rFonts w:cs="Times New Roman"/>
                      <w:kern w:val="2"/>
                      <w:sz w:val="21"/>
                      <w:szCs w:val="21"/>
                    </w:rPr>
                  </w:pPr>
                  <w:r>
                    <w:rPr>
                      <w:rFonts w:hint="eastAsia" w:cs="Times New Roman"/>
                      <w:kern w:val="2"/>
                      <w:sz w:val="21"/>
                      <w:szCs w:val="21"/>
                    </w:rPr>
                    <w:t>8、项目不涉及。</w:t>
                  </w:r>
                </w:p>
                <w:p w14:paraId="3E2D7E1E">
                  <w:pPr>
                    <w:tabs>
                      <w:tab w:val="left" w:pos="540"/>
                      <w:tab w:val="left" w:pos="851"/>
                      <w:tab w:val="left" w:pos="994"/>
                      <w:tab w:val="left" w:pos="1260"/>
                      <w:tab w:val="left" w:pos="3108"/>
                      <w:tab w:val="left" w:pos="3150"/>
                    </w:tabs>
                    <w:adjustRightInd w:val="0"/>
                    <w:snapToGrid w:val="0"/>
                    <w:spacing w:line="240" w:lineRule="auto"/>
                    <w:ind w:firstLine="0" w:firstLineChars="0"/>
                    <w:rPr>
                      <w:sz w:val="21"/>
                      <w:szCs w:val="21"/>
                    </w:rPr>
                  </w:pPr>
                  <w:r>
                    <w:rPr>
                      <w:rFonts w:hint="eastAsia"/>
                      <w:sz w:val="21"/>
                      <w:szCs w:val="21"/>
                    </w:rPr>
                    <w:t>9、项目不涉及。</w:t>
                  </w:r>
                </w:p>
              </w:tc>
              <w:tc>
                <w:tcPr>
                  <w:tcW w:w="484" w:type="pct"/>
                  <w:vAlign w:val="center"/>
                </w:tcPr>
                <w:p w14:paraId="4A227DAA">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p>
                <w:p w14:paraId="483BC49F">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p>
                <w:p w14:paraId="115673B3">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p>
                <w:p w14:paraId="27799423">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p>
                <w:p w14:paraId="38626940">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p>
                <w:p w14:paraId="0B88FB2C">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p>
                <w:p w14:paraId="4C32E85D">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p>
                <w:p w14:paraId="5F4E95ED">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p>
                <w:p w14:paraId="49732EB5">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p>
                <w:p w14:paraId="1AFCC7C9">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p>
                <w:p w14:paraId="65D86122">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p>
                <w:p w14:paraId="0A3E47A3">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p>
                <w:p w14:paraId="691CA407">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p>
                <w:p w14:paraId="53D04786">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p>
                <w:p w14:paraId="6551F628">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p>
                <w:p w14:paraId="16874B6B">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p>
                <w:p w14:paraId="7FD15003">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p>
                <w:p w14:paraId="0BE038CF">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p>
                <w:p w14:paraId="6D8C038A">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p>
                <w:p w14:paraId="64718DC8">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p>
                <w:p w14:paraId="30CBE2E7">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p>
                <w:p w14:paraId="4142C1DA">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p>
                <w:p w14:paraId="5BB152F2">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p>
                <w:p w14:paraId="6530C617">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p>
                <w:p w14:paraId="70903142">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p>
                <w:p w14:paraId="42BFD131">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r>
                    <w:rPr>
                      <w:sz w:val="21"/>
                      <w:szCs w:val="21"/>
                    </w:rPr>
                    <w:t>符合</w:t>
                  </w:r>
                </w:p>
              </w:tc>
            </w:tr>
            <w:tr w14:paraId="21833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409" w:type="pct"/>
                  <w:vAlign w:val="center"/>
                </w:tcPr>
                <w:p w14:paraId="7EE1F2CC">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r>
                    <w:rPr>
                      <w:rFonts w:hint="eastAsia"/>
                      <w:sz w:val="21"/>
                      <w:szCs w:val="21"/>
                    </w:rPr>
                    <w:t>环境风险防控</w:t>
                  </w:r>
                </w:p>
              </w:tc>
              <w:tc>
                <w:tcPr>
                  <w:tcW w:w="2630" w:type="pct"/>
                  <w:gridSpan w:val="2"/>
                  <w:vAlign w:val="center"/>
                </w:tcPr>
                <w:p w14:paraId="6996E4E1">
                  <w:pPr>
                    <w:numPr>
                      <w:ilvl w:val="0"/>
                      <w:numId w:val="4"/>
                    </w:numPr>
                    <w:tabs>
                      <w:tab w:val="left" w:pos="540"/>
                      <w:tab w:val="left" w:pos="851"/>
                      <w:tab w:val="left" w:pos="994"/>
                      <w:tab w:val="left" w:pos="1260"/>
                      <w:tab w:val="left" w:pos="3108"/>
                      <w:tab w:val="left" w:pos="3150"/>
                      <w:tab w:val="clear" w:pos="312"/>
                    </w:tabs>
                    <w:adjustRightInd w:val="0"/>
                    <w:snapToGrid w:val="0"/>
                    <w:spacing w:line="240" w:lineRule="auto"/>
                    <w:ind w:firstLine="0" w:firstLineChars="0"/>
                    <w:rPr>
                      <w:sz w:val="21"/>
                      <w:szCs w:val="21"/>
                    </w:rPr>
                  </w:pPr>
                  <w:r>
                    <w:rPr>
                      <w:rFonts w:hint="eastAsia"/>
                      <w:sz w:val="21"/>
                      <w:szCs w:val="21"/>
                    </w:rPr>
                    <w:t>加大放射性物质、电磁辐射、危险废物、医疗废物、尾矿库渣场、危险化学品、重金属等风险要素防控力度，全过程监控风险要素产生、使用、储存、运输、处理处置，实现智能化预警与报警，有效降低各类环境风险。</w:t>
                  </w:r>
                  <w:r>
                    <w:rPr>
                      <w:rFonts w:hint="eastAsia"/>
                      <w:sz w:val="21"/>
                      <w:szCs w:val="21"/>
                    </w:rPr>
                    <w:br w:type="textWrapping"/>
                  </w:r>
                  <w:r>
                    <w:rPr>
                      <w:rFonts w:hint="eastAsia"/>
                      <w:sz w:val="21"/>
                      <w:szCs w:val="21"/>
                    </w:rPr>
                    <w:t>2.针对持久性有机污染物、内分泌干扰物等新污染物，制定实施新污染物治理行动方案，开展新污染物筛查与评估，建立清单，开展化学物质生产使用信息调查，实施调查监测和环境风险评估。</w:t>
                  </w:r>
                  <w:r>
                    <w:rPr>
                      <w:rFonts w:hint="eastAsia"/>
                      <w:sz w:val="21"/>
                      <w:szCs w:val="21"/>
                    </w:rPr>
                    <w:br w:type="textWrapping"/>
                  </w:r>
                  <w:r>
                    <w:rPr>
                      <w:rFonts w:hint="eastAsia"/>
                      <w:sz w:val="21"/>
                      <w:szCs w:val="21"/>
                    </w:rPr>
                    <w:t>3.开展重点区域、重点领域环境风险调查评估，加强源头预防、过程管控、末端治理；建设环境应急技术库和物资库，推动各地更新扩充应急物资和防护装备，提升环境应急指挥信息化水平，完善环境应急管理体系。</w:t>
                  </w:r>
                </w:p>
                <w:p w14:paraId="0C798721">
                  <w:pPr>
                    <w:tabs>
                      <w:tab w:val="left" w:pos="540"/>
                      <w:tab w:val="left" w:pos="851"/>
                      <w:tab w:val="left" w:pos="994"/>
                      <w:tab w:val="left" w:pos="1260"/>
                      <w:tab w:val="left" w:pos="3108"/>
                      <w:tab w:val="left" w:pos="3150"/>
                    </w:tabs>
                    <w:adjustRightInd w:val="0"/>
                    <w:snapToGrid w:val="0"/>
                    <w:spacing w:line="240" w:lineRule="auto"/>
                    <w:ind w:firstLine="0" w:firstLineChars="0"/>
                    <w:rPr>
                      <w:sz w:val="21"/>
                      <w:szCs w:val="21"/>
                    </w:rPr>
                  </w:pPr>
                  <w:r>
                    <w:rPr>
                      <w:rFonts w:hint="eastAsia"/>
                      <w:sz w:val="21"/>
                      <w:szCs w:val="21"/>
                    </w:rPr>
                    <w:t>4.开展“千吨万人”农村饮用水水源保护区环境风险排查整治，加强农村水源水质监测。</w:t>
                  </w:r>
                  <w:r>
                    <w:rPr>
                      <w:rFonts w:hint="eastAsia"/>
                      <w:sz w:val="21"/>
                      <w:szCs w:val="21"/>
                    </w:rPr>
                    <w:br w:type="textWrapping"/>
                  </w:r>
                  <w:r>
                    <w:rPr>
                      <w:rFonts w:hint="eastAsia"/>
                      <w:sz w:val="21"/>
                      <w:szCs w:val="21"/>
                    </w:rPr>
                    <w:t>5.以涉危险废物、涉重金属企业为重点，合理布设生产设施，强化应急导流槽、事故调蓄池、雨污总排口应急闸坝等事故排水收集截留设施，以及传输泵、配套管线、应急发电等事故水输送设施等建设，合理设置消防事故水池和雨水监测池。</w:t>
                  </w:r>
                  <w:r>
                    <w:rPr>
                      <w:rFonts w:hint="eastAsia"/>
                      <w:sz w:val="21"/>
                      <w:szCs w:val="21"/>
                    </w:rPr>
                    <w:br w:type="textWrapping"/>
                  </w:r>
                  <w:r>
                    <w:rPr>
                      <w:rFonts w:hint="eastAsia"/>
                      <w:sz w:val="21"/>
                      <w:szCs w:val="21"/>
                    </w:rPr>
                    <w:t>6.严格新（改、扩）建尾矿库环境准入，健全尾矿库环境监管清单，加强尾矿库分类分级环境监管。严格落实《云南省尾矿库专项整治工作实施方案》。</w:t>
                  </w:r>
                </w:p>
              </w:tc>
              <w:tc>
                <w:tcPr>
                  <w:tcW w:w="1476" w:type="pct"/>
                  <w:vAlign w:val="center"/>
                </w:tcPr>
                <w:p w14:paraId="06B56F45">
                  <w:pPr>
                    <w:pStyle w:val="74"/>
                    <w:adjustRightInd w:val="0"/>
                    <w:snapToGrid w:val="0"/>
                    <w:spacing w:beforeLines="0" w:afterLines="0" w:line="240" w:lineRule="auto"/>
                    <w:ind w:firstLine="0" w:firstLineChars="0"/>
                    <w:jc w:val="both"/>
                    <w:rPr>
                      <w:rFonts w:cs="Times New Roman"/>
                      <w:kern w:val="2"/>
                      <w:sz w:val="21"/>
                      <w:szCs w:val="21"/>
                    </w:rPr>
                  </w:pPr>
                  <w:r>
                    <w:rPr>
                      <w:rFonts w:hint="eastAsia" w:cs="Times New Roman"/>
                      <w:kern w:val="2"/>
                      <w:sz w:val="21"/>
                      <w:szCs w:val="21"/>
                    </w:rPr>
                    <w:t>1、项目拟建危废暂存间用于危险废物的暂存，并委托有资质的单位定期清运处理。</w:t>
                  </w:r>
                </w:p>
                <w:p w14:paraId="62F080D6">
                  <w:pPr>
                    <w:pStyle w:val="74"/>
                    <w:adjustRightInd w:val="0"/>
                    <w:snapToGrid w:val="0"/>
                    <w:spacing w:beforeLines="0" w:afterLines="0" w:line="240" w:lineRule="auto"/>
                    <w:ind w:firstLine="0" w:firstLineChars="0"/>
                    <w:jc w:val="both"/>
                    <w:rPr>
                      <w:rFonts w:cs="Times New Roman"/>
                      <w:kern w:val="2"/>
                      <w:sz w:val="21"/>
                      <w:szCs w:val="21"/>
                    </w:rPr>
                  </w:pPr>
                  <w:r>
                    <w:rPr>
                      <w:rFonts w:hint="eastAsia" w:cs="Times New Roman"/>
                      <w:kern w:val="2"/>
                      <w:sz w:val="21"/>
                      <w:szCs w:val="21"/>
                    </w:rPr>
                    <w:t>2、项目不涉及。</w:t>
                  </w:r>
                </w:p>
                <w:p w14:paraId="2E19A39C">
                  <w:pPr>
                    <w:pStyle w:val="74"/>
                    <w:adjustRightInd w:val="0"/>
                    <w:snapToGrid w:val="0"/>
                    <w:spacing w:beforeLines="0" w:afterLines="0" w:line="240" w:lineRule="auto"/>
                    <w:ind w:firstLine="0" w:firstLineChars="0"/>
                    <w:jc w:val="both"/>
                    <w:rPr>
                      <w:rFonts w:cs="Times New Roman"/>
                      <w:kern w:val="2"/>
                      <w:sz w:val="21"/>
                      <w:szCs w:val="21"/>
                    </w:rPr>
                  </w:pPr>
                  <w:r>
                    <w:rPr>
                      <w:rFonts w:hint="eastAsia" w:cs="Times New Roman"/>
                      <w:kern w:val="2"/>
                      <w:sz w:val="21"/>
                      <w:szCs w:val="21"/>
                    </w:rPr>
                    <w:t>3、本项目建成后，将按要求及时开展突发环境事件应急预案编制及备案工作，配备应急物资并定期开展演练。</w:t>
                  </w:r>
                </w:p>
                <w:p w14:paraId="7566F119">
                  <w:pPr>
                    <w:pStyle w:val="74"/>
                    <w:adjustRightInd w:val="0"/>
                    <w:snapToGrid w:val="0"/>
                    <w:spacing w:beforeLines="0" w:afterLines="0" w:line="240" w:lineRule="auto"/>
                    <w:ind w:firstLine="0" w:firstLineChars="0"/>
                    <w:jc w:val="both"/>
                    <w:rPr>
                      <w:rFonts w:cs="Times New Roman"/>
                      <w:kern w:val="2"/>
                      <w:sz w:val="21"/>
                      <w:szCs w:val="21"/>
                    </w:rPr>
                  </w:pPr>
                  <w:r>
                    <w:rPr>
                      <w:rFonts w:hint="eastAsia" w:cs="Times New Roman"/>
                      <w:kern w:val="2"/>
                      <w:sz w:val="21"/>
                      <w:szCs w:val="21"/>
                    </w:rPr>
                    <w:t>4、项目不涉及。</w:t>
                  </w:r>
                </w:p>
                <w:p w14:paraId="0618A744">
                  <w:pPr>
                    <w:pStyle w:val="74"/>
                    <w:adjustRightInd w:val="0"/>
                    <w:snapToGrid w:val="0"/>
                    <w:spacing w:beforeLines="0" w:afterLines="0" w:line="240" w:lineRule="auto"/>
                    <w:ind w:firstLine="0" w:firstLineChars="0"/>
                    <w:jc w:val="both"/>
                    <w:rPr>
                      <w:rFonts w:cs="Times New Roman"/>
                      <w:kern w:val="2"/>
                      <w:sz w:val="21"/>
                      <w:szCs w:val="21"/>
                    </w:rPr>
                  </w:pPr>
                  <w:r>
                    <w:rPr>
                      <w:rFonts w:hint="eastAsia" w:cs="Times New Roman"/>
                      <w:kern w:val="2"/>
                      <w:sz w:val="21"/>
                      <w:szCs w:val="21"/>
                    </w:rPr>
                    <w:t>5、项目雨污分流，拟建15m</w:t>
                  </w:r>
                  <w:r>
                    <w:rPr>
                      <w:rFonts w:hint="eastAsia" w:cs="Times New Roman"/>
                      <w:kern w:val="2"/>
                      <w:sz w:val="21"/>
                      <w:szCs w:val="21"/>
                      <w:vertAlign w:val="superscript"/>
                    </w:rPr>
                    <w:t>3</w:t>
                  </w:r>
                  <w:r>
                    <w:rPr>
                      <w:rFonts w:hint="eastAsia" w:cs="Times New Roman"/>
                      <w:kern w:val="2"/>
                      <w:sz w:val="21"/>
                      <w:szCs w:val="21"/>
                    </w:rPr>
                    <w:t>的初期雨水收集池。</w:t>
                  </w:r>
                </w:p>
                <w:p w14:paraId="307D2C89">
                  <w:pPr>
                    <w:pStyle w:val="74"/>
                    <w:adjustRightInd w:val="0"/>
                    <w:snapToGrid w:val="0"/>
                    <w:spacing w:beforeLines="0" w:afterLines="0" w:line="240" w:lineRule="auto"/>
                    <w:ind w:firstLine="0" w:firstLineChars="0"/>
                    <w:jc w:val="both"/>
                    <w:rPr>
                      <w:sz w:val="21"/>
                      <w:szCs w:val="21"/>
                    </w:rPr>
                  </w:pPr>
                  <w:r>
                    <w:rPr>
                      <w:rFonts w:hint="eastAsia" w:cs="Times New Roman"/>
                      <w:kern w:val="2"/>
                      <w:sz w:val="21"/>
                      <w:szCs w:val="21"/>
                    </w:rPr>
                    <w:t>6、项目不涉及。</w:t>
                  </w:r>
                </w:p>
              </w:tc>
              <w:tc>
                <w:tcPr>
                  <w:tcW w:w="484" w:type="pct"/>
                  <w:vAlign w:val="center"/>
                </w:tcPr>
                <w:p w14:paraId="229A458B">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r>
                    <w:rPr>
                      <w:rFonts w:hint="eastAsia"/>
                      <w:sz w:val="21"/>
                      <w:szCs w:val="21"/>
                    </w:rPr>
                    <w:t>符合</w:t>
                  </w:r>
                </w:p>
              </w:tc>
            </w:tr>
            <w:tr w14:paraId="1656B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5"/>
                  <w:vAlign w:val="center"/>
                </w:tcPr>
                <w:p w14:paraId="5E32FFAB">
                  <w:pPr>
                    <w:tabs>
                      <w:tab w:val="left" w:pos="540"/>
                      <w:tab w:val="left" w:pos="851"/>
                      <w:tab w:val="left" w:pos="994"/>
                      <w:tab w:val="left" w:pos="1260"/>
                      <w:tab w:val="left" w:pos="3108"/>
                      <w:tab w:val="left" w:pos="3150"/>
                    </w:tabs>
                    <w:adjustRightInd w:val="0"/>
                    <w:snapToGrid w:val="0"/>
                    <w:spacing w:line="240" w:lineRule="auto"/>
                    <w:ind w:firstLine="0" w:firstLineChars="0"/>
                    <w:rPr>
                      <w:sz w:val="21"/>
                      <w:szCs w:val="21"/>
                    </w:rPr>
                  </w:pPr>
                  <w:r>
                    <w:rPr>
                      <w:rFonts w:hint="eastAsia"/>
                      <w:b/>
                      <w:bCs/>
                      <w:sz w:val="21"/>
                      <w:szCs w:val="21"/>
                    </w:rPr>
                    <w:t>二、与寻甸回族彝族自治县管控单元分析</w:t>
                  </w:r>
                </w:p>
              </w:tc>
            </w:tr>
            <w:tr w14:paraId="2F704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1" w:hRule="atLeast"/>
                <w:jc w:val="center"/>
              </w:trPr>
              <w:tc>
                <w:tcPr>
                  <w:tcW w:w="409" w:type="pct"/>
                  <w:vMerge w:val="restart"/>
                  <w:vAlign w:val="center"/>
                </w:tcPr>
                <w:p w14:paraId="237DE8B9">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r>
                    <w:rPr>
                      <w:rFonts w:hint="eastAsia"/>
                      <w:sz w:val="21"/>
                      <w:szCs w:val="21"/>
                    </w:rPr>
                    <w:t>寻甸回族彝族自治县一般管控单元</w:t>
                  </w:r>
                </w:p>
              </w:tc>
              <w:tc>
                <w:tcPr>
                  <w:tcW w:w="304" w:type="pct"/>
                  <w:vAlign w:val="center"/>
                </w:tcPr>
                <w:p w14:paraId="3863583D">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r>
                    <w:rPr>
                      <w:rFonts w:hint="eastAsia"/>
                      <w:sz w:val="21"/>
                      <w:szCs w:val="21"/>
                    </w:rPr>
                    <w:t>空间布局</w:t>
                  </w:r>
                </w:p>
                <w:p w14:paraId="5C2F5042">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r>
                    <w:rPr>
                      <w:rFonts w:hint="eastAsia"/>
                      <w:sz w:val="21"/>
                      <w:szCs w:val="21"/>
                    </w:rPr>
                    <w:t>约束</w:t>
                  </w:r>
                </w:p>
              </w:tc>
              <w:tc>
                <w:tcPr>
                  <w:tcW w:w="2325" w:type="pct"/>
                  <w:vAlign w:val="center"/>
                </w:tcPr>
                <w:p w14:paraId="2B0114A6">
                  <w:pPr>
                    <w:tabs>
                      <w:tab w:val="left" w:pos="540"/>
                      <w:tab w:val="left" w:pos="851"/>
                      <w:tab w:val="left" w:pos="994"/>
                      <w:tab w:val="left" w:pos="1260"/>
                      <w:tab w:val="left" w:pos="3108"/>
                      <w:tab w:val="left" w:pos="3150"/>
                    </w:tabs>
                    <w:adjustRightInd w:val="0"/>
                    <w:snapToGrid w:val="0"/>
                    <w:spacing w:line="240" w:lineRule="auto"/>
                    <w:ind w:firstLine="0" w:firstLineChars="0"/>
                    <w:rPr>
                      <w:sz w:val="21"/>
                      <w:szCs w:val="21"/>
                    </w:rPr>
                  </w:pPr>
                  <w:r>
                    <w:rPr>
                      <w:rFonts w:hint="eastAsia"/>
                      <w:sz w:val="21"/>
                      <w:szCs w:val="21"/>
                    </w:rPr>
                    <w:t>1.禁止在林地、河湖管理范围内新建、改建、扩建房地产开发项目。</w:t>
                  </w:r>
                </w:p>
                <w:p w14:paraId="7E4ED343">
                  <w:pPr>
                    <w:tabs>
                      <w:tab w:val="left" w:pos="540"/>
                      <w:tab w:val="left" w:pos="851"/>
                      <w:tab w:val="left" w:pos="994"/>
                      <w:tab w:val="left" w:pos="1260"/>
                      <w:tab w:val="left" w:pos="3108"/>
                      <w:tab w:val="left" w:pos="3150"/>
                    </w:tabs>
                    <w:adjustRightInd w:val="0"/>
                    <w:snapToGrid w:val="0"/>
                    <w:spacing w:line="240" w:lineRule="auto"/>
                    <w:ind w:firstLine="0" w:firstLineChars="0"/>
                    <w:rPr>
                      <w:sz w:val="21"/>
                      <w:szCs w:val="21"/>
                    </w:rPr>
                  </w:pPr>
                  <w:r>
                    <w:rPr>
                      <w:rFonts w:hint="eastAsia"/>
                      <w:sz w:val="21"/>
                      <w:szCs w:val="21"/>
                    </w:rPr>
                    <w:t>2.禁止围湖造田和侵占江河滩地。</w:t>
                  </w:r>
                </w:p>
                <w:p w14:paraId="2055D23B">
                  <w:pPr>
                    <w:tabs>
                      <w:tab w:val="left" w:pos="540"/>
                      <w:tab w:val="left" w:pos="851"/>
                      <w:tab w:val="left" w:pos="994"/>
                      <w:tab w:val="left" w:pos="1260"/>
                      <w:tab w:val="left" w:pos="3108"/>
                      <w:tab w:val="left" w:pos="3150"/>
                    </w:tabs>
                    <w:adjustRightInd w:val="0"/>
                    <w:snapToGrid w:val="0"/>
                    <w:spacing w:line="240" w:lineRule="auto"/>
                    <w:ind w:firstLine="0" w:firstLineChars="0"/>
                    <w:rPr>
                      <w:sz w:val="21"/>
                      <w:szCs w:val="21"/>
                    </w:rPr>
                  </w:pPr>
                  <w:r>
                    <w:rPr>
                      <w:rFonts w:hint="eastAsia"/>
                      <w:sz w:val="21"/>
                      <w:szCs w:val="21"/>
                    </w:rPr>
                    <w:t>3.禁止企业向滩涂、沼泽、荒地等未利用地非法排污、倾倒有毒有害物质。</w:t>
                  </w:r>
                </w:p>
              </w:tc>
              <w:tc>
                <w:tcPr>
                  <w:tcW w:w="1476" w:type="pct"/>
                  <w:vAlign w:val="center"/>
                </w:tcPr>
                <w:p w14:paraId="69809999">
                  <w:pPr>
                    <w:tabs>
                      <w:tab w:val="left" w:pos="540"/>
                      <w:tab w:val="left" w:pos="851"/>
                      <w:tab w:val="left" w:pos="994"/>
                      <w:tab w:val="left" w:pos="1260"/>
                      <w:tab w:val="left" w:pos="3108"/>
                      <w:tab w:val="left" w:pos="3150"/>
                    </w:tabs>
                    <w:adjustRightInd w:val="0"/>
                    <w:snapToGrid w:val="0"/>
                    <w:spacing w:line="240" w:lineRule="auto"/>
                    <w:ind w:firstLine="0" w:firstLineChars="0"/>
                    <w:rPr>
                      <w:sz w:val="21"/>
                      <w:szCs w:val="21"/>
                    </w:rPr>
                  </w:pPr>
                  <w:r>
                    <w:rPr>
                      <w:rFonts w:hint="eastAsia"/>
                      <w:sz w:val="21"/>
                      <w:szCs w:val="21"/>
                    </w:rPr>
                    <w:t>1.项目不涉及。</w:t>
                  </w:r>
                </w:p>
                <w:p w14:paraId="4167F889">
                  <w:pPr>
                    <w:tabs>
                      <w:tab w:val="left" w:pos="540"/>
                      <w:tab w:val="left" w:pos="851"/>
                      <w:tab w:val="left" w:pos="994"/>
                      <w:tab w:val="left" w:pos="1260"/>
                      <w:tab w:val="left" w:pos="3108"/>
                      <w:tab w:val="left" w:pos="3150"/>
                    </w:tabs>
                    <w:adjustRightInd w:val="0"/>
                    <w:snapToGrid w:val="0"/>
                    <w:spacing w:line="240" w:lineRule="auto"/>
                    <w:ind w:firstLine="0" w:firstLineChars="0"/>
                    <w:rPr>
                      <w:sz w:val="21"/>
                      <w:szCs w:val="21"/>
                    </w:rPr>
                  </w:pPr>
                  <w:r>
                    <w:rPr>
                      <w:rFonts w:hint="eastAsia"/>
                      <w:sz w:val="21"/>
                      <w:szCs w:val="21"/>
                    </w:rPr>
                    <w:t>2.项目不涉及。</w:t>
                  </w:r>
                </w:p>
                <w:p w14:paraId="31AE1D1D">
                  <w:pPr>
                    <w:tabs>
                      <w:tab w:val="left" w:pos="540"/>
                      <w:tab w:val="left" w:pos="851"/>
                      <w:tab w:val="left" w:pos="994"/>
                      <w:tab w:val="left" w:pos="1260"/>
                      <w:tab w:val="left" w:pos="3108"/>
                      <w:tab w:val="left" w:pos="3150"/>
                    </w:tabs>
                    <w:adjustRightInd w:val="0"/>
                    <w:snapToGrid w:val="0"/>
                    <w:spacing w:line="240" w:lineRule="auto"/>
                    <w:ind w:firstLine="0" w:firstLineChars="0"/>
                    <w:rPr>
                      <w:sz w:val="21"/>
                      <w:szCs w:val="21"/>
                    </w:rPr>
                  </w:pPr>
                  <w:r>
                    <w:rPr>
                      <w:rFonts w:hint="eastAsia"/>
                      <w:sz w:val="21"/>
                      <w:szCs w:val="21"/>
                    </w:rPr>
                    <w:t>3.项目不涉及。</w:t>
                  </w:r>
                </w:p>
              </w:tc>
              <w:tc>
                <w:tcPr>
                  <w:tcW w:w="484" w:type="pct"/>
                  <w:vAlign w:val="center"/>
                </w:tcPr>
                <w:p w14:paraId="4A6B1343">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r>
                    <w:rPr>
                      <w:rFonts w:hint="eastAsia"/>
                      <w:sz w:val="21"/>
                      <w:szCs w:val="21"/>
                    </w:rPr>
                    <w:t>符合</w:t>
                  </w:r>
                </w:p>
              </w:tc>
            </w:tr>
            <w:tr w14:paraId="5901A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409" w:type="pct"/>
                  <w:vMerge w:val="continue"/>
                  <w:vAlign w:val="center"/>
                </w:tcPr>
                <w:p w14:paraId="75188545">
                  <w:pPr>
                    <w:spacing w:before="65" w:line="273" w:lineRule="auto"/>
                    <w:ind w:right="107" w:firstLine="480"/>
                    <w:rPr>
                      <w:szCs w:val="21"/>
                    </w:rPr>
                  </w:pPr>
                </w:p>
              </w:tc>
              <w:tc>
                <w:tcPr>
                  <w:tcW w:w="304" w:type="pct"/>
                  <w:vAlign w:val="center"/>
                </w:tcPr>
                <w:p w14:paraId="4088DA5B">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r>
                    <w:rPr>
                      <w:rFonts w:hint="eastAsia"/>
                      <w:sz w:val="21"/>
                      <w:szCs w:val="21"/>
                    </w:rPr>
                    <w:t>污染物排放管控</w:t>
                  </w:r>
                </w:p>
              </w:tc>
              <w:tc>
                <w:tcPr>
                  <w:tcW w:w="2325" w:type="pct"/>
                  <w:vAlign w:val="center"/>
                </w:tcPr>
                <w:p w14:paraId="5F38C141">
                  <w:pPr>
                    <w:tabs>
                      <w:tab w:val="left" w:pos="540"/>
                      <w:tab w:val="left" w:pos="851"/>
                      <w:tab w:val="left" w:pos="994"/>
                      <w:tab w:val="left" w:pos="1260"/>
                      <w:tab w:val="left" w:pos="3108"/>
                      <w:tab w:val="left" w:pos="3150"/>
                    </w:tabs>
                    <w:adjustRightInd w:val="0"/>
                    <w:snapToGrid w:val="0"/>
                    <w:spacing w:line="240" w:lineRule="auto"/>
                    <w:ind w:firstLine="0" w:firstLineChars="0"/>
                    <w:rPr>
                      <w:sz w:val="21"/>
                      <w:szCs w:val="21"/>
                    </w:rPr>
                  </w:pPr>
                  <w:r>
                    <w:rPr>
                      <w:rFonts w:hint="eastAsia"/>
                      <w:sz w:val="21"/>
                      <w:szCs w:val="21"/>
                    </w:rPr>
                    <w:t>1.严格控制“两高”行业新增产能，新、改、扩建项目要实行产能等量或减量置换。</w:t>
                  </w:r>
                </w:p>
                <w:p w14:paraId="18028828">
                  <w:pPr>
                    <w:tabs>
                      <w:tab w:val="left" w:pos="540"/>
                      <w:tab w:val="left" w:pos="851"/>
                      <w:tab w:val="left" w:pos="994"/>
                      <w:tab w:val="left" w:pos="1260"/>
                      <w:tab w:val="left" w:pos="3108"/>
                      <w:tab w:val="left" w:pos="3150"/>
                    </w:tabs>
                    <w:adjustRightInd w:val="0"/>
                    <w:snapToGrid w:val="0"/>
                    <w:spacing w:line="240" w:lineRule="auto"/>
                    <w:ind w:firstLine="0" w:firstLineChars="0"/>
                    <w:rPr>
                      <w:sz w:val="21"/>
                      <w:szCs w:val="21"/>
                    </w:rPr>
                  </w:pPr>
                  <w:r>
                    <w:rPr>
                      <w:rFonts w:hint="eastAsia"/>
                      <w:sz w:val="21"/>
                      <w:szCs w:val="21"/>
                    </w:rPr>
                    <w:t>2.严格用地准入，工业用地及商业用地供地前，自然资源部门需对拟供地块进行土壤环境状况调查，评估环境污染风险后方可供地。</w:t>
                  </w:r>
                </w:p>
                <w:p w14:paraId="18A77560">
                  <w:pPr>
                    <w:tabs>
                      <w:tab w:val="left" w:pos="540"/>
                      <w:tab w:val="left" w:pos="851"/>
                      <w:tab w:val="left" w:pos="994"/>
                      <w:tab w:val="left" w:pos="1260"/>
                      <w:tab w:val="left" w:pos="3108"/>
                      <w:tab w:val="left" w:pos="3150"/>
                    </w:tabs>
                    <w:adjustRightInd w:val="0"/>
                    <w:snapToGrid w:val="0"/>
                    <w:spacing w:line="240" w:lineRule="auto"/>
                    <w:ind w:firstLine="0" w:firstLineChars="0"/>
                    <w:rPr>
                      <w:sz w:val="21"/>
                      <w:szCs w:val="21"/>
                    </w:rPr>
                  </w:pPr>
                  <w:r>
                    <w:rPr>
                      <w:rFonts w:hint="eastAsia"/>
                      <w:sz w:val="21"/>
                      <w:szCs w:val="21"/>
                    </w:rPr>
                    <w:t>3.禁止使用炸鱼、毒鱼、电鱼等破坏渔业资源方法进行捕捞。</w:t>
                  </w:r>
                </w:p>
                <w:p w14:paraId="07E30DF9">
                  <w:pPr>
                    <w:tabs>
                      <w:tab w:val="left" w:pos="540"/>
                      <w:tab w:val="left" w:pos="851"/>
                      <w:tab w:val="left" w:pos="994"/>
                      <w:tab w:val="left" w:pos="1260"/>
                      <w:tab w:val="left" w:pos="3108"/>
                      <w:tab w:val="left" w:pos="3150"/>
                    </w:tabs>
                    <w:adjustRightInd w:val="0"/>
                    <w:snapToGrid w:val="0"/>
                    <w:spacing w:line="240" w:lineRule="auto"/>
                    <w:ind w:firstLine="0" w:firstLineChars="0"/>
                    <w:rPr>
                      <w:sz w:val="21"/>
                      <w:szCs w:val="21"/>
                    </w:rPr>
                  </w:pPr>
                  <w:r>
                    <w:rPr>
                      <w:rFonts w:hint="eastAsia"/>
                      <w:sz w:val="21"/>
                      <w:szCs w:val="21"/>
                    </w:rPr>
                    <w:t>4.禁止在禁渔区、禁渔期进行捕捞。禁止使用小于最小网目尺寸的网具进行捕捞，未依法取得捕捞许可证擅自捕捞。</w:t>
                  </w:r>
                </w:p>
              </w:tc>
              <w:tc>
                <w:tcPr>
                  <w:tcW w:w="1476" w:type="pct"/>
                  <w:vAlign w:val="center"/>
                </w:tcPr>
                <w:p w14:paraId="4CA8BA65">
                  <w:pPr>
                    <w:tabs>
                      <w:tab w:val="left" w:pos="540"/>
                      <w:tab w:val="left" w:pos="851"/>
                      <w:tab w:val="left" w:pos="994"/>
                      <w:tab w:val="left" w:pos="1260"/>
                      <w:tab w:val="left" w:pos="3108"/>
                      <w:tab w:val="left" w:pos="3150"/>
                    </w:tabs>
                    <w:adjustRightInd w:val="0"/>
                    <w:snapToGrid w:val="0"/>
                    <w:spacing w:line="240" w:lineRule="auto"/>
                    <w:ind w:firstLine="0" w:firstLineChars="0"/>
                    <w:rPr>
                      <w:sz w:val="21"/>
                      <w:szCs w:val="21"/>
                    </w:rPr>
                  </w:pPr>
                  <w:r>
                    <w:rPr>
                      <w:rFonts w:hint="eastAsia"/>
                      <w:sz w:val="21"/>
                      <w:szCs w:val="21"/>
                    </w:rPr>
                    <w:t>1.本项目为沥青混凝土生产项目，不属于“两高”行业；</w:t>
                  </w:r>
                </w:p>
                <w:p w14:paraId="1917652A">
                  <w:pPr>
                    <w:tabs>
                      <w:tab w:val="left" w:pos="540"/>
                      <w:tab w:val="left" w:pos="851"/>
                      <w:tab w:val="left" w:pos="994"/>
                      <w:tab w:val="left" w:pos="1260"/>
                      <w:tab w:val="left" w:pos="3108"/>
                      <w:tab w:val="left" w:pos="3150"/>
                    </w:tabs>
                    <w:adjustRightInd w:val="0"/>
                    <w:snapToGrid w:val="0"/>
                    <w:spacing w:line="240" w:lineRule="auto"/>
                    <w:ind w:firstLine="0" w:firstLineChars="0"/>
                    <w:rPr>
                      <w:sz w:val="21"/>
                      <w:szCs w:val="21"/>
                    </w:rPr>
                  </w:pPr>
                  <w:r>
                    <w:rPr>
                      <w:rFonts w:hint="eastAsia"/>
                      <w:sz w:val="21"/>
                      <w:szCs w:val="21"/>
                    </w:rPr>
                    <w:t>2.根据现场踏勘，项目使用地块的空地，无土壤环境污染风险；</w:t>
                  </w:r>
                </w:p>
                <w:p w14:paraId="51FC8377">
                  <w:pPr>
                    <w:tabs>
                      <w:tab w:val="left" w:pos="540"/>
                      <w:tab w:val="left" w:pos="851"/>
                      <w:tab w:val="left" w:pos="994"/>
                      <w:tab w:val="left" w:pos="1260"/>
                      <w:tab w:val="left" w:pos="3108"/>
                      <w:tab w:val="left" w:pos="3150"/>
                    </w:tabs>
                    <w:adjustRightInd w:val="0"/>
                    <w:snapToGrid w:val="0"/>
                    <w:spacing w:line="240" w:lineRule="auto"/>
                    <w:ind w:firstLine="0" w:firstLineChars="0"/>
                    <w:rPr>
                      <w:sz w:val="21"/>
                      <w:szCs w:val="21"/>
                    </w:rPr>
                  </w:pPr>
                  <w:r>
                    <w:rPr>
                      <w:rFonts w:hint="eastAsia"/>
                      <w:sz w:val="21"/>
                      <w:szCs w:val="21"/>
                    </w:rPr>
                    <w:t>3.项目不涉及。</w:t>
                  </w:r>
                </w:p>
                <w:p w14:paraId="58C344DA">
                  <w:pPr>
                    <w:tabs>
                      <w:tab w:val="left" w:pos="540"/>
                      <w:tab w:val="left" w:pos="851"/>
                      <w:tab w:val="left" w:pos="994"/>
                      <w:tab w:val="left" w:pos="1260"/>
                      <w:tab w:val="left" w:pos="3108"/>
                      <w:tab w:val="left" w:pos="3150"/>
                    </w:tabs>
                    <w:adjustRightInd w:val="0"/>
                    <w:snapToGrid w:val="0"/>
                    <w:spacing w:line="240" w:lineRule="auto"/>
                    <w:ind w:firstLine="0" w:firstLineChars="0"/>
                    <w:rPr>
                      <w:sz w:val="21"/>
                      <w:szCs w:val="21"/>
                    </w:rPr>
                  </w:pPr>
                  <w:r>
                    <w:rPr>
                      <w:rFonts w:hint="eastAsia"/>
                      <w:sz w:val="21"/>
                      <w:szCs w:val="21"/>
                    </w:rPr>
                    <w:t>4.项目不涉及。</w:t>
                  </w:r>
                </w:p>
              </w:tc>
              <w:tc>
                <w:tcPr>
                  <w:tcW w:w="484" w:type="pct"/>
                  <w:vAlign w:val="center"/>
                </w:tcPr>
                <w:p w14:paraId="6575C259">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r>
                    <w:rPr>
                      <w:rFonts w:hint="eastAsia"/>
                      <w:sz w:val="21"/>
                      <w:szCs w:val="21"/>
                    </w:rPr>
                    <w:t>符合</w:t>
                  </w:r>
                </w:p>
              </w:tc>
            </w:tr>
            <w:tr w14:paraId="01CE0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409" w:type="pct"/>
                  <w:vMerge w:val="continue"/>
                  <w:vAlign w:val="center"/>
                </w:tcPr>
                <w:p w14:paraId="17BE9ACD">
                  <w:pPr>
                    <w:spacing w:before="65" w:line="273" w:lineRule="auto"/>
                    <w:ind w:right="107" w:firstLine="480"/>
                    <w:rPr>
                      <w:szCs w:val="21"/>
                    </w:rPr>
                  </w:pPr>
                </w:p>
              </w:tc>
              <w:tc>
                <w:tcPr>
                  <w:tcW w:w="304" w:type="pct"/>
                  <w:shd w:val="clear" w:color="auto" w:fill="auto"/>
                  <w:vAlign w:val="center"/>
                </w:tcPr>
                <w:p w14:paraId="04D80279">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r>
                    <w:rPr>
                      <w:rFonts w:hint="eastAsia"/>
                      <w:sz w:val="21"/>
                      <w:szCs w:val="21"/>
                    </w:rPr>
                    <w:t>环境风险</w:t>
                  </w:r>
                </w:p>
                <w:p w14:paraId="36528B2B">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r>
                    <w:rPr>
                      <w:rFonts w:hint="eastAsia"/>
                      <w:sz w:val="21"/>
                      <w:szCs w:val="21"/>
                    </w:rPr>
                    <w:t>防控</w:t>
                  </w:r>
                </w:p>
              </w:tc>
              <w:tc>
                <w:tcPr>
                  <w:tcW w:w="2325" w:type="pct"/>
                  <w:shd w:val="clear" w:color="auto" w:fill="auto"/>
                  <w:vAlign w:val="center"/>
                </w:tcPr>
                <w:p w14:paraId="5152AD61">
                  <w:pPr>
                    <w:tabs>
                      <w:tab w:val="left" w:pos="540"/>
                      <w:tab w:val="left" w:pos="851"/>
                      <w:tab w:val="left" w:pos="994"/>
                      <w:tab w:val="left" w:pos="1260"/>
                      <w:tab w:val="left" w:pos="3108"/>
                      <w:tab w:val="left" w:pos="3150"/>
                    </w:tabs>
                    <w:adjustRightInd w:val="0"/>
                    <w:snapToGrid w:val="0"/>
                    <w:spacing w:line="240" w:lineRule="auto"/>
                    <w:ind w:firstLine="0" w:firstLineChars="0"/>
                    <w:rPr>
                      <w:sz w:val="21"/>
                      <w:szCs w:val="21"/>
                    </w:rPr>
                  </w:pPr>
                  <w:r>
                    <w:rPr>
                      <w:rFonts w:hint="eastAsia"/>
                      <w:sz w:val="21"/>
                      <w:szCs w:val="21"/>
                    </w:rPr>
                    <w:t>1.严格限制《环境保护综合名录》（2021年版）中“高污染、高环境风险”产品与工艺装备。</w:t>
                  </w:r>
                </w:p>
                <w:p w14:paraId="6A54C287">
                  <w:pPr>
                    <w:tabs>
                      <w:tab w:val="left" w:pos="540"/>
                      <w:tab w:val="left" w:pos="851"/>
                      <w:tab w:val="left" w:pos="994"/>
                      <w:tab w:val="left" w:pos="1260"/>
                      <w:tab w:val="left" w:pos="3108"/>
                      <w:tab w:val="left" w:pos="3150"/>
                    </w:tabs>
                    <w:adjustRightInd w:val="0"/>
                    <w:snapToGrid w:val="0"/>
                    <w:spacing w:line="240" w:lineRule="auto"/>
                    <w:ind w:firstLine="0" w:firstLineChars="0"/>
                    <w:rPr>
                      <w:sz w:val="21"/>
                      <w:szCs w:val="21"/>
                    </w:rPr>
                  </w:pPr>
                  <w:r>
                    <w:rPr>
                      <w:rFonts w:hint="eastAsia"/>
                      <w:sz w:val="21"/>
                      <w:szCs w:val="21"/>
                    </w:rPr>
                    <w:t>2.禁止使用剧毒、高残留以及可能二次中毒的农药。</w:t>
                  </w:r>
                </w:p>
                <w:p w14:paraId="265A4E12">
                  <w:pPr>
                    <w:tabs>
                      <w:tab w:val="left" w:pos="540"/>
                      <w:tab w:val="left" w:pos="851"/>
                      <w:tab w:val="left" w:pos="994"/>
                      <w:tab w:val="left" w:pos="1260"/>
                      <w:tab w:val="left" w:pos="3108"/>
                      <w:tab w:val="left" w:pos="3150"/>
                    </w:tabs>
                    <w:adjustRightInd w:val="0"/>
                    <w:snapToGrid w:val="0"/>
                    <w:spacing w:line="240" w:lineRule="auto"/>
                    <w:ind w:firstLine="0" w:firstLineChars="0"/>
                    <w:rPr>
                      <w:sz w:val="21"/>
                      <w:szCs w:val="21"/>
                    </w:rPr>
                  </w:pPr>
                  <w:r>
                    <w:rPr>
                      <w:rFonts w:hint="eastAsia"/>
                      <w:sz w:val="21"/>
                      <w:szCs w:val="21"/>
                    </w:rPr>
                    <w:t>3.严格污染场地开发利用和流转审批，在影响健康地块修复达标之前，禁止建设居民区、学校、医疗和养老机构。</w:t>
                  </w:r>
                </w:p>
              </w:tc>
              <w:tc>
                <w:tcPr>
                  <w:tcW w:w="1476" w:type="pct"/>
                  <w:shd w:val="clear" w:color="auto" w:fill="auto"/>
                  <w:vAlign w:val="center"/>
                </w:tcPr>
                <w:p w14:paraId="5930EBED">
                  <w:pPr>
                    <w:tabs>
                      <w:tab w:val="left" w:pos="540"/>
                      <w:tab w:val="left" w:pos="851"/>
                      <w:tab w:val="left" w:pos="994"/>
                      <w:tab w:val="left" w:pos="1260"/>
                      <w:tab w:val="left" w:pos="3108"/>
                      <w:tab w:val="left" w:pos="3150"/>
                    </w:tabs>
                    <w:adjustRightInd w:val="0"/>
                    <w:snapToGrid w:val="0"/>
                    <w:spacing w:line="240" w:lineRule="auto"/>
                    <w:ind w:firstLine="0" w:firstLineChars="0"/>
                    <w:rPr>
                      <w:sz w:val="21"/>
                      <w:szCs w:val="21"/>
                    </w:rPr>
                  </w:pPr>
                  <w:r>
                    <w:rPr>
                      <w:rFonts w:hint="eastAsia"/>
                      <w:sz w:val="21"/>
                      <w:szCs w:val="21"/>
                    </w:rPr>
                    <w:t>1.本项目产品为沥青混凝土，不属于《环境保护综合名录》（2021 年版）中“高污染、高环境风险”产品；项目工艺和生产设备也不属于上述所列名录；</w:t>
                  </w:r>
                </w:p>
                <w:p w14:paraId="4DAFB9D2">
                  <w:pPr>
                    <w:tabs>
                      <w:tab w:val="left" w:pos="540"/>
                      <w:tab w:val="left" w:pos="851"/>
                      <w:tab w:val="left" w:pos="994"/>
                      <w:tab w:val="left" w:pos="1260"/>
                      <w:tab w:val="left" w:pos="3108"/>
                      <w:tab w:val="left" w:pos="3150"/>
                    </w:tabs>
                    <w:adjustRightInd w:val="0"/>
                    <w:snapToGrid w:val="0"/>
                    <w:spacing w:line="240" w:lineRule="auto"/>
                    <w:ind w:firstLine="0" w:firstLineChars="0"/>
                    <w:rPr>
                      <w:sz w:val="21"/>
                      <w:szCs w:val="21"/>
                    </w:rPr>
                  </w:pPr>
                  <w:r>
                    <w:rPr>
                      <w:rFonts w:hint="eastAsia"/>
                      <w:sz w:val="21"/>
                      <w:szCs w:val="21"/>
                    </w:rPr>
                    <w:t>2.本项目不涉及；</w:t>
                  </w:r>
                </w:p>
                <w:p w14:paraId="530D23AF">
                  <w:pPr>
                    <w:tabs>
                      <w:tab w:val="left" w:pos="540"/>
                      <w:tab w:val="left" w:pos="851"/>
                      <w:tab w:val="left" w:pos="994"/>
                      <w:tab w:val="left" w:pos="1260"/>
                      <w:tab w:val="left" w:pos="3108"/>
                      <w:tab w:val="left" w:pos="3150"/>
                    </w:tabs>
                    <w:adjustRightInd w:val="0"/>
                    <w:snapToGrid w:val="0"/>
                    <w:spacing w:line="240" w:lineRule="auto"/>
                    <w:ind w:firstLine="0" w:firstLineChars="0"/>
                    <w:rPr>
                      <w:sz w:val="21"/>
                      <w:szCs w:val="21"/>
                    </w:rPr>
                  </w:pPr>
                  <w:r>
                    <w:rPr>
                      <w:rFonts w:hint="eastAsia"/>
                      <w:sz w:val="21"/>
                      <w:szCs w:val="21"/>
                    </w:rPr>
                    <w:t>3.本项目不涉及。</w:t>
                  </w:r>
                </w:p>
              </w:tc>
              <w:tc>
                <w:tcPr>
                  <w:tcW w:w="484" w:type="pct"/>
                  <w:shd w:val="clear" w:color="auto" w:fill="auto"/>
                  <w:vAlign w:val="center"/>
                </w:tcPr>
                <w:p w14:paraId="0B67ABF2">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r>
                    <w:rPr>
                      <w:rFonts w:hint="eastAsia"/>
                      <w:sz w:val="21"/>
                      <w:szCs w:val="21"/>
                    </w:rPr>
                    <w:t>符合</w:t>
                  </w:r>
                </w:p>
              </w:tc>
            </w:tr>
            <w:tr w14:paraId="60ADC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0" w:hRule="atLeast"/>
                <w:jc w:val="center"/>
              </w:trPr>
              <w:tc>
                <w:tcPr>
                  <w:tcW w:w="409" w:type="pct"/>
                  <w:vMerge w:val="restart"/>
                  <w:vAlign w:val="center"/>
                </w:tcPr>
                <w:p w14:paraId="2289C95F">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r>
                    <w:rPr>
                      <w:rFonts w:hint="eastAsia"/>
                      <w:sz w:val="21"/>
                      <w:szCs w:val="21"/>
                    </w:rPr>
                    <w:t>寻甸回族彝族自治县一般生态空间优先保护单元</w:t>
                  </w:r>
                </w:p>
              </w:tc>
              <w:tc>
                <w:tcPr>
                  <w:tcW w:w="304" w:type="pct"/>
                  <w:shd w:val="clear" w:color="auto" w:fill="auto"/>
                  <w:vAlign w:val="center"/>
                </w:tcPr>
                <w:p w14:paraId="14636E52">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r>
                    <w:rPr>
                      <w:rFonts w:hint="eastAsia"/>
                      <w:sz w:val="21"/>
                      <w:szCs w:val="21"/>
                    </w:rPr>
                    <w:t>空间布局</w:t>
                  </w:r>
                </w:p>
                <w:p w14:paraId="536622A5">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r>
                    <w:rPr>
                      <w:rFonts w:hint="eastAsia"/>
                      <w:sz w:val="21"/>
                      <w:szCs w:val="21"/>
                    </w:rPr>
                    <w:t>约束</w:t>
                  </w:r>
                </w:p>
              </w:tc>
              <w:tc>
                <w:tcPr>
                  <w:tcW w:w="2325" w:type="pct"/>
                  <w:shd w:val="clear" w:color="auto" w:fill="auto"/>
                  <w:vAlign w:val="center"/>
                </w:tcPr>
                <w:p w14:paraId="663E66D7">
                  <w:pPr>
                    <w:tabs>
                      <w:tab w:val="left" w:pos="540"/>
                      <w:tab w:val="left" w:pos="851"/>
                      <w:tab w:val="left" w:pos="994"/>
                      <w:tab w:val="left" w:pos="1260"/>
                      <w:tab w:val="left" w:pos="3108"/>
                      <w:tab w:val="left" w:pos="3150"/>
                    </w:tabs>
                    <w:adjustRightInd w:val="0"/>
                    <w:snapToGrid w:val="0"/>
                    <w:spacing w:line="240" w:lineRule="auto"/>
                    <w:ind w:firstLine="0" w:firstLineChars="0"/>
                    <w:rPr>
                      <w:sz w:val="21"/>
                      <w:szCs w:val="21"/>
                    </w:rPr>
                  </w:pPr>
                  <w:r>
                    <w:rPr>
                      <w:rFonts w:hint="eastAsia"/>
                      <w:sz w:val="21"/>
                      <w:szCs w:val="21"/>
                    </w:rPr>
                    <w:t>1.一般生态空间优先保护单元以保护和修复生态环境、提供生态产品为首要任务，参照主体功能区中重点生态功能区的开发和管制原则进行管控，加强资源环境承载力控制，防止过度垦殖、放牧、采伐、取水、渔猎、旅游等对生态功能造成损害，确保自然生态系统稳定。涉及占用一般生态空间的开发活动应符合相关法律法规规定，没有明确规定的，加强论证和管理。</w:t>
                  </w:r>
                </w:p>
                <w:p w14:paraId="1BAE91FF">
                  <w:pPr>
                    <w:tabs>
                      <w:tab w:val="left" w:pos="540"/>
                      <w:tab w:val="left" w:pos="851"/>
                      <w:tab w:val="left" w:pos="994"/>
                      <w:tab w:val="left" w:pos="1260"/>
                      <w:tab w:val="left" w:pos="3108"/>
                      <w:tab w:val="left" w:pos="3150"/>
                    </w:tabs>
                    <w:adjustRightInd w:val="0"/>
                    <w:snapToGrid w:val="0"/>
                    <w:spacing w:line="240" w:lineRule="auto"/>
                    <w:ind w:firstLine="0" w:firstLineChars="0"/>
                    <w:rPr>
                      <w:sz w:val="21"/>
                      <w:szCs w:val="21"/>
                    </w:rPr>
                  </w:pPr>
                  <w:r>
                    <w:rPr>
                      <w:rFonts w:hint="eastAsia"/>
                      <w:sz w:val="21"/>
                      <w:szCs w:val="21"/>
                    </w:rPr>
                    <w:t>2.暂未纳入生态保护红线的自然保护地按照相关保护地法律法规进行管理；公益林依据《国家级公益林管理办法》《云南省公益林管理办法》进行管理；天然林依据《国家林业局关于严格保护天然林的通知》（林资发〔2015〕181号）《中共中央办公厅 国务院办公厅关于印发〈天然林保护修复制度方案〉的通知》（厅字〔2019〕39号）等进行管理。</w:t>
                  </w:r>
                </w:p>
              </w:tc>
              <w:tc>
                <w:tcPr>
                  <w:tcW w:w="1476" w:type="pct"/>
                  <w:shd w:val="clear" w:color="auto" w:fill="auto"/>
                  <w:vAlign w:val="center"/>
                </w:tcPr>
                <w:p w14:paraId="52A35558">
                  <w:pPr>
                    <w:tabs>
                      <w:tab w:val="left" w:pos="540"/>
                      <w:tab w:val="left" w:pos="851"/>
                      <w:tab w:val="left" w:pos="994"/>
                      <w:tab w:val="left" w:pos="1260"/>
                      <w:tab w:val="left" w:pos="3108"/>
                      <w:tab w:val="left" w:pos="3150"/>
                    </w:tabs>
                    <w:adjustRightInd w:val="0"/>
                    <w:snapToGrid w:val="0"/>
                    <w:spacing w:line="240" w:lineRule="auto"/>
                    <w:ind w:firstLine="0" w:firstLineChars="0"/>
                    <w:rPr>
                      <w:sz w:val="21"/>
                      <w:szCs w:val="21"/>
                    </w:rPr>
                  </w:pPr>
                  <w:r>
                    <w:rPr>
                      <w:rFonts w:hint="eastAsia"/>
                      <w:sz w:val="21"/>
                      <w:szCs w:val="21"/>
                    </w:rPr>
                    <w:t>1、根据“关于寻甸熠峰建设工程有限公司搅拌站项目用地范围是否涉及生态保护红线及城镇开发边界的情况说明”，项目用地范围与寻甸县生态保护红线不重叠，使用地块为空地，项目的建设不会降低区域的生态功能。</w:t>
                  </w:r>
                </w:p>
                <w:p w14:paraId="1E9D15C1">
                  <w:pPr>
                    <w:tabs>
                      <w:tab w:val="left" w:pos="540"/>
                      <w:tab w:val="left" w:pos="851"/>
                      <w:tab w:val="left" w:pos="994"/>
                      <w:tab w:val="left" w:pos="1260"/>
                      <w:tab w:val="left" w:pos="3108"/>
                      <w:tab w:val="left" w:pos="3150"/>
                    </w:tabs>
                    <w:adjustRightInd w:val="0"/>
                    <w:snapToGrid w:val="0"/>
                    <w:spacing w:line="240" w:lineRule="auto"/>
                    <w:ind w:firstLine="0" w:firstLineChars="0"/>
                    <w:rPr>
                      <w:sz w:val="21"/>
                      <w:szCs w:val="21"/>
                    </w:rPr>
                  </w:pPr>
                  <w:r>
                    <w:rPr>
                      <w:rFonts w:hint="eastAsia"/>
                      <w:sz w:val="21"/>
                      <w:szCs w:val="21"/>
                    </w:rPr>
                    <w:t>2、根据“寻甸林业和草原局出具项目选址意见”，项目选址范围内不涉及林地、草地。</w:t>
                  </w:r>
                </w:p>
              </w:tc>
              <w:tc>
                <w:tcPr>
                  <w:tcW w:w="484" w:type="pct"/>
                  <w:shd w:val="clear" w:color="auto" w:fill="auto"/>
                  <w:vAlign w:val="center"/>
                </w:tcPr>
                <w:p w14:paraId="581DAD22">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r>
                    <w:rPr>
                      <w:rFonts w:hint="eastAsia"/>
                      <w:sz w:val="21"/>
                      <w:szCs w:val="21"/>
                    </w:rPr>
                    <w:t>符合</w:t>
                  </w:r>
                </w:p>
              </w:tc>
            </w:tr>
            <w:tr w14:paraId="6ADA2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6" w:hRule="atLeast"/>
                <w:jc w:val="center"/>
              </w:trPr>
              <w:tc>
                <w:tcPr>
                  <w:tcW w:w="409" w:type="pct"/>
                  <w:vMerge w:val="continue"/>
                  <w:vAlign w:val="center"/>
                </w:tcPr>
                <w:p w14:paraId="00854534">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p>
              </w:tc>
              <w:tc>
                <w:tcPr>
                  <w:tcW w:w="304" w:type="pct"/>
                  <w:shd w:val="clear" w:color="auto" w:fill="auto"/>
                  <w:vAlign w:val="center"/>
                </w:tcPr>
                <w:p w14:paraId="04A230A9">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r>
                    <w:rPr>
                      <w:rFonts w:hint="eastAsia"/>
                      <w:sz w:val="21"/>
                      <w:szCs w:val="21"/>
                    </w:rPr>
                    <w:t>污染物排放管控</w:t>
                  </w:r>
                </w:p>
              </w:tc>
              <w:tc>
                <w:tcPr>
                  <w:tcW w:w="2325" w:type="pct"/>
                  <w:shd w:val="clear" w:color="auto" w:fill="auto"/>
                  <w:vAlign w:val="center"/>
                </w:tcPr>
                <w:p w14:paraId="7E96BC18">
                  <w:pPr>
                    <w:tabs>
                      <w:tab w:val="left" w:pos="540"/>
                      <w:tab w:val="left" w:pos="851"/>
                      <w:tab w:val="left" w:pos="994"/>
                      <w:tab w:val="left" w:pos="1260"/>
                      <w:tab w:val="left" w:pos="3108"/>
                      <w:tab w:val="left" w:pos="3150"/>
                    </w:tabs>
                    <w:adjustRightInd w:val="0"/>
                    <w:snapToGrid w:val="0"/>
                    <w:spacing w:line="240" w:lineRule="auto"/>
                    <w:ind w:firstLine="0" w:firstLineChars="0"/>
                    <w:rPr>
                      <w:sz w:val="21"/>
                      <w:szCs w:val="21"/>
                    </w:rPr>
                  </w:pPr>
                  <w:r>
                    <w:rPr>
                      <w:rFonts w:hint="eastAsia"/>
                      <w:sz w:val="21"/>
                      <w:szCs w:val="21"/>
                    </w:rPr>
                    <w:t>1.禁止在二十五度以上陡坡地开垦种植农作物。</w:t>
                  </w:r>
                </w:p>
                <w:p w14:paraId="769B8B75">
                  <w:pPr>
                    <w:tabs>
                      <w:tab w:val="left" w:pos="540"/>
                      <w:tab w:val="left" w:pos="851"/>
                      <w:tab w:val="left" w:pos="994"/>
                      <w:tab w:val="left" w:pos="1260"/>
                      <w:tab w:val="left" w:pos="3108"/>
                      <w:tab w:val="left" w:pos="3150"/>
                    </w:tabs>
                    <w:adjustRightInd w:val="0"/>
                    <w:snapToGrid w:val="0"/>
                    <w:spacing w:line="240" w:lineRule="auto"/>
                    <w:ind w:firstLine="0" w:firstLineChars="0"/>
                    <w:rPr>
                      <w:sz w:val="21"/>
                      <w:szCs w:val="21"/>
                    </w:rPr>
                  </w:pPr>
                  <w:r>
                    <w:rPr>
                      <w:rFonts w:hint="eastAsia"/>
                      <w:sz w:val="21"/>
                      <w:szCs w:val="21"/>
                    </w:rPr>
                    <w:t>2.禁止围湖造田和侵占江河滩地。</w:t>
                  </w:r>
                </w:p>
                <w:p w14:paraId="47B2258D">
                  <w:pPr>
                    <w:tabs>
                      <w:tab w:val="left" w:pos="540"/>
                      <w:tab w:val="left" w:pos="851"/>
                      <w:tab w:val="left" w:pos="994"/>
                      <w:tab w:val="left" w:pos="1260"/>
                      <w:tab w:val="left" w:pos="3108"/>
                      <w:tab w:val="left" w:pos="3150"/>
                    </w:tabs>
                    <w:adjustRightInd w:val="0"/>
                    <w:snapToGrid w:val="0"/>
                    <w:spacing w:line="240" w:lineRule="auto"/>
                    <w:ind w:firstLine="0" w:firstLineChars="0"/>
                    <w:rPr>
                      <w:sz w:val="21"/>
                      <w:szCs w:val="21"/>
                    </w:rPr>
                  </w:pPr>
                  <w:r>
                    <w:rPr>
                      <w:rFonts w:hint="eastAsia"/>
                      <w:sz w:val="21"/>
                      <w:szCs w:val="21"/>
                    </w:rPr>
                    <w:t>3.畜禽养殖严格执行禁养区规定。对草原实行以草定蓄、草蓄平衡制度，禁止过度放牧。</w:t>
                  </w:r>
                </w:p>
              </w:tc>
              <w:tc>
                <w:tcPr>
                  <w:tcW w:w="1476" w:type="pct"/>
                  <w:shd w:val="clear" w:color="auto" w:fill="auto"/>
                  <w:vAlign w:val="center"/>
                </w:tcPr>
                <w:p w14:paraId="70A9F581">
                  <w:pPr>
                    <w:tabs>
                      <w:tab w:val="left" w:pos="540"/>
                      <w:tab w:val="left" w:pos="851"/>
                      <w:tab w:val="left" w:pos="994"/>
                      <w:tab w:val="left" w:pos="1260"/>
                      <w:tab w:val="left" w:pos="3108"/>
                      <w:tab w:val="left" w:pos="3150"/>
                    </w:tabs>
                    <w:adjustRightInd w:val="0"/>
                    <w:snapToGrid w:val="0"/>
                    <w:spacing w:line="240" w:lineRule="auto"/>
                    <w:ind w:firstLine="0" w:firstLineChars="0"/>
                    <w:rPr>
                      <w:sz w:val="21"/>
                      <w:szCs w:val="21"/>
                    </w:rPr>
                  </w:pPr>
                  <w:r>
                    <w:rPr>
                      <w:rFonts w:hint="eastAsia"/>
                      <w:sz w:val="21"/>
                      <w:szCs w:val="21"/>
                    </w:rPr>
                    <w:t>项目为沥青混凝土搅拌站建设，不涉及该条内容</w:t>
                  </w:r>
                </w:p>
              </w:tc>
              <w:tc>
                <w:tcPr>
                  <w:tcW w:w="484" w:type="pct"/>
                  <w:shd w:val="clear" w:color="auto" w:fill="auto"/>
                  <w:vAlign w:val="center"/>
                </w:tcPr>
                <w:p w14:paraId="0154F75F">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r>
                    <w:rPr>
                      <w:rFonts w:hint="eastAsia"/>
                      <w:sz w:val="21"/>
                      <w:szCs w:val="21"/>
                    </w:rPr>
                    <w:t>符合</w:t>
                  </w:r>
                </w:p>
              </w:tc>
            </w:tr>
            <w:tr w14:paraId="53585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4" w:hRule="atLeast"/>
                <w:jc w:val="center"/>
              </w:trPr>
              <w:tc>
                <w:tcPr>
                  <w:tcW w:w="409" w:type="pct"/>
                  <w:vMerge w:val="continue"/>
                  <w:vAlign w:val="center"/>
                </w:tcPr>
                <w:p w14:paraId="680D0ADA">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p>
              </w:tc>
              <w:tc>
                <w:tcPr>
                  <w:tcW w:w="304" w:type="pct"/>
                  <w:shd w:val="clear" w:color="auto" w:fill="auto"/>
                  <w:vAlign w:val="center"/>
                </w:tcPr>
                <w:p w14:paraId="4F90DFCF">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r>
                    <w:rPr>
                      <w:rFonts w:hint="eastAsia"/>
                      <w:sz w:val="21"/>
                      <w:szCs w:val="21"/>
                    </w:rPr>
                    <w:t>环境风险</w:t>
                  </w:r>
                </w:p>
                <w:p w14:paraId="342E6B0B">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r>
                    <w:rPr>
                      <w:rFonts w:hint="eastAsia"/>
                      <w:sz w:val="21"/>
                      <w:szCs w:val="21"/>
                    </w:rPr>
                    <w:t>防控</w:t>
                  </w:r>
                </w:p>
              </w:tc>
              <w:tc>
                <w:tcPr>
                  <w:tcW w:w="2325" w:type="pct"/>
                  <w:shd w:val="clear" w:color="auto" w:fill="auto"/>
                  <w:vAlign w:val="center"/>
                </w:tcPr>
                <w:p w14:paraId="6E4EF20A">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r>
                    <w:rPr>
                      <w:rFonts w:hint="eastAsia"/>
                      <w:sz w:val="21"/>
                      <w:szCs w:val="21"/>
                    </w:rPr>
                    <w:t>执行昆明市总体要求</w:t>
                  </w:r>
                </w:p>
              </w:tc>
              <w:tc>
                <w:tcPr>
                  <w:tcW w:w="1476" w:type="pct"/>
                  <w:shd w:val="clear" w:color="auto" w:fill="auto"/>
                  <w:vAlign w:val="center"/>
                </w:tcPr>
                <w:p w14:paraId="697E83A7">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r>
                    <w:rPr>
                      <w:rFonts w:hint="eastAsia"/>
                      <w:sz w:val="21"/>
                      <w:szCs w:val="21"/>
                    </w:rPr>
                    <w:t>/</w:t>
                  </w:r>
                </w:p>
              </w:tc>
              <w:tc>
                <w:tcPr>
                  <w:tcW w:w="484" w:type="pct"/>
                  <w:shd w:val="clear" w:color="auto" w:fill="auto"/>
                  <w:vAlign w:val="center"/>
                </w:tcPr>
                <w:p w14:paraId="5DC89A0F">
                  <w:pPr>
                    <w:tabs>
                      <w:tab w:val="left" w:pos="540"/>
                      <w:tab w:val="left" w:pos="851"/>
                      <w:tab w:val="left" w:pos="994"/>
                      <w:tab w:val="left" w:pos="1260"/>
                      <w:tab w:val="left" w:pos="3108"/>
                      <w:tab w:val="left" w:pos="3150"/>
                    </w:tabs>
                    <w:adjustRightInd w:val="0"/>
                    <w:snapToGrid w:val="0"/>
                    <w:spacing w:line="240" w:lineRule="auto"/>
                    <w:ind w:firstLine="0" w:firstLineChars="0"/>
                    <w:jc w:val="center"/>
                    <w:rPr>
                      <w:sz w:val="21"/>
                      <w:szCs w:val="21"/>
                    </w:rPr>
                  </w:pPr>
                  <w:r>
                    <w:rPr>
                      <w:rFonts w:hint="eastAsia"/>
                      <w:sz w:val="21"/>
                      <w:szCs w:val="21"/>
                    </w:rPr>
                    <w:t>/</w:t>
                  </w:r>
                </w:p>
              </w:tc>
            </w:tr>
          </w:tbl>
          <w:p w14:paraId="0256BB09">
            <w:pPr>
              <w:tabs>
                <w:tab w:val="left" w:pos="540"/>
                <w:tab w:val="left" w:pos="851"/>
                <w:tab w:val="left" w:pos="994"/>
                <w:tab w:val="left" w:pos="1260"/>
                <w:tab w:val="left" w:pos="3108"/>
                <w:tab w:val="left" w:pos="3150"/>
              </w:tabs>
              <w:ind w:firstLine="480"/>
              <w:rPr>
                <w:szCs w:val="32"/>
              </w:rPr>
            </w:pPr>
            <w:r>
              <w:t>综上分析，本项目建设符合</w:t>
            </w:r>
            <w:r>
              <w:rPr>
                <w:rFonts w:hint="eastAsia"/>
                <w:kern w:val="0"/>
              </w:rPr>
              <w:t>《昆明市生态环境分区管控动态更新方案（2023年）》</w:t>
            </w:r>
            <w:r>
              <w:rPr>
                <w:bCs/>
                <w:kern w:val="0"/>
              </w:rPr>
              <w:t>的相关要求。</w:t>
            </w:r>
          </w:p>
          <w:p w14:paraId="24FF879F">
            <w:pPr>
              <w:numPr>
                <w:ilvl w:val="0"/>
                <w:numId w:val="3"/>
              </w:numPr>
              <w:ind w:firstLine="0" w:firstLineChars="0"/>
              <w:rPr>
                <w:b/>
                <w:bCs/>
              </w:rPr>
            </w:pPr>
            <w:r>
              <w:rPr>
                <w:rFonts w:hint="eastAsia"/>
                <w:b/>
                <w:bCs/>
              </w:rPr>
              <w:t>与《</w:t>
            </w:r>
            <w:bookmarkStart w:id="8" w:name="OLE_LINK1"/>
            <w:r>
              <w:rPr>
                <w:rFonts w:hint="eastAsia"/>
                <w:b/>
                <w:bCs/>
              </w:rPr>
              <w:t>云南省长江经济带发展负面清单指南实施细则（试行，2022年版）》</w:t>
            </w:r>
            <w:bookmarkEnd w:id="8"/>
            <w:r>
              <w:rPr>
                <w:rFonts w:hint="eastAsia"/>
                <w:b/>
                <w:bCs/>
              </w:rPr>
              <w:t>的符合性分析</w:t>
            </w:r>
          </w:p>
          <w:p w14:paraId="0272057F">
            <w:pPr>
              <w:ind w:firstLine="0" w:firstLineChars="0"/>
              <w:jc w:val="center"/>
              <w:rPr>
                <w:sz w:val="21"/>
                <w:szCs w:val="21"/>
              </w:rPr>
            </w:pPr>
            <w:r>
              <w:rPr>
                <w:rFonts w:hint="eastAsia"/>
                <w:b/>
                <w:bCs/>
                <w:sz w:val="21"/>
                <w:szCs w:val="21"/>
              </w:rPr>
              <w:t>表1-3  项目与《云南省长江经济带发展负面清单指南实施细则（试行，2022年版）》符合性分析</w:t>
            </w:r>
          </w:p>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
              <w:gridCol w:w="3472"/>
              <w:gridCol w:w="2887"/>
              <w:gridCol w:w="897"/>
            </w:tblGrid>
            <w:tr w14:paraId="0A2CF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99" w:type="pct"/>
                  <w:vAlign w:val="center"/>
                </w:tcPr>
                <w:p w14:paraId="5357B77A">
                  <w:pPr>
                    <w:spacing w:line="240" w:lineRule="auto"/>
                    <w:ind w:firstLine="0" w:firstLineChars="0"/>
                    <w:jc w:val="center"/>
                    <w:rPr>
                      <w:b/>
                      <w:bCs/>
                      <w:sz w:val="21"/>
                      <w:szCs w:val="21"/>
                    </w:rPr>
                  </w:pPr>
                  <w:r>
                    <w:rPr>
                      <w:b/>
                      <w:bCs/>
                      <w:sz w:val="21"/>
                      <w:szCs w:val="21"/>
                    </w:rPr>
                    <w:t>序号</w:t>
                  </w:r>
                </w:p>
              </w:tc>
              <w:tc>
                <w:tcPr>
                  <w:tcW w:w="2248" w:type="pct"/>
                  <w:vAlign w:val="center"/>
                </w:tcPr>
                <w:p w14:paraId="07613239">
                  <w:pPr>
                    <w:spacing w:line="240" w:lineRule="auto"/>
                    <w:ind w:firstLine="0" w:firstLineChars="0"/>
                    <w:jc w:val="center"/>
                    <w:rPr>
                      <w:b/>
                      <w:bCs/>
                      <w:sz w:val="21"/>
                      <w:szCs w:val="21"/>
                    </w:rPr>
                  </w:pPr>
                  <w:r>
                    <w:rPr>
                      <w:rFonts w:hint="eastAsia"/>
                      <w:b/>
                      <w:bCs/>
                      <w:sz w:val="21"/>
                      <w:szCs w:val="21"/>
                    </w:rPr>
                    <w:t>规范要求</w:t>
                  </w:r>
                </w:p>
              </w:tc>
              <w:tc>
                <w:tcPr>
                  <w:tcW w:w="1869" w:type="pct"/>
                  <w:vAlign w:val="center"/>
                </w:tcPr>
                <w:p w14:paraId="0B0DFC8F">
                  <w:pPr>
                    <w:spacing w:line="240" w:lineRule="auto"/>
                    <w:ind w:firstLine="0" w:firstLineChars="0"/>
                    <w:jc w:val="center"/>
                    <w:rPr>
                      <w:b/>
                      <w:bCs/>
                      <w:sz w:val="21"/>
                      <w:szCs w:val="21"/>
                    </w:rPr>
                  </w:pPr>
                  <w:r>
                    <w:rPr>
                      <w:b/>
                      <w:bCs/>
                      <w:sz w:val="21"/>
                      <w:szCs w:val="21"/>
                    </w:rPr>
                    <w:t>本项目实际情况</w:t>
                  </w:r>
                </w:p>
              </w:tc>
              <w:tc>
                <w:tcPr>
                  <w:tcW w:w="581" w:type="pct"/>
                  <w:vAlign w:val="center"/>
                </w:tcPr>
                <w:p w14:paraId="44132858">
                  <w:pPr>
                    <w:spacing w:line="240" w:lineRule="auto"/>
                    <w:ind w:firstLine="0" w:firstLineChars="0"/>
                    <w:jc w:val="center"/>
                    <w:rPr>
                      <w:b/>
                      <w:bCs/>
                      <w:sz w:val="21"/>
                      <w:szCs w:val="21"/>
                    </w:rPr>
                  </w:pPr>
                  <w:r>
                    <w:rPr>
                      <w:b/>
                      <w:bCs/>
                      <w:sz w:val="21"/>
                      <w:szCs w:val="21"/>
                    </w:rPr>
                    <w:t>符合性</w:t>
                  </w:r>
                </w:p>
              </w:tc>
            </w:tr>
            <w:tr w14:paraId="75D9D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 w:type="pct"/>
                  <w:vAlign w:val="center"/>
                </w:tcPr>
                <w:p w14:paraId="44DD6ECC">
                  <w:pPr>
                    <w:widowControl/>
                    <w:spacing w:line="240" w:lineRule="auto"/>
                    <w:ind w:firstLine="0" w:firstLineChars="0"/>
                    <w:jc w:val="center"/>
                    <w:rPr>
                      <w:sz w:val="21"/>
                      <w:szCs w:val="21"/>
                    </w:rPr>
                  </w:pPr>
                  <w:r>
                    <w:rPr>
                      <w:rFonts w:hint="eastAsia"/>
                      <w:sz w:val="21"/>
                      <w:szCs w:val="21"/>
                    </w:rPr>
                    <w:t>1</w:t>
                  </w:r>
                </w:p>
              </w:tc>
              <w:tc>
                <w:tcPr>
                  <w:tcW w:w="2248" w:type="pct"/>
                  <w:vAlign w:val="center"/>
                </w:tcPr>
                <w:p w14:paraId="06A3B3FA">
                  <w:pPr>
                    <w:widowControl/>
                    <w:spacing w:line="240" w:lineRule="auto"/>
                    <w:ind w:firstLine="0" w:firstLineChars="0"/>
                    <w:jc w:val="left"/>
                    <w:rPr>
                      <w:sz w:val="21"/>
                      <w:szCs w:val="21"/>
                    </w:rPr>
                  </w:pPr>
                  <w:r>
                    <w:rPr>
                      <w:rFonts w:hint="eastAsia"/>
                      <w:sz w:val="21"/>
                      <w:szCs w:val="21"/>
                    </w:rPr>
                    <w:t>禁止在自然保护区核心区、缓冲区的岸线和河段范围内投资建设旅游和生产经营项目。</w:t>
                  </w:r>
                </w:p>
              </w:tc>
              <w:tc>
                <w:tcPr>
                  <w:tcW w:w="1869" w:type="pct"/>
                  <w:vAlign w:val="center"/>
                </w:tcPr>
                <w:p w14:paraId="78009B72">
                  <w:pPr>
                    <w:widowControl/>
                    <w:spacing w:line="240" w:lineRule="auto"/>
                    <w:ind w:firstLine="0" w:firstLineChars="0"/>
                    <w:rPr>
                      <w:sz w:val="21"/>
                      <w:szCs w:val="21"/>
                    </w:rPr>
                  </w:pPr>
                  <w:r>
                    <w:rPr>
                      <w:rFonts w:hint="eastAsia"/>
                      <w:sz w:val="21"/>
                      <w:szCs w:val="21"/>
                    </w:rPr>
                    <w:t>本项目不在自然保护区的核心区、缓冲区和试验区内。</w:t>
                  </w:r>
                </w:p>
              </w:tc>
              <w:tc>
                <w:tcPr>
                  <w:tcW w:w="581" w:type="pct"/>
                  <w:vAlign w:val="center"/>
                </w:tcPr>
                <w:p w14:paraId="6053FDC6">
                  <w:pPr>
                    <w:spacing w:line="240" w:lineRule="auto"/>
                    <w:ind w:firstLine="0" w:firstLineChars="0"/>
                    <w:jc w:val="center"/>
                    <w:rPr>
                      <w:sz w:val="21"/>
                      <w:szCs w:val="21"/>
                    </w:rPr>
                  </w:pPr>
                  <w:r>
                    <w:rPr>
                      <w:rFonts w:hint="eastAsia"/>
                      <w:sz w:val="21"/>
                      <w:szCs w:val="21"/>
                    </w:rPr>
                    <w:t>符合</w:t>
                  </w:r>
                </w:p>
              </w:tc>
            </w:tr>
            <w:tr w14:paraId="0E7FA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 w:type="pct"/>
                  <w:vAlign w:val="center"/>
                </w:tcPr>
                <w:p w14:paraId="6CF958CB">
                  <w:pPr>
                    <w:widowControl/>
                    <w:spacing w:line="240" w:lineRule="auto"/>
                    <w:ind w:firstLine="0" w:firstLineChars="0"/>
                    <w:jc w:val="center"/>
                    <w:rPr>
                      <w:sz w:val="21"/>
                      <w:szCs w:val="21"/>
                    </w:rPr>
                  </w:pPr>
                  <w:r>
                    <w:rPr>
                      <w:rFonts w:hint="eastAsia"/>
                      <w:sz w:val="21"/>
                      <w:szCs w:val="21"/>
                    </w:rPr>
                    <w:t>2</w:t>
                  </w:r>
                </w:p>
              </w:tc>
              <w:tc>
                <w:tcPr>
                  <w:tcW w:w="2248" w:type="pct"/>
                  <w:vAlign w:val="center"/>
                </w:tcPr>
                <w:p w14:paraId="4AFAAF0D">
                  <w:pPr>
                    <w:widowControl/>
                    <w:spacing w:line="240" w:lineRule="auto"/>
                    <w:ind w:firstLine="0" w:firstLineChars="0"/>
                    <w:jc w:val="left"/>
                    <w:rPr>
                      <w:sz w:val="21"/>
                      <w:szCs w:val="21"/>
                    </w:rPr>
                  </w:pPr>
                  <w:r>
                    <w:rPr>
                      <w:rFonts w:hint="eastAsia"/>
                      <w:sz w:val="21"/>
                      <w:szCs w:val="21"/>
                    </w:rPr>
                    <w:t>禁止在风景名胜区核心景区的岸线和河段范围内投资建设与风景名胜资源保护无关的项目。</w:t>
                  </w:r>
                </w:p>
              </w:tc>
              <w:tc>
                <w:tcPr>
                  <w:tcW w:w="1869" w:type="pct"/>
                  <w:vAlign w:val="center"/>
                </w:tcPr>
                <w:p w14:paraId="2EDEB882">
                  <w:pPr>
                    <w:widowControl/>
                    <w:spacing w:line="240" w:lineRule="auto"/>
                    <w:ind w:firstLine="0" w:firstLineChars="0"/>
                    <w:rPr>
                      <w:sz w:val="21"/>
                      <w:szCs w:val="21"/>
                    </w:rPr>
                  </w:pPr>
                  <w:r>
                    <w:rPr>
                      <w:rFonts w:hint="eastAsia"/>
                      <w:sz w:val="21"/>
                      <w:szCs w:val="21"/>
                    </w:rPr>
                    <w:t>项目用地不涉及风景名胜区。</w:t>
                  </w:r>
                </w:p>
              </w:tc>
              <w:tc>
                <w:tcPr>
                  <w:tcW w:w="581" w:type="pct"/>
                  <w:vAlign w:val="center"/>
                </w:tcPr>
                <w:p w14:paraId="070B19D5">
                  <w:pPr>
                    <w:spacing w:line="240" w:lineRule="auto"/>
                    <w:ind w:firstLine="0" w:firstLineChars="0"/>
                    <w:jc w:val="center"/>
                    <w:rPr>
                      <w:sz w:val="21"/>
                      <w:szCs w:val="21"/>
                    </w:rPr>
                  </w:pPr>
                  <w:r>
                    <w:rPr>
                      <w:rFonts w:hint="eastAsia"/>
                      <w:sz w:val="21"/>
                      <w:szCs w:val="21"/>
                    </w:rPr>
                    <w:t>符合</w:t>
                  </w:r>
                </w:p>
              </w:tc>
            </w:tr>
            <w:tr w14:paraId="73337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 w:type="pct"/>
                  <w:vAlign w:val="center"/>
                </w:tcPr>
                <w:p w14:paraId="6BF99DEA">
                  <w:pPr>
                    <w:widowControl/>
                    <w:spacing w:line="240" w:lineRule="auto"/>
                    <w:ind w:firstLine="0" w:firstLineChars="0"/>
                    <w:jc w:val="center"/>
                    <w:rPr>
                      <w:sz w:val="21"/>
                      <w:szCs w:val="21"/>
                    </w:rPr>
                  </w:pPr>
                  <w:r>
                    <w:rPr>
                      <w:rFonts w:hint="eastAsia"/>
                      <w:sz w:val="21"/>
                      <w:szCs w:val="21"/>
                    </w:rPr>
                    <w:t>3</w:t>
                  </w:r>
                </w:p>
              </w:tc>
              <w:tc>
                <w:tcPr>
                  <w:tcW w:w="2248" w:type="pct"/>
                  <w:vAlign w:val="center"/>
                </w:tcPr>
                <w:p w14:paraId="5F406193">
                  <w:pPr>
                    <w:widowControl/>
                    <w:spacing w:line="240" w:lineRule="auto"/>
                    <w:ind w:firstLine="0" w:firstLineChars="0"/>
                    <w:jc w:val="left"/>
                    <w:rPr>
                      <w:sz w:val="21"/>
                      <w:szCs w:val="21"/>
                    </w:rPr>
                  </w:pPr>
                  <w:r>
                    <w:rPr>
                      <w:rFonts w:hint="eastAsia"/>
                      <w:sz w:val="21"/>
                      <w:szCs w:val="21"/>
                    </w:rPr>
                    <w:t>禁止在饮用水水源一级保护区的岸线和河段范围内新建、改建、扩建与供水设施和保护水源无关的投资建设项目。</w:t>
                  </w:r>
                </w:p>
              </w:tc>
              <w:tc>
                <w:tcPr>
                  <w:tcW w:w="1869" w:type="pct"/>
                  <w:vAlign w:val="center"/>
                </w:tcPr>
                <w:p w14:paraId="23BD03C6">
                  <w:pPr>
                    <w:widowControl/>
                    <w:spacing w:line="240" w:lineRule="auto"/>
                    <w:ind w:firstLine="0" w:firstLineChars="0"/>
                    <w:rPr>
                      <w:sz w:val="21"/>
                      <w:szCs w:val="21"/>
                    </w:rPr>
                  </w:pPr>
                  <w:r>
                    <w:rPr>
                      <w:rFonts w:hint="eastAsia"/>
                      <w:sz w:val="21"/>
                      <w:szCs w:val="21"/>
                    </w:rPr>
                    <w:t>本项目不涉及饮用水源一级保护区、饮用水水源二级保护区。</w:t>
                  </w:r>
                </w:p>
              </w:tc>
              <w:tc>
                <w:tcPr>
                  <w:tcW w:w="581" w:type="pct"/>
                  <w:vAlign w:val="center"/>
                </w:tcPr>
                <w:p w14:paraId="65572D70">
                  <w:pPr>
                    <w:spacing w:line="240" w:lineRule="auto"/>
                    <w:ind w:firstLine="0" w:firstLineChars="0"/>
                    <w:jc w:val="center"/>
                    <w:rPr>
                      <w:sz w:val="21"/>
                      <w:szCs w:val="21"/>
                    </w:rPr>
                  </w:pPr>
                  <w:r>
                    <w:rPr>
                      <w:rFonts w:hint="eastAsia"/>
                      <w:sz w:val="21"/>
                      <w:szCs w:val="21"/>
                    </w:rPr>
                    <w:t>符合</w:t>
                  </w:r>
                </w:p>
              </w:tc>
            </w:tr>
            <w:tr w14:paraId="52DAD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299" w:type="pct"/>
                  <w:vAlign w:val="center"/>
                </w:tcPr>
                <w:p w14:paraId="3B8D3077">
                  <w:pPr>
                    <w:widowControl/>
                    <w:spacing w:line="240" w:lineRule="auto"/>
                    <w:ind w:firstLine="0" w:firstLineChars="0"/>
                    <w:jc w:val="center"/>
                    <w:rPr>
                      <w:sz w:val="21"/>
                      <w:szCs w:val="21"/>
                    </w:rPr>
                  </w:pPr>
                  <w:r>
                    <w:rPr>
                      <w:rFonts w:hint="eastAsia"/>
                      <w:sz w:val="21"/>
                      <w:szCs w:val="21"/>
                    </w:rPr>
                    <w:t>4</w:t>
                  </w:r>
                </w:p>
              </w:tc>
              <w:tc>
                <w:tcPr>
                  <w:tcW w:w="2248" w:type="pct"/>
                  <w:vAlign w:val="center"/>
                </w:tcPr>
                <w:p w14:paraId="7A243288">
                  <w:pPr>
                    <w:widowControl/>
                    <w:spacing w:line="240" w:lineRule="auto"/>
                    <w:ind w:firstLine="0" w:firstLineChars="0"/>
                    <w:jc w:val="left"/>
                    <w:rPr>
                      <w:sz w:val="21"/>
                      <w:szCs w:val="21"/>
                    </w:rPr>
                  </w:pPr>
                  <w:r>
                    <w:rPr>
                      <w:rFonts w:hint="eastAsia"/>
                      <w:sz w:val="21"/>
                      <w:szCs w:val="21"/>
                    </w:rPr>
                    <w:t>禁止在水产种质资源保护区的岸线和河段范围内新建围湖造田、围湖造地或围填海等投资建设项目。禁止擅自征收、占用国家湿地公园的土地。</w:t>
                  </w:r>
                </w:p>
              </w:tc>
              <w:tc>
                <w:tcPr>
                  <w:tcW w:w="1869" w:type="pct"/>
                  <w:vAlign w:val="center"/>
                </w:tcPr>
                <w:p w14:paraId="1510977B">
                  <w:pPr>
                    <w:widowControl/>
                    <w:spacing w:line="240" w:lineRule="auto"/>
                    <w:ind w:firstLine="0" w:firstLineChars="0"/>
                    <w:rPr>
                      <w:sz w:val="21"/>
                      <w:szCs w:val="21"/>
                    </w:rPr>
                  </w:pPr>
                  <w:r>
                    <w:rPr>
                      <w:rFonts w:hint="eastAsia"/>
                      <w:sz w:val="21"/>
                      <w:szCs w:val="21"/>
                    </w:rPr>
                    <w:t>本项目位于寻甸回族自治县仁德街道中桥社区，不涉及水产种质资源保护区的岸线或河段范围；本项目不涉及国家湿地公园的土地。</w:t>
                  </w:r>
                </w:p>
              </w:tc>
              <w:tc>
                <w:tcPr>
                  <w:tcW w:w="581" w:type="pct"/>
                  <w:vAlign w:val="center"/>
                </w:tcPr>
                <w:p w14:paraId="6F369991">
                  <w:pPr>
                    <w:spacing w:line="240" w:lineRule="auto"/>
                    <w:ind w:firstLine="0" w:firstLineChars="0"/>
                    <w:jc w:val="center"/>
                    <w:rPr>
                      <w:sz w:val="21"/>
                      <w:szCs w:val="21"/>
                    </w:rPr>
                  </w:pPr>
                  <w:r>
                    <w:rPr>
                      <w:rFonts w:hint="eastAsia"/>
                      <w:sz w:val="21"/>
                      <w:szCs w:val="21"/>
                    </w:rPr>
                    <w:t>符合</w:t>
                  </w:r>
                </w:p>
              </w:tc>
            </w:tr>
            <w:tr w14:paraId="2D760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299" w:type="pct"/>
                  <w:vAlign w:val="center"/>
                </w:tcPr>
                <w:p w14:paraId="1E8A52B6">
                  <w:pPr>
                    <w:widowControl/>
                    <w:spacing w:line="240" w:lineRule="auto"/>
                    <w:ind w:firstLine="0" w:firstLineChars="0"/>
                    <w:jc w:val="center"/>
                    <w:rPr>
                      <w:sz w:val="21"/>
                      <w:szCs w:val="21"/>
                    </w:rPr>
                  </w:pPr>
                  <w:r>
                    <w:rPr>
                      <w:rFonts w:hint="eastAsia"/>
                      <w:sz w:val="21"/>
                      <w:szCs w:val="21"/>
                    </w:rPr>
                    <w:t>5</w:t>
                  </w:r>
                </w:p>
              </w:tc>
              <w:tc>
                <w:tcPr>
                  <w:tcW w:w="2248" w:type="pct"/>
                  <w:vAlign w:val="center"/>
                </w:tcPr>
                <w:p w14:paraId="4E2D3305">
                  <w:pPr>
                    <w:widowControl/>
                    <w:spacing w:line="240" w:lineRule="auto"/>
                    <w:ind w:firstLine="0" w:firstLineChars="0"/>
                    <w:jc w:val="left"/>
                    <w:rPr>
                      <w:sz w:val="21"/>
                      <w:szCs w:val="21"/>
                    </w:rPr>
                  </w:pPr>
                  <w:r>
                    <w:rPr>
                      <w:rFonts w:hint="eastAsia"/>
                      <w:sz w:val="21"/>
                      <w:szCs w:val="21"/>
                    </w:rPr>
                    <w:t>禁止在金沙江干流、长江一级支流建设除党中央、国务院、国家投资主管部门、省级有关部门批复同意以外的过江基础设施项目；禁止未经许可在金沙江干流、长江一级支流、九大高原湖泊流域新设、改设或扩大排污口。</w:t>
                  </w:r>
                </w:p>
              </w:tc>
              <w:tc>
                <w:tcPr>
                  <w:tcW w:w="1869" w:type="pct"/>
                  <w:vAlign w:val="center"/>
                </w:tcPr>
                <w:p w14:paraId="7E45CE39">
                  <w:pPr>
                    <w:widowControl/>
                    <w:spacing w:line="240" w:lineRule="auto"/>
                    <w:ind w:firstLine="0" w:firstLineChars="0"/>
                    <w:rPr>
                      <w:sz w:val="21"/>
                      <w:szCs w:val="21"/>
                    </w:rPr>
                  </w:pPr>
                  <w:r>
                    <w:rPr>
                      <w:rFonts w:hint="eastAsia"/>
                      <w:sz w:val="21"/>
                      <w:szCs w:val="21"/>
                    </w:rPr>
                    <w:t>项目不属于过江基础设施项目，本项目废水处理回用，不外排，不涉及在金沙江干流、长江一级支流、九大高原湖泊流域新设、改设或扩大排污口。</w:t>
                  </w:r>
                </w:p>
              </w:tc>
              <w:tc>
                <w:tcPr>
                  <w:tcW w:w="581" w:type="pct"/>
                  <w:vAlign w:val="center"/>
                </w:tcPr>
                <w:p w14:paraId="79A32A24">
                  <w:pPr>
                    <w:spacing w:line="240" w:lineRule="auto"/>
                    <w:ind w:firstLine="0" w:firstLineChars="0"/>
                    <w:jc w:val="center"/>
                    <w:rPr>
                      <w:sz w:val="21"/>
                      <w:szCs w:val="21"/>
                    </w:rPr>
                  </w:pPr>
                  <w:r>
                    <w:rPr>
                      <w:rFonts w:hint="eastAsia"/>
                      <w:sz w:val="21"/>
                      <w:szCs w:val="21"/>
                    </w:rPr>
                    <w:t>符合</w:t>
                  </w:r>
                </w:p>
              </w:tc>
            </w:tr>
            <w:tr w14:paraId="2E65A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 w:type="pct"/>
                  <w:vAlign w:val="center"/>
                </w:tcPr>
                <w:p w14:paraId="2E8C0DC5">
                  <w:pPr>
                    <w:widowControl/>
                    <w:spacing w:line="240" w:lineRule="auto"/>
                    <w:ind w:firstLine="0" w:firstLineChars="0"/>
                    <w:jc w:val="center"/>
                    <w:rPr>
                      <w:sz w:val="21"/>
                      <w:szCs w:val="21"/>
                    </w:rPr>
                  </w:pPr>
                  <w:r>
                    <w:rPr>
                      <w:rFonts w:hint="eastAsia"/>
                      <w:sz w:val="21"/>
                      <w:szCs w:val="21"/>
                    </w:rPr>
                    <w:t>6</w:t>
                  </w:r>
                </w:p>
              </w:tc>
              <w:tc>
                <w:tcPr>
                  <w:tcW w:w="2248" w:type="pct"/>
                  <w:vAlign w:val="center"/>
                </w:tcPr>
                <w:p w14:paraId="647704C8">
                  <w:pPr>
                    <w:widowControl/>
                    <w:spacing w:line="240" w:lineRule="auto"/>
                    <w:ind w:firstLine="0" w:firstLineChars="0"/>
                    <w:jc w:val="left"/>
                    <w:rPr>
                      <w:sz w:val="21"/>
                      <w:szCs w:val="21"/>
                    </w:rPr>
                  </w:pPr>
                  <w:r>
                    <w:rPr>
                      <w:rFonts w:hint="eastAsia"/>
                      <w:sz w:val="21"/>
                      <w:szCs w:val="21"/>
                    </w:rPr>
                    <w:t>禁止在金沙江干流，长江一级支流和九大高原湖泊岸线一公里范围内新建、扩建化工园区和化工项目。禁止在金沙江干流岸线三公里范围内和长江一级支流岸线一公里范围内新建、改建、扩建尾矿库、冶炼渣库和磷石膏库，以提升安全、生态环境保护水平为目的的改建除外。</w:t>
                  </w:r>
                </w:p>
              </w:tc>
              <w:tc>
                <w:tcPr>
                  <w:tcW w:w="1869" w:type="pct"/>
                  <w:vAlign w:val="center"/>
                </w:tcPr>
                <w:p w14:paraId="4E44203D">
                  <w:pPr>
                    <w:widowControl/>
                    <w:spacing w:line="240" w:lineRule="auto"/>
                    <w:ind w:firstLine="0" w:firstLineChars="0"/>
                    <w:rPr>
                      <w:sz w:val="21"/>
                      <w:szCs w:val="21"/>
                    </w:rPr>
                  </w:pPr>
                  <w:r>
                    <w:rPr>
                      <w:rFonts w:hint="eastAsia"/>
                      <w:sz w:val="21"/>
                      <w:szCs w:val="21"/>
                    </w:rPr>
                    <w:t>本项目所在区域不属于金沙江干流、长江一级支流、水生生物保护区、九大高原湖泊岸线一公里范围。</w:t>
                  </w:r>
                </w:p>
              </w:tc>
              <w:tc>
                <w:tcPr>
                  <w:tcW w:w="581" w:type="pct"/>
                  <w:vAlign w:val="center"/>
                </w:tcPr>
                <w:p w14:paraId="5D02F8DC">
                  <w:pPr>
                    <w:spacing w:line="240" w:lineRule="auto"/>
                    <w:ind w:firstLine="0" w:firstLineChars="0"/>
                    <w:jc w:val="center"/>
                    <w:rPr>
                      <w:sz w:val="21"/>
                      <w:szCs w:val="21"/>
                    </w:rPr>
                  </w:pPr>
                  <w:r>
                    <w:rPr>
                      <w:rFonts w:hint="eastAsia"/>
                      <w:sz w:val="21"/>
                      <w:szCs w:val="21"/>
                    </w:rPr>
                    <w:t>符合</w:t>
                  </w:r>
                </w:p>
              </w:tc>
            </w:tr>
            <w:tr w14:paraId="1713B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 w:type="pct"/>
                  <w:vAlign w:val="center"/>
                </w:tcPr>
                <w:p w14:paraId="2F708B3F">
                  <w:pPr>
                    <w:widowControl/>
                    <w:spacing w:line="240" w:lineRule="auto"/>
                    <w:ind w:firstLine="0" w:firstLineChars="0"/>
                    <w:jc w:val="center"/>
                    <w:rPr>
                      <w:sz w:val="21"/>
                      <w:szCs w:val="21"/>
                    </w:rPr>
                  </w:pPr>
                  <w:r>
                    <w:rPr>
                      <w:rFonts w:hint="eastAsia"/>
                      <w:sz w:val="21"/>
                      <w:szCs w:val="21"/>
                    </w:rPr>
                    <w:t>7</w:t>
                  </w:r>
                </w:p>
              </w:tc>
              <w:tc>
                <w:tcPr>
                  <w:tcW w:w="2248" w:type="pct"/>
                  <w:vAlign w:val="center"/>
                </w:tcPr>
                <w:p w14:paraId="66CBFA71">
                  <w:pPr>
                    <w:widowControl/>
                    <w:spacing w:line="240" w:lineRule="auto"/>
                    <w:ind w:firstLine="0" w:firstLineChars="0"/>
                    <w:jc w:val="left"/>
                    <w:rPr>
                      <w:sz w:val="21"/>
                      <w:szCs w:val="21"/>
                    </w:rPr>
                  </w:pPr>
                  <w:r>
                    <w:rPr>
                      <w:rFonts w:hint="eastAsia"/>
                      <w:sz w:val="21"/>
                      <w:szCs w:val="21"/>
                    </w:rPr>
                    <w:t>禁止在合规园区外新建、扩建钢铁、石化、化工、焦化、建材、有色、制浆造纸行业中的高污染项目。</w:t>
                  </w:r>
                </w:p>
              </w:tc>
              <w:tc>
                <w:tcPr>
                  <w:tcW w:w="1869" w:type="pct"/>
                  <w:vAlign w:val="center"/>
                </w:tcPr>
                <w:p w14:paraId="1846F36D">
                  <w:pPr>
                    <w:widowControl/>
                    <w:spacing w:line="240" w:lineRule="auto"/>
                    <w:ind w:firstLine="0" w:firstLineChars="0"/>
                    <w:rPr>
                      <w:sz w:val="21"/>
                      <w:szCs w:val="21"/>
                    </w:rPr>
                  </w:pPr>
                  <w:r>
                    <w:rPr>
                      <w:rFonts w:hint="eastAsia"/>
                      <w:sz w:val="21"/>
                      <w:szCs w:val="21"/>
                    </w:rPr>
                    <w:t>本项目位于寻甸回族自治县仁德街道中桥社区，已取得寻甸回族彝族自治县科学技术和工业信息化局关于本项目可不进工业园区选址的情况说明；本项目生产沥青混凝土，仅对成品沥青进行物理配比调和，无原油炼制、高温裂解等重污染环节，不属于高污染项目。</w:t>
                  </w:r>
                </w:p>
              </w:tc>
              <w:tc>
                <w:tcPr>
                  <w:tcW w:w="581" w:type="pct"/>
                  <w:vAlign w:val="center"/>
                </w:tcPr>
                <w:p w14:paraId="748809D5">
                  <w:pPr>
                    <w:spacing w:line="240" w:lineRule="auto"/>
                    <w:ind w:firstLine="0" w:firstLineChars="0"/>
                    <w:jc w:val="center"/>
                    <w:rPr>
                      <w:sz w:val="21"/>
                      <w:szCs w:val="21"/>
                    </w:rPr>
                  </w:pPr>
                  <w:r>
                    <w:rPr>
                      <w:rFonts w:hint="eastAsia"/>
                      <w:sz w:val="21"/>
                      <w:szCs w:val="21"/>
                    </w:rPr>
                    <w:t>符合</w:t>
                  </w:r>
                </w:p>
              </w:tc>
            </w:tr>
            <w:tr w14:paraId="543C6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 w:type="pct"/>
                  <w:vAlign w:val="center"/>
                </w:tcPr>
                <w:p w14:paraId="67566984">
                  <w:pPr>
                    <w:widowControl/>
                    <w:spacing w:line="240" w:lineRule="auto"/>
                    <w:ind w:firstLine="0" w:firstLineChars="0"/>
                    <w:jc w:val="center"/>
                    <w:rPr>
                      <w:sz w:val="21"/>
                      <w:szCs w:val="21"/>
                    </w:rPr>
                  </w:pPr>
                  <w:r>
                    <w:rPr>
                      <w:rFonts w:hint="eastAsia"/>
                      <w:sz w:val="21"/>
                      <w:szCs w:val="21"/>
                    </w:rPr>
                    <w:t>8</w:t>
                  </w:r>
                </w:p>
              </w:tc>
              <w:tc>
                <w:tcPr>
                  <w:tcW w:w="2248" w:type="pct"/>
                  <w:vAlign w:val="center"/>
                </w:tcPr>
                <w:p w14:paraId="04009544">
                  <w:pPr>
                    <w:widowControl/>
                    <w:spacing w:line="240" w:lineRule="auto"/>
                    <w:ind w:firstLine="0" w:firstLineChars="0"/>
                    <w:jc w:val="left"/>
                    <w:rPr>
                      <w:sz w:val="21"/>
                      <w:szCs w:val="21"/>
                    </w:rPr>
                  </w:pPr>
                  <w:r>
                    <w:rPr>
                      <w:rFonts w:hint="eastAsia"/>
                      <w:sz w:val="21"/>
                      <w:szCs w:val="21"/>
                    </w:rPr>
                    <w:t>禁止新建、扩建不符合国家石化、现代煤化等产业布局规划的项目。禁止列入《云南省城镇人口密集区危险化学品生产企业搬迁改造名单》的搬迁改造企业在原址新建、扩建危险化学品生产项目。</w:t>
                  </w:r>
                </w:p>
              </w:tc>
              <w:tc>
                <w:tcPr>
                  <w:tcW w:w="1869" w:type="pct"/>
                  <w:vAlign w:val="center"/>
                </w:tcPr>
                <w:p w14:paraId="65749C58">
                  <w:pPr>
                    <w:widowControl/>
                    <w:spacing w:line="240" w:lineRule="auto"/>
                    <w:ind w:firstLine="0" w:firstLineChars="0"/>
                    <w:rPr>
                      <w:sz w:val="21"/>
                      <w:szCs w:val="21"/>
                    </w:rPr>
                  </w:pPr>
                  <w:r>
                    <w:rPr>
                      <w:rFonts w:hint="eastAsia"/>
                      <w:sz w:val="21"/>
                      <w:szCs w:val="21"/>
                    </w:rPr>
                    <w:t>本项目不属于石化、现代煤化工等产业布局规划项目；本项目不属于危险化学品生产项目。</w:t>
                  </w:r>
                </w:p>
              </w:tc>
              <w:tc>
                <w:tcPr>
                  <w:tcW w:w="581" w:type="pct"/>
                  <w:vAlign w:val="center"/>
                </w:tcPr>
                <w:p w14:paraId="0BCD7F37">
                  <w:pPr>
                    <w:spacing w:line="240" w:lineRule="auto"/>
                    <w:ind w:firstLine="0" w:firstLineChars="0"/>
                    <w:jc w:val="center"/>
                    <w:rPr>
                      <w:sz w:val="21"/>
                      <w:szCs w:val="21"/>
                    </w:rPr>
                  </w:pPr>
                  <w:r>
                    <w:rPr>
                      <w:rFonts w:hint="eastAsia"/>
                      <w:sz w:val="21"/>
                      <w:szCs w:val="21"/>
                    </w:rPr>
                    <w:t>符合</w:t>
                  </w:r>
                </w:p>
              </w:tc>
            </w:tr>
            <w:tr w14:paraId="45253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299" w:type="pct"/>
                  <w:vAlign w:val="center"/>
                </w:tcPr>
                <w:p w14:paraId="1A5F0BA8">
                  <w:pPr>
                    <w:widowControl/>
                    <w:spacing w:line="240" w:lineRule="auto"/>
                    <w:ind w:firstLine="0" w:firstLineChars="0"/>
                    <w:jc w:val="center"/>
                    <w:rPr>
                      <w:sz w:val="21"/>
                      <w:szCs w:val="21"/>
                    </w:rPr>
                  </w:pPr>
                  <w:r>
                    <w:rPr>
                      <w:rFonts w:hint="eastAsia"/>
                      <w:sz w:val="21"/>
                      <w:szCs w:val="21"/>
                    </w:rPr>
                    <w:t>9</w:t>
                  </w:r>
                </w:p>
              </w:tc>
              <w:tc>
                <w:tcPr>
                  <w:tcW w:w="2248" w:type="pct"/>
                  <w:vAlign w:val="center"/>
                </w:tcPr>
                <w:p w14:paraId="4A3D9B39">
                  <w:pPr>
                    <w:widowControl/>
                    <w:spacing w:line="240" w:lineRule="auto"/>
                    <w:ind w:firstLine="0" w:firstLineChars="0"/>
                    <w:jc w:val="left"/>
                    <w:rPr>
                      <w:sz w:val="21"/>
                      <w:szCs w:val="21"/>
                    </w:rPr>
                  </w:pPr>
                  <w:r>
                    <w:rPr>
                      <w:rFonts w:hint="eastAsia"/>
                      <w:sz w:val="21"/>
                      <w:szCs w:val="21"/>
                    </w:rPr>
                    <w:t>禁止新建、扩建法律法规和相关政策命令禁止的落后产能项目，依法依规关停退出能耗、环保、质量、安全不达标产能和技术落后产能。禁止新建、扩建不符合国家产能置换要求的过剩产能行业的项目。禁止新建、扩建不符合要求的高耗能、高排放项目，推动退出重点高耗能行业“限制类”产能。禁止建设高毒高残留以及对环境影响大的农药原药生产装置，严控尿素、磷铵、电石、焦炭、黄磷、烧碱、纯碱、聚氯乙烯等行业新增产能。</w:t>
                  </w:r>
                </w:p>
              </w:tc>
              <w:tc>
                <w:tcPr>
                  <w:tcW w:w="1869" w:type="pct"/>
                  <w:vAlign w:val="center"/>
                </w:tcPr>
                <w:p w14:paraId="7F327C86">
                  <w:pPr>
                    <w:widowControl/>
                    <w:spacing w:line="240" w:lineRule="auto"/>
                    <w:ind w:firstLine="0" w:firstLineChars="0"/>
                    <w:rPr>
                      <w:sz w:val="21"/>
                      <w:szCs w:val="21"/>
                    </w:rPr>
                  </w:pPr>
                  <w:r>
                    <w:rPr>
                      <w:rFonts w:hint="eastAsia"/>
                      <w:sz w:val="21"/>
                      <w:szCs w:val="21"/>
                    </w:rPr>
                    <w:t>本项目不属于落后产能项目、过剩产能行业的项目、高能耗、高排放项目。本项目不涉及建设高毒高残留以及对环境影响大的农药原药生产装置，不属于尿素、磷铵、电石、焦炭、黄磷、烧碱、纯碱、聚氯乙烯等行业。</w:t>
                  </w:r>
                </w:p>
              </w:tc>
              <w:tc>
                <w:tcPr>
                  <w:tcW w:w="581" w:type="pct"/>
                  <w:vAlign w:val="center"/>
                </w:tcPr>
                <w:p w14:paraId="75EEBFF0">
                  <w:pPr>
                    <w:spacing w:line="240" w:lineRule="auto"/>
                    <w:ind w:firstLine="0" w:firstLineChars="0"/>
                    <w:jc w:val="center"/>
                    <w:rPr>
                      <w:sz w:val="21"/>
                      <w:szCs w:val="21"/>
                    </w:rPr>
                  </w:pPr>
                  <w:r>
                    <w:rPr>
                      <w:rFonts w:hint="eastAsia"/>
                      <w:sz w:val="21"/>
                      <w:szCs w:val="21"/>
                    </w:rPr>
                    <w:t>符合</w:t>
                  </w:r>
                </w:p>
              </w:tc>
            </w:tr>
          </w:tbl>
          <w:p w14:paraId="60C94EED">
            <w:pPr>
              <w:ind w:firstLine="480"/>
              <w:jc w:val="left"/>
            </w:pPr>
            <w:r>
              <w:rPr>
                <w:rFonts w:hint="eastAsia"/>
              </w:rPr>
              <w:t>综上所述，本项目符合《云南省长江经济带发展负面清单指南实施细则（试行，2022年版）》中相应要求。</w:t>
            </w:r>
          </w:p>
          <w:p w14:paraId="0A83A4CF">
            <w:pPr>
              <w:numPr>
                <w:ilvl w:val="0"/>
                <w:numId w:val="3"/>
              </w:numPr>
              <w:ind w:firstLine="0" w:firstLineChars="0"/>
              <w:rPr>
                <w:b/>
                <w:bCs/>
              </w:rPr>
            </w:pPr>
            <w:r>
              <w:rPr>
                <w:b/>
                <w:bCs/>
              </w:rPr>
              <w:t>与《云南省牛栏江保护条例》符合性分析</w:t>
            </w:r>
          </w:p>
          <w:p w14:paraId="765F69F4">
            <w:pPr>
              <w:adjustRightInd w:val="0"/>
              <w:snapToGrid w:val="0"/>
              <w:ind w:firstLine="480"/>
              <w:jc w:val="center"/>
              <w:rPr>
                <w:b/>
                <w:color w:val="000000"/>
                <w:sz w:val="21"/>
                <w:szCs w:val="21"/>
                <w:lang w:val="zh-CN"/>
              </w:rPr>
            </w:pPr>
            <w:r>
              <w:rPr>
                <w:color w:val="000000"/>
              </w:rPr>
              <w:t>根据《云南省牛栏江保护条例》，牛栏江流域实行分区保护，牛栏江德泽水库坝址以上集水区域为牛栏江流域上游保护区，牛栏江德泽水库坝址以下集水区域为牛栏江流域下游保护区，本项目位于德泽水库坝址以上集水区域，属于牛栏江流域上游保护区。牛栏江流域上游保护区划分为水源保护核心区、重点污染控制区和重点水源涵养区，本项目所属流域分区分析如下：</w:t>
            </w:r>
            <w:r>
              <w:rPr>
                <w:b/>
                <w:color w:val="000000"/>
                <w:sz w:val="21"/>
                <w:szCs w:val="21"/>
                <w:lang w:val="zh-CN"/>
              </w:rPr>
              <w:t>表</w:t>
            </w:r>
            <w:r>
              <w:rPr>
                <w:rFonts w:hint="eastAsia"/>
                <w:b/>
                <w:color w:val="000000"/>
                <w:sz w:val="21"/>
                <w:szCs w:val="21"/>
              </w:rPr>
              <w:t>1-4</w:t>
            </w:r>
            <w:r>
              <w:rPr>
                <w:b/>
                <w:color w:val="000000"/>
                <w:sz w:val="21"/>
                <w:szCs w:val="21"/>
              </w:rPr>
              <w:t xml:space="preserve">  </w:t>
            </w:r>
            <w:r>
              <w:rPr>
                <w:b/>
                <w:color w:val="000000"/>
                <w:sz w:val="21"/>
                <w:szCs w:val="21"/>
                <w:lang w:val="zh-CN"/>
              </w:rPr>
              <w:t>本项目与云南省牛栏江流域分区范围分析</w:t>
            </w:r>
          </w:p>
          <w:tbl>
            <w:tblPr>
              <w:tblStyle w:val="26"/>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6"/>
              <w:gridCol w:w="5261"/>
              <w:gridCol w:w="1459"/>
            </w:tblGrid>
            <w:tr w14:paraId="082A9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8" w:hRule="atLeast"/>
                <w:jc w:val="center"/>
              </w:trPr>
              <w:tc>
                <w:tcPr>
                  <w:tcW w:w="645" w:type="pct"/>
                  <w:vAlign w:val="center"/>
                </w:tcPr>
                <w:p w14:paraId="23E6B09D">
                  <w:pPr>
                    <w:spacing w:line="240" w:lineRule="auto"/>
                    <w:ind w:firstLine="0" w:firstLineChars="0"/>
                    <w:jc w:val="center"/>
                    <w:rPr>
                      <w:b/>
                      <w:bCs/>
                      <w:sz w:val="21"/>
                      <w:szCs w:val="21"/>
                    </w:rPr>
                  </w:pPr>
                  <w:r>
                    <w:rPr>
                      <w:rFonts w:hint="eastAsia"/>
                      <w:b/>
                      <w:bCs/>
                      <w:sz w:val="21"/>
                      <w:szCs w:val="21"/>
                    </w:rPr>
                    <w:t>保护分区</w:t>
                  </w:r>
                </w:p>
              </w:tc>
              <w:tc>
                <w:tcPr>
                  <w:tcW w:w="3408" w:type="pct"/>
                  <w:vAlign w:val="center"/>
                </w:tcPr>
                <w:p w14:paraId="49EB9EFC">
                  <w:pPr>
                    <w:spacing w:line="240" w:lineRule="auto"/>
                    <w:ind w:firstLine="0" w:firstLineChars="0"/>
                    <w:jc w:val="center"/>
                    <w:rPr>
                      <w:b/>
                      <w:bCs/>
                      <w:sz w:val="21"/>
                      <w:szCs w:val="21"/>
                    </w:rPr>
                  </w:pPr>
                  <w:r>
                    <w:rPr>
                      <w:rFonts w:hint="eastAsia"/>
                      <w:b/>
                      <w:bCs/>
                      <w:sz w:val="21"/>
                      <w:szCs w:val="21"/>
                    </w:rPr>
                    <w:t>保护区范围</w:t>
                  </w:r>
                </w:p>
              </w:tc>
              <w:tc>
                <w:tcPr>
                  <w:tcW w:w="945" w:type="pct"/>
                  <w:vAlign w:val="center"/>
                </w:tcPr>
                <w:p w14:paraId="4C335F9F">
                  <w:pPr>
                    <w:spacing w:line="240" w:lineRule="auto"/>
                    <w:ind w:firstLine="0" w:firstLineChars="0"/>
                    <w:jc w:val="center"/>
                    <w:rPr>
                      <w:b/>
                      <w:bCs/>
                      <w:sz w:val="21"/>
                      <w:szCs w:val="21"/>
                    </w:rPr>
                  </w:pPr>
                  <w:r>
                    <w:rPr>
                      <w:rFonts w:hint="eastAsia"/>
                      <w:b/>
                      <w:bCs/>
                      <w:sz w:val="21"/>
                      <w:szCs w:val="21"/>
                    </w:rPr>
                    <w:t>本项目情况</w:t>
                  </w:r>
                </w:p>
              </w:tc>
            </w:tr>
            <w:tr w14:paraId="17082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645" w:type="pct"/>
                  <w:vAlign w:val="center"/>
                </w:tcPr>
                <w:p w14:paraId="4449C3D4">
                  <w:pPr>
                    <w:widowControl/>
                    <w:spacing w:line="240" w:lineRule="auto"/>
                    <w:ind w:firstLine="0" w:firstLineChars="0"/>
                    <w:jc w:val="center"/>
                    <w:rPr>
                      <w:sz w:val="21"/>
                      <w:szCs w:val="21"/>
                    </w:rPr>
                  </w:pPr>
                  <w:r>
                    <w:rPr>
                      <w:rFonts w:hint="eastAsia"/>
                      <w:sz w:val="21"/>
                      <w:szCs w:val="21"/>
                    </w:rPr>
                    <w:t>水源保护核心区</w:t>
                  </w:r>
                </w:p>
              </w:tc>
              <w:tc>
                <w:tcPr>
                  <w:tcW w:w="3408" w:type="pct"/>
                  <w:vAlign w:val="center"/>
                </w:tcPr>
                <w:p w14:paraId="07B1964D">
                  <w:pPr>
                    <w:widowControl/>
                    <w:spacing w:line="240" w:lineRule="auto"/>
                    <w:ind w:firstLine="0" w:firstLineChars="0"/>
                    <w:jc w:val="left"/>
                    <w:rPr>
                      <w:sz w:val="21"/>
                      <w:szCs w:val="21"/>
                    </w:rPr>
                  </w:pPr>
                  <w:r>
                    <w:rPr>
                      <w:rFonts w:hint="eastAsia"/>
                      <w:sz w:val="21"/>
                      <w:szCs w:val="21"/>
                    </w:rPr>
                    <w:t>包括德泽水库库区和德泽水库以上牛栏江干流区。德泽水库库区为德泽水库正常蓄水位1790米水面及沿岸外延2000米的范围，区域范围超过一级山脊线的，按照一级山脊线划定；德泽水库以上牛栏江干流区指德泽水库以上干流（包括干流源头矣纳岔口至嘉丽泽对龙河河段）水域及两岸外延1000米的范围，区域范围超过一级山脊线的，按照一级山脊线划定。</w:t>
                  </w:r>
                </w:p>
              </w:tc>
              <w:tc>
                <w:tcPr>
                  <w:tcW w:w="945" w:type="pct"/>
                  <w:vMerge w:val="restart"/>
                  <w:vAlign w:val="center"/>
                </w:tcPr>
                <w:p w14:paraId="424069F2">
                  <w:pPr>
                    <w:widowControl/>
                    <w:spacing w:line="240" w:lineRule="auto"/>
                    <w:ind w:firstLine="0" w:firstLineChars="0"/>
                    <w:jc w:val="left"/>
                    <w:rPr>
                      <w:sz w:val="21"/>
                      <w:szCs w:val="21"/>
                    </w:rPr>
                  </w:pPr>
                  <w:r>
                    <w:rPr>
                      <w:rFonts w:hint="eastAsia"/>
                      <w:sz w:val="21"/>
                      <w:szCs w:val="21"/>
                    </w:rPr>
                    <w:t>项目东侧约1.8km处为牛栏江，位于牛栏江流域重点污染控制区。</w:t>
                  </w:r>
                </w:p>
              </w:tc>
            </w:tr>
            <w:tr w14:paraId="1593A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9" w:hRule="atLeast"/>
                <w:jc w:val="center"/>
              </w:trPr>
              <w:tc>
                <w:tcPr>
                  <w:tcW w:w="645" w:type="pct"/>
                  <w:vAlign w:val="center"/>
                </w:tcPr>
                <w:p w14:paraId="348B3EC9">
                  <w:pPr>
                    <w:widowControl/>
                    <w:spacing w:line="240" w:lineRule="auto"/>
                    <w:ind w:firstLine="0" w:firstLineChars="0"/>
                    <w:jc w:val="center"/>
                    <w:rPr>
                      <w:sz w:val="21"/>
                      <w:szCs w:val="21"/>
                    </w:rPr>
                  </w:pPr>
                  <w:r>
                    <w:rPr>
                      <w:rFonts w:hint="eastAsia"/>
                      <w:sz w:val="21"/>
                      <w:szCs w:val="21"/>
                    </w:rPr>
                    <w:t>重点污染控制区</w:t>
                  </w:r>
                </w:p>
              </w:tc>
              <w:tc>
                <w:tcPr>
                  <w:tcW w:w="3408" w:type="pct"/>
                  <w:vAlign w:val="center"/>
                </w:tcPr>
                <w:p w14:paraId="63BC2050">
                  <w:pPr>
                    <w:widowControl/>
                    <w:spacing w:line="240" w:lineRule="auto"/>
                    <w:ind w:firstLine="0" w:firstLineChars="0"/>
                    <w:jc w:val="left"/>
                    <w:rPr>
                      <w:sz w:val="21"/>
                      <w:szCs w:val="21"/>
                    </w:rPr>
                  </w:pPr>
                  <w:r>
                    <w:rPr>
                      <w:rFonts w:hint="eastAsia"/>
                      <w:sz w:val="21"/>
                      <w:szCs w:val="21"/>
                    </w:rPr>
                    <w:t>为水源保护核心区以外，流域范围内的坝区以及花庄河、果马河、普沙河、弥良河、对龙河、杨林河、匡郎河、前进河、马龙河水域及两岸外延3000米的区域，区域范围超过一级山脊线的，按照一级山脊线划定。</w:t>
                  </w:r>
                </w:p>
              </w:tc>
              <w:tc>
                <w:tcPr>
                  <w:tcW w:w="945" w:type="pct"/>
                  <w:vMerge w:val="continue"/>
                  <w:vAlign w:val="center"/>
                </w:tcPr>
                <w:p w14:paraId="1BC44822">
                  <w:pPr>
                    <w:adjustRightInd w:val="0"/>
                    <w:snapToGrid w:val="0"/>
                    <w:ind w:firstLine="480"/>
                    <w:jc w:val="center"/>
                    <w:rPr>
                      <w:color w:val="000000"/>
                      <w:szCs w:val="21"/>
                      <w:lang w:val="zh-CN"/>
                    </w:rPr>
                  </w:pPr>
                </w:p>
              </w:tc>
            </w:tr>
            <w:tr w14:paraId="7549E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jc w:val="center"/>
              </w:trPr>
              <w:tc>
                <w:tcPr>
                  <w:tcW w:w="645" w:type="pct"/>
                  <w:vAlign w:val="center"/>
                </w:tcPr>
                <w:p w14:paraId="076853AA">
                  <w:pPr>
                    <w:widowControl/>
                    <w:spacing w:line="240" w:lineRule="auto"/>
                    <w:ind w:firstLine="0" w:firstLineChars="0"/>
                    <w:jc w:val="center"/>
                    <w:rPr>
                      <w:sz w:val="21"/>
                      <w:szCs w:val="21"/>
                    </w:rPr>
                  </w:pPr>
                  <w:r>
                    <w:rPr>
                      <w:rFonts w:hint="eastAsia"/>
                      <w:sz w:val="21"/>
                      <w:szCs w:val="21"/>
                    </w:rPr>
                    <w:t>重点水源涵养区</w:t>
                  </w:r>
                </w:p>
              </w:tc>
              <w:tc>
                <w:tcPr>
                  <w:tcW w:w="3408" w:type="pct"/>
                  <w:vAlign w:val="center"/>
                </w:tcPr>
                <w:p w14:paraId="4A15D276">
                  <w:pPr>
                    <w:widowControl/>
                    <w:spacing w:line="240" w:lineRule="auto"/>
                    <w:ind w:firstLine="0" w:firstLineChars="0"/>
                    <w:jc w:val="left"/>
                    <w:rPr>
                      <w:sz w:val="21"/>
                      <w:szCs w:val="21"/>
                    </w:rPr>
                  </w:pPr>
                  <w:r>
                    <w:rPr>
                      <w:rFonts w:hint="eastAsia"/>
                      <w:sz w:val="21"/>
                      <w:szCs w:val="21"/>
                    </w:rPr>
                    <w:t>为流域范围内除水源保护核心区、重点污染控制区以外的集水区域。</w:t>
                  </w:r>
                </w:p>
              </w:tc>
              <w:tc>
                <w:tcPr>
                  <w:tcW w:w="945" w:type="pct"/>
                  <w:vMerge w:val="continue"/>
                  <w:vAlign w:val="center"/>
                </w:tcPr>
                <w:p w14:paraId="77FD14F0">
                  <w:pPr>
                    <w:adjustRightInd w:val="0"/>
                    <w:snapToGrid w:val="0"/>
                    <w:ind w:firstLine="480"/>
                    <w:jc w:val="center"/>
                    <w:rPr>
                      <w:color w:val="000000"/>
                      <w:szCs w:val="21"/>
                      <w:lang w:val="zh-CN"/>
                    </w:rPr>
                  </w:pPr>
                </w:p>
              </w:tc>
            </w:tr>
          </w:tbl>
          <w:p w14:paraId="5C37A0F9">
            <w:pPr>
              <w:adjustRightInd w:val="0"/>
              <w:snapToGrid w:val="0"/>
              <w:spacing w:beforeLines="50"/>
              <w:ind w:firstLine="480"/>
              <w:rPr>
                <w:b/>
                <w:color w:val="000000"/>
                <w:lang w:val="zh-CN"/>
              </w:rPr>
            </w:pPr>
            <w:r>
              <w:rPr>
                <w:color w:val="000000"/>
              </w:rPr>
              <w:t>根据</w:t>
            </w:r>
            <w:r>
              <w:rPr>
                <w:rFonts w:hint="eastAsia"/>
                <w:color w:val="000000"/>
              </w:rPr>
              <w:t>位置分析</w:t>
            </w:r>
            <w:r>
              <w:rPr>
                <w:color w:val="000000"/>
              </w:rPr>
              <w:t>，本项目所在地位于牛栏江流域重点污染控制区范围内，本项目与《云南省牛栏江保护条例》规定的牛栏江流域上游保护区重点污染控制区保护要求符合性如下</w:t>
            </w:r>
            <w:r>
              <w:rPr>
                <w:rFonts w:hint="eastAsia"/>
                <w:color w:val="000000"/>
              </w:rPr>
              <w:t>：</w:t>
            </w:r>
          </w:p>
          <w:p w14:paraId="715CE97F">
            <w:pPr>
              <w:adjustRightInd w:val="0"/>
              <w:snapToGrid w:val="0"/>
              <w:ind w:firstLine="422"/>
              <w:jc w:val="center"/>
              <w:rPr>
                <w:b/>
                <w:color w:val="000000"/>
                <w:sz w:val="21"/>
                <w:szCs w:val="21"/>
                <w:lang w:val="zh-CN"/>
              </w:rPr>
            </w:pPr>
            <w:r>
              <w:rPr>
                <w:b/>
                <w:color w:val="000000"/>
                <w:sz w:val="21"/>
                <w:szCs w:val="21"/>
                <w:lang w:val="zh-CN"/>
              </w:rPr>
              <w:t>表</w:t>
            </w:r>
            <w:r>
              <w:rPr>
                <w:rFonts w:hint="eastAsia"/>
                <w:b/>
                <w:color w:val="000000"/>
                <w:sz w:val="21"/>
                <w:szCs w:val="21"/>
              </w:rPr>
              <w:t>1-5</w:t>
            </w:r>
            <w:r>
              <w:rPr>
                <w:b/>
                <w:color w:val="000000"/>
                <w:sz w:val="21"/>
                <w:szCs w:val="21"/>
              </w:rPr>
              <w:t xml:space="preserve"> </w:t>
            </w:r>
            <w:r>
              <w:rPr>
                <w:b/>
                <w:color w:val="000000"/>
                <w:sz w:val="21"/>
                <w:szCs w:val="21"/>
                <w:lang w:val="zh-CN"/>
              </w:rPr>
              <w:t xml:space="preserve"> 本项目与牛栏江流域重点污染控制区保护要求符合性分析</w:t>
            </w:r>
          </w:p>
          <w:tbl>
            <w:tblPr>
              <w:tblStyle w:val="26"/>
              <w:tblW w:w="498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87"/>
              <w:gridCol w:w="2847"/>
              <w:gridCol w:w="967"/>
            </w:tblGrid>
            <w:tr w14:paraId="2A872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exact"/>
                <w:jc w:val="center"/>
              </w:trPr>
              <w:tc>
                <w:tcPr>
                  <w:tcW w:w="2523" w:type="pct"/>
                  <w:vAlign w:val="center"/>
                </w:tcPr>
                <w:p w14:paraId="5050CD67">
                  <w:pPr>
                    <w:widowControl/>
                    <w:spacing w:line="240" w:lineRule="auto"/>
                    <w:ind w:firstLine="0" w:firstLineChars="0"/>
                    <w:jc w:val="center"/>
                    <w:rPr>
                      <w:b/>
                      <w:bCs/>
                      <w:sz w:val="21"/>
                      <w:szCs w:val="21"/>
                      <w:lang w:val="zh-CN"/>
                    </w:rPr>
                  </w:pPr>
                  <w:r>
                    <w:rPr>
                      <w:rFonts w:hint="eastAsia"/>
                      <w:b/>
                      <w:bCs/>
                      <w:sz w:val="21"/>
                      <w:szCs w:val="21"/>
                    </w:rPr>
                    <w:t>重点污染控制区禁止行为</w:t>
                  </w:r>
                </w:p>
              </w:tc>
              <w:tc>
                <w:tcPr>
                  <w:tcW w:w="1848" w:type="pct"/>
                  <w:vAlign w:val="center"/>
                </w:tcPr>
                <w:p w14:paraId="23C5E8DF">
                  <w:pPr>
                    <w:widowControl/>
                    <w:spacing w:line="240" w:lineRule="auto"/>
                    <w:ind w:firstLine="0" w:firstLineChars="0"/>
                    <w:jc w:val="center"/>
                    <w:rPr>
                      <w:b/>
                      <w:bCs/>
                      <w:sz w:val="21"/>
                      <w:szCs w:val="21"/>
                      <w:lang w:val="zh-CN"/>
                    </w:rPr>
                  </w:pPr>
                  <w:r>
                    <w:rPr>
                      <w:rFonts w:hint="eastAsia"/>
                      <w:b/>
                      <w:bCs/>
                      <w:sz w:val="21"/>
                      <w:szCs w:val="21"/>
                      <w:lang w:val="zh-CN"/>
                    </w:rPr>
                    <w:t>本项目情况</w:t>
                  </w:r>
                </w:p>
              </w:tc>
              <w:tc>
                <w:tcPr>
                  <w:tcW w:w="628" w:type="pct"/>
                  <w:vAlign w:val="center"/>
                </w:tcPr>
                <w:p w14:paraId="5D411EE8">
                  <w:pPr>
                    <w:widowControl/>
                    <w:spacing w:line="240" w:lineRule="auto"/>
                    <w:ind w:firstLine="0" w:firstLineChars="0"/>
                    <w:jc w:val="center"/>
                    <w:rPr>
                      <w:b/>
                      <w:bCs/>
                      <w:sz w:val="21"/>
                      <w:szCs w:val="21"/>
                      <w:lang w:val="zh-CN"/>
                    </w:rPr>
                  </w:pPr>
                  <w:r>
                    <w:rPr>
                      <w:rFonts w:hint="eastAsia"/>
                      <w:b/>
                      <w:bCs/>
                      <w:sz w:val="21"/>
                      <w:szCs w:val="21"/>
                      <w:lang w:val="zh-CN"/>
                    </w:rPr>
                    <w:t>符合性</w:t>
                  </w:r>
                </w:p>
              </w:tc>
            </w:tr>
            <w:tr w14:paraId="4DA54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0" w:hRule="exact"/>
                <w:jc w:val="center"/>
              </w:trPr>
              <w:tc>
                <w:tcPr>
                  <w:tcW w:w="2523" w:type="pct"/>
                  <w:vAlign w:val="center"/>
                </w:tcPr>
                <w:p w14:paraId="6C1A7CE7">
                  <w:pPr>
                    <w:widowControl/>
                    <w:spacing w:line="240" w:lineRule="auto"/>
                    <w:ind w:firstLine="0" w:firstLineChars="0"/>
                    <w:jc w:val="left"/>
                    <w:rPr>
                      <w:sz w:val="21"/>
                      <w:szCs w:val="21"/>
                    </w:rPr>
                  </w:pPr>
                  <w:r>
                    <w:rPr>
                      <w:rFonts w:hint="eastAsia"/>
                      <w:sz w:val="21"/>
                      <w:szCs w:val="21"/>
                    </w:rPr>
                    <w:t>（一）盗伐、滥伐林木和破坏草地；</w:t>
                  </w:r>
                </w:p>
              </w:tc>
              <w:tc>
                <w:tcPr>
                  <w:tcW w:w="1848" w:type="pct"/>
                  <w:vAlign w:val="center"/>
                </w:tcPr>
                <w:p w14:paraId="50430EA8">
                  <w:pPr>
                    <w:widowControl/>
                    <w:spacing w:line="240" w:lineRule="auto"/>
                    <w:ind w:firstLine="0" w:firstLineChars="0"/>
                    <w:jc w:val="center"/>
                    <w:rPr>
                      <w:sz w:val="21"/>
                      <w:szCs w:val="21"/>
                    </w:rPr>
                  </w:pPr>
                  <w:r>
                    <w:rPr>
                      <w:rFonts w:hint="eastAsia"/>
                      <w:sz w:val="21"/>
                      <w:szCs w:val="21"/>
                    </w:rPr>
                    <w:t>根据寻甸回族彝族自治县林业和草原局出具项目选址意见，项目不占用林地草地，故不会砍伐林木和破坏草地。</w:t>
                  </w:r>
                </w:p>
              </w:tc>
              <w:tc>
                <w:tcPr>
                  <w:tcW w:w="628" w:type="pct"/>
                  <w:vAlign w:val="center"/>
                </w:tcPr>
                <w:p w14:paraId="71E2D88B">
                  <w:pPr>
                    <w:widowControl/>
                    <w:spacing w:line="240" w:lineRule="auto"/>
                    <w:ind w:firstLine="0" w:firstLineChars="0"/>
                    <w:jc w:val="center"/>
                    <w:rPr>
                      <w:sz w:val="21"/>
                      <w:szCs w:val="21"/>
                      <w:lang w:val="zh-CN"/>
                    </w:rPr>
                  </w:pPr>
                  <w:r>
                    <w:rPr>
                      <w:rFonts w:hint="eastAsia"/>
                      <w:sz w:val="21"/>
                      <w:szCs w:val="21"/>
                      <w:lang w:val="zh-CN"/>
                    </w:rPr>
                    <w:t>符合</w:t>
                  </w:r>
                </w:p>
              </w:tc>
            </w:tr>
            <w:tr w14:paraId="01A64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523" w:type="pct"/>
                  <w:vAlign w:val="center"/>
                </w:tcPr>
                <w:p w14:paraId="5E3D6718">
                  <w:pPr>
                    <w:widowControl/>
                    <w:spacing w:line="240" w:lineRule="auto"/>
                    <w:ind w:firstLine="0" w:firstLineChars="0"/>
                    <w:jc w:val="left"/>
                    <w:rPr>
                      <w:sz w:val="21"/>
                      <w:szCs w:val="21"/>
                    </w:rPr>
                  </w:pPr>
                  <w:r>
                    <w:rPr>
                      <w:rFonts w:hint="eastAsia"/>
                      <w:sz w:val="21"/>
                      <w:szCs w:val="21"/>
                    </w:rPr>
                    <w:t>（二）使用高毒、高残留农药；</w:t>
                  </w:r>
                </w:p>
              </w:tc>
              <w:tc>
                <w:tcPr>
                  <w:tcW w:w="1848" w:type="pct"/>
                  <w:vAlign w:val="center"/>
                </w:tcPr>
                <w:p w14:paraId="27B68A7C">
                  <w:pPr>
                    <w:widowControl/>
                    <w:spacing w:line="240" w:lineRule="auto"/>
                    <w:ind w:firstLine="0" w:firstLineChars="0"/>
                    <w:jc w:val="center"/>
                    <w:rPr>
                      <w:sz w:val="21"/>
                      <w:szCs w:val="21"/>
                      <w:lang w:val="zh-CN"/>
                    </w:rPr>
                  </w:pPr>
                  <w:r>
                    <w:rPr>
                      <w:rFonts w:hint="eastAsia"/>
                      <w:sz w:val="21"/>
                      <w:szCs w:val="21"/>
                      <w:lang w:val="zh-CN"/>
                    </w:rPr>
                    <w:t>无此行为</w:t>
                  </w:r>
                </w:p>
              </w:tc>
              <w:tc>
                <w:tcPr>
                  <w:tcW w:w="628" w:type="pct"/>
                  <w:vAlign w:val="center"/>
                </w:tcPr>
                <w:p w14:paraId="1540B4C1">
                  <w:pPr>
                    <w:widowControl/>
                    <w:spacing w:line="240" w:lineRule="auto"/>
                    <w:ind w:firstLine="0" w:firstLineChars="0"/>
                    <w:jc w:val="center"/>
                    <w:rPr>
                      <w:sz w:val="21"/>
                      <w:szCs w:val="21"/>
                      <w:lang w:val="zh-CN"/>
                    </w:rPr>
                  </w:pPr>
                  <w:r>
                    <w:rPr>
                      <w:rFonts w:hint="eastAsia"/>
                      <w:sz w:val="21"/>
                      <w:szCs w:val="21"/>
                      <w:lang w:val="zh-CN"/>
                    </w:rPr>
                    <w:t>符合</w:t>
                  </w:r>
                </w:p>
              </w:tc>
            </w:tr>
            <w:tr w14:paraId="22490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jc w:val="center"/>
              </w:trPr>
              <w:tc>
                <w:tcPr>
                  <w:tcW w:w="2523" w:type="pct"/>
                  <w:vAlign w:val="center"/>
                </w:tcPr>
                <w:p w14:paraId="2D9D5396">
                  <w:pPr>
                    <w:widowControl/>
                    <w:spacing w:line="240" w:lineRule="auto"/>
                    <w:ind w:firstLine="0" w:firstLineChars="0"/>
                    <w:jc w:val="left"/>
                    <w:rPr>
                      <w:sz w:val="21"/>
                      <w:szCs w:val="21"/>
                    </w:rPr>
                  </w:pPr>
                  <w:r>
                    <w:rPr>
                      <w:rFonts w:hint="eastAsia"/>
                      <w:sz w:val="21"/>
                      <w:szCs w:val="21"/>
                    </w:rPr>
                    <w:t>（三）利用溶洞、渗井、渗坑、裂隙排放、倾倒含有毒有害物质的废水、废渣；</w:t>
                  </w:r>
                </w:p>
              </w:tc>
              <w:tc>
                <w:tcPr>
                  <w:tcW w:w="1848" w:type="pct"/>
                  <w:vMerge w:val="restart"/>
                  <w:vAlign w:val="center"/>
                </w:tcPr>
                <w:p w14:paraId="077FD423">
                  <w:pPr>
                    <w:widowControl/>
                    <w:spacing w:line="240" w:lineRule="auto"/>
                    <w:ind w:firstLine="0" w:firstLineChars="0"/>
                    <w:jc w:val="center"/>
                    <w:rPr>
                      <w:sz w:val="21"/>
                      <w:szCs w:val="21"/>
                      <w:lang w:val="zh-CN"/>
                    </w:rPr>
                  </w:pPr>
                  <w:r>
                    <w:rPr>
                      <w:rFonts w:hint="eastAsia"/>
                      <w:sz w:val="21"/>
                      <w:szCs w:val="21"/>
                    </w:rPr>
                    <w:t>本项目实施雨污分流排水体制，初期雨水收集沉淀回用。车轮清洗废水循环使用不外排，食堂含油废水经油水分离器预处理后与其他办公生活污水一并进入化粪池、一体化污水处理设备处理后回用于项目绿化和降尘，不外排。固废处置率100%。</w:t>
                  </w:r>
                  <w:r>
                    <w:rPr>
                      <w:rFonts w:hint="eastAsia"/>
                      <w:sz w:val="21"/>
                      <w:szCs w:val="21"/>
                      <w:lang w:val="zh-CN"/>
                    </w:rPr>
                    <w:t>项目不存在所列禁止行为</w:t>
                  </w:r>
                </w:p>
              </w:tc>
              <w:tc>
                <w:tcPr>
                  <w:tcW w:w="628" w:type="pct"/>
                  <w:vMerge w:val="restart"/>
                  <w:vAlign w:val="center"/>
                </w:tcPr>
                <w:p w14:paraId="0069EC14">
                  <w:pPr>
                    <w:widowControl/>
                    <w:spacing w:line="240" w:lineRule="auto"/>
                    <w:ind w:firstLine="0" w:firstLineChars="0"/>
                    <w:jc w:val="center"/>
                    <w:rPr>
                      <w:sz w:val="21"/>
                      <w:szCs w:val="21"/>
                      <w:lang w:val="zh-CN"/>
                    </w:rPr>
                  </w:pPr>
                  <w:r>
                    <w:rPr>
                      <w:rFonts w:hint="eastAsia"/>
                      <w:sz w:val="21"/>
                      <w:szCs w:val="21"/>
                      <w:lang w:val="zh-CN"/>
                    </w:rPr>
                    <w:t>符合</w:t>
                  </w:r>
                </w:p>
              </w:tc>
            </w:tr>
            <w:tr w14:paraId="1B92C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2523" w:type="pct"/>
                  <w:vAlign w:val="center"/>
                </w:tcPr>
                <w:p w14:paraId="17805D26">
                  <w:pPr>
                    <w:widowControl/>
                    <w:spacing w:line="240" w:lineRule="auto"/>
                    <w:ind w:firstLine="0" w:firstLineChars="0"/>
                    <w:jc w:val="left"/>
                    <w:rPr>
                      <w:sz w:val="21"/>
                      <w:szCs w:val="21"/>
                    </w:rPr>
                  </w:pPr>
                  <w:r>
                    <w:rPr>
                      <w:rFonts w:hint="eastAsia"/>
                      <w:sz w:val="21"/>
                      <w:szCs w:val="21"/>
                    </w:rPr>
                    <w:t>（四）向水体排放废水、倾倒工业废渣、城镇垃圾或者其他废弃物；</w:t>
                  </w:r>
                </w:p>
              </w:tc>
              <w:tc>
                <w:tcPr>
                  <w:tcW w:w="1848" w:type="pct"/>
                  <w:vMerge w:val="continue"/>
                  <w:vAlign w:val="center"/>
                </w:tcPr>
                <w:p w14:paraId="737B2EE6">
                  <w:pPr>
                    <w:widowControl/>
                    <w:spacing w:line="240" w:lineRule="auto"/>
                    <w:ind w:firstLine="0" w:firstLineChars="0"/>
                    <w:jc w:val="center"/>
                    <w:rPr>
                      <w:sz w:val="21"/>
                      <w:szCs w:val="21"/>
                      <w:lang w:val="zh-CN"/>
                    </w:rPr>
                  </w:pPr>
                </w:p>
              </w:tc>
              <w:tc>
                <w:tcPr>
                  <w:tcW w:w="628" w:type="pct"/>
                  <w:vMerge w:val="continue"/>
                  <w:vAlign w:val="center"/>
                </w:tcPr>
                <w:p w14:paraId="53A361A5">
                  <w:pPr>
                    <w:widowControl/>
                    <w:spacing w:line="240" w:lineRule="auto"/>
                    <w:ind w:firstLine="0" w:firstLineChars="0"/>
                    <w:jc w:val="center"/>
                    <w:rPr>
                      <w:sz w:val="21"/>
                      <w:szCs w:val="21"/>
                      <w:lang w:val="zh-CN"/>
                    </w:rPr>
                  </w:pPr>
                </w:p>
              </w:tc>
            </w:tr>
            <w:tr w14:paraId="24A0D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jc w:val="center"/>
              </w:trPr>
              <w:tc>
                <w:tcPr>
                  <w:tcW w:w="2523" w:type="pct"/>
                  <w:vAlign w:val="center"/>
                </w:tcPr>
                <w:p w14:paraId="0842C8C9">
                  <w:pPr>
                    <w:widowControl/>
                    <w:spacing w:line="240" w:lineRule="auto"/>
                    <w:ind w:firstLine="0" w:firstLineChars="0"/>
                    <w:jc w:val="left"/>
                    <w:rPr>
                      <w:sz w:val="21"/>
                      <w:szCs w:val="21"/>
                    </w:rPr>
                  </w:pPr>
                  <w:r>
                    <w:rPr>
                      <w:rFonts w:hint="eastAsia"/>
                      <w:sz w:val="21"/>
                      <w:szCs w:val="21"/>
                    </w:rPr>
                    <w:t>（五）在江河、渠道、水库最高水位线以下的滩地、岸坡堆放、存贮固体废弃物或者其他污染物；</w:t>
                  </w:r>
                </w:p>
              </w:tc>
              <w:tc>
                <w:tcPr>
                  <w:tcW w:w="1848" w:type="pct"/>
                  <w:vMerge w:val="continue"/>
                  <w:vAlign w:val="center"/>
                </w:tcPr>
                <w:p w14:paraId="43D123A3">
                  <w:pPr>
                    <w:widowControl/>
                    <w:spacing w:line="240" w:lineRule="auto"/>
                    <w:ind w:firstLine="0" w:firstLineChars="0"/>
                    <w:jc w:val="center"/>
                    <w:rPr>
                      <w:sz w:val="21"/>
                      <w:szCs w:val="21"/>
                      <w:lang w:val="zh-CN"/>
                    </w:rPr>
                  </w:pPr>
                </w:p>
              </w:tc>
              <w:tc>
                <w:tcPr>
                  <w:tcW w:w="628" w:type="pct"/>
                  <w:vMerge w:val="continue"/>
                  <w:vAlign w:val="center"/>
                </w:tcPr>
                <w:p w14:paraId="104CC285">
                  <w:pPr>
                    <w:widowControl/>
                    <w:spacing w:line="240" w:lineRule="auto"/>
                    <w:ind w:firstLine="0" w:firstLineChars="0"/>
                    <w:jc w:val="center"/>
                    <w:rPr>
                      <w:sz w:val="21"/>
                      <w:szCs w:val="21"/>
                      <w:lang w:val="zh-CN"/>
                    </w:rPr>
                  </w:pPr>
                </w:p>
              </w:tc>
            </w:tr>
            <w:tr w14:paraId="0681E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22" w:hRule="atLeast"/>
                <w:jc w:val="center"/>
              </w:trPr>
              <w:tc>
                <w:tcPr>
                  <w:tcW w:w="2523" w:type="pct"/>
                  <w:vAlign w:val="center"/>
                </w:tcPr>
                <w:p w14:paraId="10C44AB8">
                  <w:pPr>
                    <w:widowControl/>
                    <w:spacing w:line="240" w:lineRule="auto"/>
                    <w:ind w:firstLine="0" w:firstLineChars="0"/>
                    <w:jc w:val="left"/>
                    <w:rPr>
                      <w:sz w:val="21"/>
                      <w:szCs w:val="21"/>
                    </w:rPr>
                  </w:pPr>
                  <w:r>
                    <w:rPr>
                      <w:rFonts w:hint="eastAsia"/>
                      <w:sz w:val="21"/>
                      <w:szCs w:val="21"/>
                    </w:rPr>
                    <w:t>（六）利用无防渗漏措施的沟渠、坑塘等输送或者存贮含有毒污染物的废水、含病原体的污水或者其他废弃物。</w:t>
                  </w:r>
                </w:p>
              </w:tc>
              <w:tc>
                <w:tcPr>
                  <w:tcW w:w="1848" w:type="pct"/>
                  <w:vMerge w:val="continue"/>
                  <w:vAlign w:val="center"/>
                </w:tcPr>
                <w:p w14:paraId="216FC224">
                  <w:pPr>
                    <w:widowControl/>
                    <w:spacing w:line="240" w:lineRule="auto"/>
                    <w:ind w:firstLine="0" w:firstLineChars="0"/>
                    <w:jc w:val="center"/>
                    <w:rPr>
                      <w:sz w:val="21"/>
                      <w:szCs w:val="21"/>
                      <w:lang w:val="zh-CN"/>
                    </w:rPr>
                  </w:pPr>
                </w:p>
              </w:tc>
              <w:tc>
                <w:tcPr>
                  <w:tcW w:w="628" w:type="pct"/>
                  <w:vMerge w:val="continue"/>
                  <w:vAlign w:val="center"/>
                </w:tcPr>
                <w:p w14:paraId="0C1D2936">
                  <w:pPr>
                    <w:widowControl/>
                    <w:spacing w:line="240" w:lineRule="auto"/>
                    <w:ind w:firstLine="0" w:firstLineChars="0"/>
                    <w:jc w:val="center"/>
                    <w:rPr>
                      <w:sz w:val="21"/>
                      <w:szCs w:val="21"/>
                      <w:lang w:val="zh-CN"/>
                    </w:rPr>
                  </w:pPr>
                </w:p>
              </w:tc>
            </w:tr>
            <w:tr w14:paraId="47C87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1" w:hRule="atLeast"/>
                <w:jc w:val="center"/>
              </w:trPr>
              <w:tc>
                <w:tcPr>
                  <w:tcW w:w="2523" w:type="pct"/>
                  <w:vAlign w:val="center"/>
                </w:tcPr>
                <w:p w14:paraId="781BBBD8">
                  <w:pPr>
                    <w:widowControl/>
                    <w:spacing w:line="240" w:lineRule="auto"/>
                    <w:ind w:firstLine="0" w:firstLineChars="0"/>
                    <w:jc w:val="left"/>
                    <w:rPr>
                      <w:sz w:val="21"/>
                      <w:szCs w:val="21"/>
                    </w:rPr>
                  </w:pPr>
                  <w:r>
                    <w:rPr>
                      <w:rFonts w:hint="eastAsia"/>
                      <w:sz w:val="21"/>
                      <w:szCs w:val="21"/>
                    </w:rPr>
                    <w:t>（七）新建、扩建工业园区</w:t>
                  </w:r>
                </w:p>
              </w:tc>
              <w:tc>
                <w:tcPr>
                  <w:tcW w:w="1848" w:type="pct"/>
                  <w:vAlign w:val="center"/>
                </w:tcPr>
                <w:p w14:paraId="7AB692A5">
                  <w:pPr>
                    <w:widowControl/>
                    <w:spacing w:line="240" w:lineRule="auto"/>
                    <w:ind w:firstLine="0" w:firstLineChars="0"/>
                    <w:jc w:val="center"/>
                    <w:rPr>
                      <w:sz w:val="21"/>
                      <w:szCs w:val="21"/>
                      <w:lang w:val="zh-CN"/>
                    </w:rPr>
                  </w:pPr>
                  <w:r>
                    <w:rPr>
                      <w:rFonts w:hint="eastAsia"/>
                      <w:sz w:val="21"/>
                      <w:szCs w:val="21"/>
                      <w:lang w:val="zh-CN"/>
                    </w:rPr>
                    <w:t>项目不属于工业园区规划建设</w:t>
                  </w:r>
                </w:p>
              </w:tc>
              <w:tc>
                <w:tcPr>
                  <w:tcW w:w="628" w:type="pct"/>
                  <w:vAlign w:val="center"/>
                </w:tcPr>
                <w:p w14:paraId="17D3B326">
                  <w:pPr>
                    <w:widowControl/>
                    <w:spacing w:line="240" w:lineRule="auto"/>
                    <w:ind w:firstLine="0" w:firstLineChars="0"/>
                    <w:jc w:val="center"/>
                    <w:rPr>
                      <w:sz w:val="21"/>
                      <w:szCs w:val="21"/>
                      <w:lang w:val="zh-CN"/>
                    </w:rPr>
                  </w:pPr>
                  <w:r>
                    <w:rPr>
                      <w:rFonts w:hint="eastAsia"/>
                      <w:sz w:val="21"/>
                      <w:szCs w:val="21"/>
                      <w:lang w:val="zh-CN"/>
                    </w:rPr>
                    <w:t>符合</w:t>
                  </w:r>
                </w:p>
              </w:tc>
            </w:tr>
            <w:tr w14:paraId="5C892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2523" w:type="pct"/>
                  <w:vAlign w:val="center"/>
                </w:tcPr>
                <w:p w14:paraId="20C9804F">
                  <w:pPr>
                    <w:widowControl/>
                    <w:spacing w:line="240" w:lineRule="auto"/>
                    <w:ind w:firstLine="0" w:firstLineChars="0"/>
                    <w:jc w:val="left"/>
                    <w:rPr>
                      <w:sz w:val="21"/>
                      <w:szCs w:val="21"/>
                    </w:rPr>
                  </w:pPr>
                  <w:r>
                    <w:rPr>
                      <w:rFonts w:hint="eastAsia"/>
                      <w:sz w:val="21"/>
                      <w:szCs w:val="21"/>
                    </w:rPr>
                    <w:t>（八）新建、扩建重点水污染物排放的工业项目</w:t>
                  </w:r>
                </w:p>
              </w:tc>
              <w:tc>
                <w:tcPr>
                  <w:tcW w:w="1848" w:type="pct"/>
                  <w:vAlign w:val="center"/>
                </w:tcPr>
                <w:p w14:paraId="13C35A8B">
                  <w:pPr>
                    <w:widowControl/>
                    <w:spacing w:line="240" w:lineRule="auto"/>
                    <w:ind w:firstLine="0" w:firstLineChars="0"/>
                    <w:jc w:val="center"/>
                    <w:rPr>
                      <w:sz w:val="21"/>
                      <w:szCs w:val="21"/>
                      <w:lang w:val="zh-CN"/>
                    </w:rPr>
                  </w:pPr>
                  <w:r>
                    <w:rPr>
                      <w:rFonts w:hint="eastAsia"/>
                      <w:sz w:val="21"/>
                      <w:szCs w:val="21"/>
                      <w:lang w:val="zh-CN"/>
                    </w:rPr>
                    <w:t>项目废水不外排</w:t>
                  </w:r>
                </w:p>
              </w:tc>
              <w:tc>
                <w:tcPr>
                  <w:tcW w:w="628" w:type="pct"/>
                  <w:vAlign w:val="center"/>
                </w:tcPr>
                <w:p w14:paraId="793126DB">
                  <w:pPr>
                    <w:widowControl/>
                    <w:spacing w:line="240" w:lineRule="auto"/>
                    <w:ind w:firstLine="0" w:firstLineChars="0"/>
                    <w:jc w:val="center"/>
                    <w:rPr>
                      <w:sz w:val="21"/>
                      <w:szCs w:val="21"/>
                      <w:lang w:val="zh-CN"/>
                    </w:rPr>
                  </w:pPr>
                  <w:r>
                    <w:rPr>
                      <w:rFonts w:hint="eastAsia"/>
                      <w:sz w:val="21"/>
                      <w:szCs w:val="21"/>
                      <w:lang w:val="zh-CN"/>
                    </w:rPr>
                    <w:t>符合</w:t>
                  </w:r>
                </w:p>
              </w:tc>
            </w:tr>
            <w:tr w14:paraId="1ED19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2523" w:type="pct"/>
                  <w:vAlign w:val="center"/>
                </w:tcPr>
                <w:p w14:paraId="68FD178B">
                  <w:pPr>
                    <w:widowControl/>
                    <w:spacing w:line="240" w:lineRule="auto"/>
                    <w:ind w:firstLine="0" w:firstLineChars="0"/>
                    <w:jc w:val="left"/>
                    <w:rPr>
                      <w:sz w:val="21"/>
                      <w:szCs w:val="21"/>
                    </w:rPr>
                  </w:pPr>
                  <w:r>
                    <w:rPr>
                      <w:rFonts w:hint="eastAsia"/>
                      <w:sz w:val="21"/>
                      <w:szCs w:val="21"/>
                    </w:rPr>
                    <w:t>（九）新建、改建、扩建经营性陵园、公墓</w:t>
                  </w:r>
                </w:p>
              </w:tc>
              <w:tc>
                <w:tcPr>
                  <w:tcW w:w="1848" w:type="pct"/>
                  <w:vAlign w:val="center"/>
                </w:tcPr>
                <w:p w14:paraId="116CA90D">
                  <w:pPr>
                    <w:widowControl/>
                    <w:spacing w:line="240" w:lineRule="auto"/>
                    <w:ind w:firstLine="0" w:firstLineChars="0"/>
                    <w:jc w:val="center"/>
                    <w:rPr>
                      <w:rFonts w:hint="default" w:eastAsia="宋体"/>
                      <w:sz w:val="21"/>
                      <w:szCs w:val="21"/>
                      <w:lang w:val="en-US" w:eastAsia="zh-CN"/>
                    </w:rPr>
                  </w:pPr>
                  <w:r>
                    <w:rPr>
                      <w:rFonts w:hint="eastAsia"/>
                      <w:sz w:val="21"/>
                      <w:szCs w:val="21"/>
                      <w:lang w:val="zh-CN"/>
                    </w:rPr>
                    <w:t>项目为</w:t>
                  </w:r>
                  <w:r>
                    <w:rPr>
                      <w:rFonts w:hint="eastAsia"/>
                      <w:sz w:val="21"/>
                      <w:szCs w:val="21"/>
                      <w:lang w:val="en-US" w:eastAsia="zh-CN"/>
                    </w:rPr>
                    <w:t>不属于陵园和公墓</w:t>
                  </w:r>
                </w:p>
              </w:tc>
              <w:tc>
                <w:tcPr>
                  <w:tcW w:w="628" w:type="pct"/>
                  <w:vAlign w:val="center"/>
                </w:tcPr>
                <w:p w14:paraId="102556A7">
                  <w:pPr>
                    <w:widowControl/>
                    <w:spacing w:line="240" w:lineRule="auto"/>
                    <w:ind w:firstLine="0" w:firstLineChars="0"/>
                    <w:jc w:val="center"/>
                    <w:rPr>
                      <w:sz w:val="21"/>
                      <w:szCs w:val="21"/>
                      <w:lang w:val="zh-CN"/>
                    </w:rPr>
                  </w:pPr>
                  <w:r>
                    <w:rPr>
                      <w:rFonts w:hint="eastAsia"/>
                      <w:sz w:val="21"/>
                      <w:szCs w:val="21"/>
                      <w:lang w:val="zh-CN"/>
                    </w:rPr>
                    <w:t>符合</w:t>
                  </w:r>
                </w:p>
              </w:tc>
            </w:tr>
          </w:tbl>
          <w:p w14:paraId="0420E84C">
            <w:pPr>
              <w:ind w:firstLine="480"/>
            </w:pPr>
            <w:r>
              <w:rPr>
                <w:color w:val="000000"/>
              </w:rPr>
              <w:t>综上所述，本项目位于牛栏江流域上游保护区重点污染控制区范围内，项目建设和运营不涉及重点污染控制区所禁止进行的行为，因此本项目的建设符合《云南省牛栏江保护条例》的要求。</w:t>
            </w:r>
          </w:p>
          <w:p w14:paraId="492D1E1A">
            <w:pPr>
              <w:numPr>
                <w:ilvl w:val="0"/>
                <w:numId w:val="3"/>
              </w:numPr>
              <w:ind w:firstLine="0" w:firstLineChars="0"/>
              <w:rPr>
                <w:b/>
                <w:bCs/>
              </w:rPr>
            </w:pPr>
            <w:r>
              <w:rPr>
                <w:b/>
                <w:bCs/>
              </w:rPr>
              <w:t>与《牛栏江流域（云南部分）水环境保护规划（2009~2030）》的相符性分析</w:t>
            </w:r>
          </w:p>
          <w:p w14:paraId="6D58B743">
            <w:pPr>
              <w:ind w:firstLine="480"/>
              <w:rPr>
                <w:rFonts w:hint="eastAsia"/>
              </w:rPr>
            </w:pPr>
            <w:r>
              <w:rPr>
                <w:rFonts w:hint="eastAsia"/>
              </w:rPr>
              <w:t>根据《牛栏江流域（云南段）水环境保护规划报告（2009-2030）》，将牛栏江流域（云南段）划分为牛栏江德泽水库以上水环境重点保护区（调水水源区）和牛栏江德泽水库以下生态环境保护区（下游区）。其中，调水水源区分为水源保护核心区、重点污染控制区、水源涵养区，下游区分为污染控制区和水源涵养区。牛栏江德泽水库坝址以上集水区域为牛栏江流域上游保护区，牛栏江德泽水库坝址以下集水区域为牛栏江流域下游保护区。</w:t>
            </w:r>
          </w:p>
          <w:p w14:paraId="1DC5E411">
            <w:pPr>
              <w:ind w:firstLine="480"/>
            </w:pPr>
            <w:r>
              <w:rPr>
                <w:rFonts w:hint="eastAsia"/>
              </w:rPr>
              <w:t>本项目位于寻甸回族自治县仁德街道中桥社区，根据牛栏江水系功能规划图，项目位于重点污染控制区。具体分析见下表。</w:t>
            </w:r>
          </w:p>
          <w:p w14:paraId="7E84DD26">
            <w:pPr>
              <w:spacing w:line="240" w:lineRule="auto"/>
              <w:ind w:firstLine="0" w:firstLineChars="0"/>
              <w:jc w:val="center"/>
              <w:rPr>
                <w:b/>
                <w:bCs/>
                <w:sz w:val="21"/>
                <w:szCs w:val="21"/>
              </w:rPr>
            </w:pPr>
            <w:r>
              <w:rPr>
                <w:rFonts w:hint="eastAsia"/>
                <w:b/>
                <w:bCs/>
                <w:sz w:val="21"/>
                <w:szCs w:val="21"/>
              </w:rPr>
              <w:t>表1-6  建设内容与《牛栏江流域（云南部分）水环境保护规划（2009~2030）》符合性分析</w:t>
            </w:r>
          </w:p>
          <w:tbl>
            <w:tblPr>
              <w:tblStyle w:val="2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43"/>
              <w:gridCol w:w="3217"/>
              <w:gridCol w:w="855"/>
            </w:tblGrid>
            <w:tr w14:paraId="43D41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61" w:type="pct"/>
                  <w:vAlign w:val="center"/>
                </w:tcPr>
                <w:p w14:paraId="0E55903A">
                  <w:pPr>
                    <w:spacing w:line="240" w:lineRule="auto"/>
                    <w:ind w:firstLine="0" w:firstLineChars="0"/>
                    <w:jc w:val="center"/>
                    <w:rPr>
                      <w:b/>
                      <w:bCs/>
                      <w:sz w:val="21"/>
                      <w:szCs w:val="21"/>
                    </w:rPr>
                  </w:pPr>
                  <w:r>
                    <w:rPr>
                      <w:rFonts w:hint="eastAsia"/>
                      <w:b/>
                      <w:bCs/>
                      <w:sz w:val="21"/>
                      <w:szCs w:val="21"/>
                    </w:rPr>
                    <w:t>环境保护策略</w:t>
                  </w:r>
                </w:p>
              </w:tc>
              <w:tc>
                <w:tcPr>
                  <w:tcW w:w="2085" w:type="pct"/>
                  <w:vAlign w:val="center"/>
                </w:tcPr>
                <w:p w14:paraId="2052182C">
                  <w:pPr>
                    <w:spacing w:line="240" w:lineRule="auto"/>
                    <w:ind w:firstLine="0" w:firstLineChars="0"/>
                    <w:jc w:val="center"/>
                    <w:rPr>
                      <w:b/>
                      <w:bCs/>
                      <w:sz w:val="21"/>
                      <w:szCs w:val="21"/>
                    </w:rPr>
                  </w:pPr>
                  <w:r>
                    <w:rPr>
                      <w:rFonts w:hint="eastAsia"/>
                      <w:b/>
                      <w:bCs/>
                      <w:sz w:val="21"/>
                      <w:szCs w:val="21"/>
                    </w:rPr>
                    <w:t>项目内容</w:t>
                  </w:r>
                </w:p>
              </w:tc>
              <w:tc>
                <w:tcPr>
                  <w:tcW w:w="554" w:type="pct"/>
                  <w:vAlign w:val="center"/>
                </w:tcPr>
                <w:p w14:paraId="22FCAFBE">
                  <w:pPr>
                    <w:spacing w:line="240" w:lineRule="auto"/>
                    <w:ind w:firstLine="0" w:firstLineChars="0"/>
                    <w:jc w:val="center"/>
                    <w:rPr>
                      <w:b/>
                      <w:bCs/>
                      <w:sz w:val="21"/>
                      <w:szCs w:val="21"/>
                    </w:rPr>
                  </w:pPr>
                  <w:r>
                    <w:rPr>
                      <w:rFonts w:hint="eastAsia"/>
                      <w:b/>
                      <w:bCs/>
                      <w:sz w:val="21"/>
                      <w:szCs w:val="21"/>
                    </w:rPr>
                    <w:t>符合性</w:t>
                  </w:r>
                </w:p>
              </w:tc>
            </w:tr>
            <w:tr w14:paraId="0D837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61" w:type="pct"/>
                  <w:vAlign w:val="center"/>
                </w:tcPr>
                <w:p w14:paraId="2DF2B1F5">
                  <w:pPr>
                    <w:spacing w:line="240" w:lineRule="auto"/>
                    <w:ind w:firstLine="0" w:firstLineChars="0"/>
                    <w:rPr>
                      <w:sz w:val="21"/>
                      <w:szCs w:val="21"/>
                    </w:rPr>
                  </w:pPr>
                  <w:r>
                    <w:rPr>
                      <w:rFonts w:hint="eastAsia"/>
                      <w:sz w:val="21"/>
                      <w:szCs w:val="21"/>
                    </w:rPr>
                    <w:t>重点污染控制区是指牛栏江水体区河岸带边界外的坝区。区域内是以经济开发活动为主，适宜人们居住的坝区。主要是水源保护核心区边界外的坝区。涉及嵩明县的嵩阳镇（部分）、杨桥乡（部分）、杨林镇（部分）、牛栏江镇（部分）、小街镇（部分）；寻县羊街镇（部分）、金所乡、仁德镇，塘子镇（部分）。马龙县的通泉镇、王家庄镇、月望乡、马过河镇、旧县镇；沾益县的大坡乡、菱角乡16个乡镇。重点污染控制区内的阳镇，小街镇，杨桥乡，牛栏江镇，德泽乡属于本规划的污染重点治理区。面积约为2011km</w:t>
                  </w:r>
                  <w:r>
                    <w:rPr>
                      <w:rFonts w:hint="eastAsia"/>
                      <w:sz w:val="21"/>
                      <w:szCs w:val="21"/>
                      <w:vertAlign w:val="superscript"/>
                    </w:rPr>
                    <w:t>2</w:t>
                  </w:r>
                  <w:r>
                    <w:rPr>
                      <w:rFonts w:hint="eastAsia"/>
                      <w:sz w:val="21"/>
                      <w:szCs w:val="21"/>
                    </w:rPr>
                    <w:t>。</w:t>
                  </w:r>
                </w:p>
                <w:p w14:paraId="13C71721">
                  <w:pPr>
                    <w:spacing w:line="240" w:lineRule="auto"/>
                    <w:ind w:firstLine="0" w:firstLineChars="0"/>
                    <w:rPr>
                      <w:sz w:val="21"/>
                      <w:szCs w:val="21"/>
                    </w:rPr>
                  </w:pPr>
                  <w:r>
                    <w:rPr>
                      <w:rFonts w:hint="eastAsia"/>
                      <w:sz w:val="21"/>
                      <w:szCs w:val="21"/>
                    </w:rPr>
                    <w:t>重点污染控制区内环境保护策略：加大污染物负荷消减力度，消除工业企业有毒有害物质污染，减少COD、TN、TP等主要污染物排放量；加强环境管理，提高环境监测能力和管理水平。</w:t>
                  </w:r>
                </w:p>
              </w:tc>
              <w:tc>
                <w:tcPr>
                  <w:tcW w:w="2085" w:type="pct"/>
                  <w:vAlign w:val="center"/>
                </w:tcPr>
                <w:p w14:paraId="65E786F7">
                  <w:pPr>
                    <w:spacing w:line="240" w:lineRule="auto"/>
                    <w:ind w:firstLine="0" w:firstLineChars="0"/>
                    <w:jc w:val="center"/>
                    <w:rPr>
                      <w:sz w:val="21"/>
                      <w:szCs w:val="21"/>
                    </w:rPr>
                  </w:pPr>
                  <w:r>
                    <w:rPr>
                      <w:rFonts w:hint="eastAsia"/>
                      <w:sz w:val="21"/>
                      <w:szCs w:val="21"/>
                    </w:rPr>
                    <w:t>项目</w:t>
                  </w:r>
                  <w:r>
                    <w:rPr>
                      <w:rFonts w:ascii="宋体" w:hAnsi="宋体" w:cs="宋体"/>
                      <w:spacing w:val="2"/>
                      <w:sz w:val="20"/>
                      <w:szCs w:val="20"/>
                    </w:rPr>
                    <w:t>生产</w:t>
                  </w:r>
                  <w:r>
                    <w:rPr>
                      <w:rFonts w:hint="eastAsia"/>
                      <w:sz w:val="21"/>
                      <w:szCs w:val="21"/>
                    </w:rPr>
                    <w:t>沥青混凝土，无生产废水</w:t>
                  </w:r>
                  <w:r>
                    <w:rPr>
                      <w:rFonts w:hint="eastAsia"/>
                      <w:sz w:val="21"/>
                      <w:szCs w:val="21"/>
                      <w:lang w:val="en-US" w:eastAsia="zh-CN"/>
                    </w:rPr>
                    <w:t>产生和排放</w:t>
                  </w:r>
                  <w:r>
                    <w:rPr>
                      <w:rFonts w:hint="eastAsia"/>
                      <w:sz w:val="21"/>
                      <w:szCs w:val="21"/>
                    </w:rPr>
                    <w:t>，生活污水经一体化污水处理设备处理后回用于绿化和降尘，不外排，初期雨水收集后回用于绿化和降尘，不外排，满足重点污染控制区内环境保护策略。</w:t>
                  </w:r>
                </w:p>
              </w:tc>
              <w:tc>
                <w:tcPr>
                  <w:tcW w:w="554" w:type="pct"/>
                  <w:vAlign w:val="center"/>
                </w:tcPr>
                <w:p w14:paraId="7D3E8185">
                  <w:pPr>
                    <w:spacing w:line="240" w:lineRule="auto"/>
                    <w:ind w:firstLine="0" w:firstLineChars="0"/>
                    <w:jc w:val="center"/>
                    <w:rPr>
                      <w:sz w:val="21"/>
                      <w:szCs w:val="21"/>
                    </w:rPr>
                  </w:pPr>
                  <w:r>
                    <w:rPr>
                      <w:rFonts w:hint="eastAsia"/>
                      <w:sz w:val="21"/>
                      <w:szCs w:val="21"/>
                    </w:rPr>
                    <w:t>符合</w:t>
                  </w:r>
                </w:p>
              </w:tc>
            </w:tr>
            <w:tr w14:paraId="20DDC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61" w:type="pct"/>
                  <w:vAlign w:val="center"/>
                </w:tcPr>
                <w:p w14:paraId="41D2A5AD">
                  <w:pPr>
                    <w:spacing w:line="240" w:lineRule="auto"/>
                    <w:ind w:firstLine="0" w:firstLineChars="0"/>
                    <w:rPr>
                      <w:rFonts w:hint="eastAsia"/>
                      <w:color w:val="00B0F0"/>
                      <w:sz w:val="21"/>
                      <w:szCs w:val="21"/>
                    </w:rPr>
                  </w:pPr>
                  <w:r>
                    <w:rPr>
                      <w:rFonts w:hint="eastAsia"/>
                      <w:color w:val="00B0F0"/>
                      <w:sz w:val="21"/>
                      <w:szCs w:val="21"/>
                    </w:rPr>
                    <w:t>“规划”的第五章“规划任务”第十四条中明确提出落实环保准入政策，严格控制工业污染。</w:t>
                  </w:r>
                </w:p>
                <w:p w14:paraId="606C4887">
                  <w:pPr>
                    <w:spacing w:line="240" w:lineRule="auto"/>
                    <w:ind w:firstLine="0" w:firstLineChars="0"/>
                    <w:rPr>
                      <w:rFonts w:hint="eastAsia"/>
                      <w:color w:val="00B0F0"/>
                      <w:sz w:val="21"/>
                      <w:szCs w:val="21"/>
                    </w:rPr>
                  </w:pPr>
                  <w:r>
                    <w:rPr>
                      <w:rFonts w:hint="eastAsia"/>
                      <w:color w:val="00B0F0"/>
                      <w:sz w:val="21"/>
                      <w:szCs w:val="21"/>
                    </w:rPr>
                    <w:t>（1）加快调水水源区工业园区基础设施建设，实现工业园区废水零排放；</w:t>
                  </w:r>
                </w:p>
                <w:p w14:paraId="120D7AB3">
                  <w:pPr>
                    <w:spacing w:line="240" w:lineRule="auto"/>
                    <w:ind w:firstLine="0" w:firstLineChars="0"/>
                    <w:rPr>
                      <w:rFonts w:hint="eastAsia"/>
                      <w:color w:val="00B0F0"/>
                      <w:sz w:val="21"/>
                      <w:szCs w:val="21"/>
                    </w:rPr>
                  </w:pPr>
                  <w:r>
                    <w:rPr>
                      <w:rFonts w:hint="eastAsia"/>
                      <w:color w:val="00B0F0"/>
                      <w:sz w:val="21"/>
                      <w:szCs w:val="21"/>
                    </w:rPr>
                    <w:t>（2）落实国家产业政策和有关环保政策，实现企业废水零排放；</w:t>
                  </w:r>
                </w:p>
                <w:p w14:paraId="0408B818">
                  <w:pPr>
                    <w:spacing w:line="240" w:lineRule="auto"/>
                    <w:ind w:firstLine="0" w:firstLineChars="0"/>
                    <w:rPr>
                      <w:rFonts w:hint="eastAsia"/>
                      <w:color w:val="00B0F0"/>
                      <w:sz w:val="21"/>
                      <w:szCs w:val="21"/>
                    </w:rPr>
                  </w:pPr>
                  <w:r>
                    <w:rPr>
                      <w:rFonts w:hint="eastAsia"/>
                      <w:color w:val="00B0F0"/>
                      <w:sz w:val="21"/>
                      <w:szCs w:val="21"/>
                    </w:rPr>
                    <w:t>（3）严格工业企业环境管理。</w:t>
                  </w:r>
                </w:p>
                <w:p w14:paraId="5469B053">
                  <w:pPr>
                    <w:spacing w:line="240" w:lineRule="auto"/>
                    <w:ind w:firstLine="0" w:firstLineChars="0"/>
                    <w:rPr>
                      <w:color w:val="00B0F0"/>
                      <w:sz w:val="21"/>
                      <w:szCs w:val="21"/>
                    </w:rPr>
                  </w:pPr>
                  <w:r>
                    <w:rPr>
                      <w:rFonts w:hint="eastAsia"/>
                      <w:color w:val="00B0F0"/>
                      <w:sz w:val="21"/>
                      <w:szCs w:val="21"/>
                    </w:rPr>
                    <w:t>严格环境准入政策，避免新污染物输入。调水水源区不得建设不符合国家产业政策的工业项目及高污染工业项目，包括污染严重的钢铁、有色冶金、基础化工、农药、电镀、造纸制浆、制革、印染、石棉制品、土硫磺、土磷肥和染料等企业和项目；新建工业项目必须进入工业园区或废水实现零排放，改扩建项目不得新增化学需氧量、总氮、总磷排放量；新建、改建、扩建工业项目应采用先进的生产工艺和污染防治技术，其清洁生产水平应达到国家清洁生产标准中的国内先进水平。下游区工业废水排水水质达标率</w:t>
                  </w:r>
                  <w:r>
                    <w:rPr>
                      <w:color w:val="00B0F0"/>
                      <w:sz w:val="21"/>
                      <w:szCs w:val="21"/>
                    </w:rPr>
                    <w:t>100%。</w:t>
                  </w:r>
                </w:p>
              </w:tc>
              <w:tc>
                <w:tcPr>
                  <w:tcW w:w="2085" w:type="pct"/>
                  <w:vAlign w:val="center"/>
                </w:tcPr>
                <w:p w14:paraId="08EE32BA">
                  <w:pPr>
                    <w:spacing w:line="240" w:lineRule="auto"/>
                    <w:ind w:firstLine="0" w:firstLineChars="0"/>
                    <w:jc w:val="center"/>
                    <w:rPr>
                      <w:color w:val="00B0F0"/>
                      <w:sz w:val="21"/>
                      <w:szCs w:val="21"/>
                    </w:rPr>
                  </w:pPr>
                  <w:r>
                    <w:rPr>
                      <w:rFonts w:hint="eastAsia"/>
                      <w:color w:val="00B0F0"/>
                      <w:sz w:val="21"/>
                      <w:szCs w:val="21"/>
                    </w:rPr>
                    <w:t>项目位于仁德街道中桥社区“多规合一”实用性村庄规划村庄建设边界内，使用地块为工业用地，属于牛栏江重点污染控制区，不属于调水水源区。且项目车轮清洗废水沉淀后回用不外排，生活污水经一体化污水处理设备处理后回用于绿化和降尘，不外排，初期雨水收集后回用于绿化和降尘，不外排。项目无污废水外排，实现废水“零排放”。项目采用自动化密闭搅拌成套设备，骨料、矿粉密闭储存输送，配套密闭料棚；供热采用清洁能源，烘干、筛分、搅拌粉尘经布袋除尘器处理，沥青储罐、搅拌主机产生的沥青烟气负压收集后采用电捕焦油器+活性炭吸附组合工艺处理。</w:t>
                  </w:r>
                  <w:r>
                    <w:rPr>
                      <w:rFonts w:hint="eastAsia"/>
                      <w:color w:val="00B0F0"/>
                      <w:sz w:val="21"/>
                      <w:szCs w:val="21"/>
                      <w:lang w:val="en-US" w:eastAsia="zh-CN"/>
                    </w:rPr>
                    <w:t>项目</w:t>
                  </w:r>
                  <w:r>
                    <w:rPr>
                      <w:rFonts w:hint="eastAsia"/>
                      <w:color w:val="00B0F0"/>
                      <w:sz w:val="21"/>
                      <w:szCs w:val="21"/>
                    </w:rPr>
                    <w:t>除尘灰全部回用于生产，废活性炭等危险废物在危废暂存间规范贮存，委托有资质单位处置；厂区落实防渗、初期雨水收集等风险防控措施，污染物可实现达标排放，资源综合利用水平较好，项目清洁生产总体可达到国内清洁生产先进水平。</w:t>
                  </w:r>
                </w:p>
              </w:tc>
              <w:tc>
                <w:tcPr>
                  <w:tcW w:w="554" w:type="pct"/>
                  <w:vAlign w:val="center"/>
                </w:tcPr>
                <w:p w14:paraId="210DFF5F">
                  <w:pPr>
                    <w:spacing w:line="240" w:lineRule="auto"/>
                    <w:ind w:firstLine="0" w:firstLineChars="0"/>
                    <w:jc w:val="center"/>
                    <w:rPr>
                      <w:color w:val="00B0F0"/>
                      <w:sz w:val="21"/>
                      <w:szCs w:val="21"/>
                    </w:rPr>
                  </w:pPr>
                  <w:r>
                    <w:rPr>
                      <w:rFonts w:hint="eastAsia"/>
                      <w:color w:val="00B0F0"/>
                      <w:sz w:val="21"/>
                      <w:szCs w:val="21"/>
                    </w:rPr>
                    <w:t>符合</w:t>
                  </w:r>
                </w:p>
              </w:tc>
            </w:tr>
          </w:tbl>
          <w:p w14:paraId="238BA870">
            <w:pPr>
              <w:ind w:firstLine="480"/>
            </w:pPr>
            <w:r>
              <w:rPr>
                <w:rFonts w:hint="eastAsia"/>
              </w:rPr>
              <w:t>综上所述，项目选址符合《牛栏江流域（云南部分）水环境保护规划（2009-2030）》对重点污染控制区的水环境保护要求。</w:t>
            </w:r>
          </w:p>
          <w:p w14:paraId="0C193A92">
            <w:pPr>
              <w:numPr>
                <w:ilvl w:val="0"/>
                <w:numId w:val="3"/>
              </w:numPr>
              <w:ind w:firstLine="0" w:firstLineChars="0"/>
              <w:rPr>
                <w:b/>
                <w:bCs/>
              </w:rPr>
            </w:pPr>
            <w:r>
              <w:rPr>
                <w:rFonts w:hint="eastAsia"/>
                <w:b/>
                <w:bCs/>
              </w:rPr>
              <w:t>与《牛栏江流域（昆明段）水环境保护规划（2011-2030）》中的污染控制区相符性分析</w:t>
            </w:r>
          </w:p>
          <w:p w14:paraId="611DEBF1">
            <w:pPr>
              <w:ind w:firstLine="480"/>
            </w:pPr>
            <w:r>
              <w:rPr>
                <w:rFonts w:hint="eastAsia"/>
              </w:rPr>
              <w:t>本项目位于寻甸回族自治县仁德街道中桥社区，根据《牛栏江（昆明段）水环境保护规划（2011-2030）》规划图叠图分析可知，本项目属于污染控制区。项目选址与《牛栏江（昆明段）水环境保护规划（2011-2030）》中对污染控制区的水环境保护策略符合性分析详见1-7。</w:t>
            </w:r>
          </w:p>
          <w:p w14:paraId="24171FC2">
            <w:pPr>
              <w:spacing w:line="240" w:lineRule="auto"/>
              <w:ind w:firstLine="422"/>
              <w:jc w:val="center"/>
              <w:rPr>
                <w:b/>
                <w:bCs/>
                <w:sz w:val="21"/>
                <w:szCs w:val="21"/>
              </w:rPr>
            </w:pPr>
            <w:r>
              <w:rPr>
                <w:rFonts w:hint="eastAsia"/>
                <w:b/>
                <w:bCs/>
                <w:sz w:val="21"/>
                <w:szCs w:val="21"/>
              </w:rPr>
              <w:t>表1-7  《牛栏江（昆明段）水环境保护规划（2011-2030）》污染控制区符合性分析</w:t>
            </w:r>
          </w:p>
          <w:tbl>
            <w:tblPr>
              <w:tblStyle w:val="27"/>
              <w:tblW w:w="78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8"/>
              <w:gridCol w:w="3676"/>
              <w:gridCol w:w="2688"/>
              <w:gridCol w:w="787"/>
            </w:tblGrid>
            <w:tr w14:paraId="7BC1A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8" w:type="dxa"/>
                  <w:vAlign w:val="center"/>
                </w:tcPr>
                <w:p w14:paraId="5BA462C6">
                  <w:pPr>
                    <w:spacing w:line="240" w:lineRule="auto"/>
                    <w:ind w:firstLine="0" w:firstLineChars="0"/>
                    <w:jc w:val="center"/>
                    <w:rPr>
                      <w:b/>
                      <w:bCs/>
                      <w:sz w:val="21"/>
                      <w:szCs w:val="21"/>
                    </w:rPr>
                  </w:pPr>
                  <w:r>
                    <w:rPr>
                      <w:rFonts w:hint="eastAsia"/>
                      <w:b/>
                      <w:bCs/>
                      <w:sz w:val="21"/>
                      <w:szCs w:val="21"/>
                    </w:rPr>
                    <w:t>序号</w:t>
                  </w:r>
                </w:p>
              </w:tc>
              <w:tc>
                <w:tcPr>
                  <w:tcW w:w="3676" w:type="dxa"/>
                  <w:vAlign w:val="center"/>
                </w:tcPr>
                <w:p w14:paraId="6DC9F1DB">
                  <w:pPr>
                    <w:spacing w:line="240" w:lineRule="auto"/>
                    <w:ind w:firstLine="0" w:firstLineChars="0"/>
                    <w:jc w:val="center"/>
                    <w:rPr>
                      <w:b/>
                      <w:bCs/>
                      <w:sz w:val="21"/>
                      <w:szCs w:val="21"/>
                    </w:rPr>
                  </w:pPr>
                  <w:r>
                    <w:rPr>
                      <w:rFonts w:hint="eastAsia"/>
                      <w:b/>
                      <w:bCs/>
                      <w:sz w:val="21"/>
                      <w:szCs w:val="21"/>
                    </w:rPr>
                    <w:t>《牛栏江流域（昆明段）水环境保护规划》条件</w:t>
                  </w:r>
                </w:p>
              </w:tc>
              <w:tc>
                <w:tcPr>
                  <w:tcW w:w="2688" w:type="dxa"/>
                  <w:vAlign w:val="center"/>
                </w:tcPr>
                <w:p w14:paraId="0E16F343">
                  <w:pPr>
                    <w:spacing w:line="240" w:lineRule="auto"/>
                    <w:ind w:firstLine="0" w:firstLineChars="0"/>
                    <w:jc w:val="center"/>
                    <w:rPr>
                      <w:b/>
                      <w:bCs/>
                      <w:sz w:val="21"/>
                      <w:szCs w:val="21"/>
                    </w:rPr>
                  </w:pPr>
                  <w:r>
                    <w:rPr>
                      <w:rFonts w:hint="eastAsia"/>
                      <w:b/>
                      <w:bCs/>
                      <w:sz w:val="21"/>
                      <w:szCs w:val="21"/>
                    </w:rPr>
                    <w:t>本项目实际情况</w:t>
                  </w:r>
                </w:p>
              </w:tc>
              <w:tc>
                <w:tcPr>
                  <w:tcW w:w="787" w:type="dxa"/>
                  <w:vAlign w:val="center"/>
                </w:tcPr>
                <w:p w14:paraId="7C1F181A">
                  <w:pPr>
                    <w:spacing w:line="240" w:lineRule="auto"/>
                    <w:ind w:firstLine="0" w:firstLineChars="0"/>
                    <w:jc w:val="center"/>
                    <w:rPr>
                      <w:b/>
                      <w:bCs/>
                      <w:sz w:val="21"/>
                      <w:szCs w:val="21"/>
                    </w:rPr>
                  </w:pPr>
                  <w:r>
                    <w:rPr>
                      <w:rFonts w:hint="eastAsia"/>
                      <w:b/>
                      <w:bCs/>
                      <w:sz w:val="21"/>
                      <w:szCs w:val="21"/>
                    </w:rPr>
                    <w:t>符合性</w:t>
                  </w:r>
                </w:p>
              </w:tc>
            </w:tr>
            <w:tr w14:paraId="124CC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8" w:type="dxa"/>
                  <w:vAlign w:val="center"/>
                </w:tcPr>
                <w:p w14:paraId="3DF3D975">
                  <w:pPr>
                    <w:spacing w:line="240" w:lineRule="auto"/>
                    <w:ind w:firstLine="0" w:firstLineChars="0"/>
                    <w:jc w:val="center"/>
                    <w:rPr>
                      <w:sz w:val="21"/>
                      <w:szCs w:val="21"/>
                    </w:rPr>
                  </w:pPr>
                  <w:r>
                    <w:rPr>
                      <w:rFonts w:hint="eastAsia"/>
                      <w:sz w:val="21"/>
                      <w:szCs w:val="21"/>
                    </w:rPr>
                    <w:t>1</w:t>
                  </w:r>
                </w:p>
              </w:tc>
              <w:tc>
                <w:tcPr>
                  <w:tcW w:w="3676" w:type="dxa"/>
                  <w:vAlign w:val="center"/>
                </w:tcPr>
                <w:p w14:paraId="627B6383">
                  <w:pPr>
                    <w:spacing w:line="240" w:lineRule="auto"/>
                    <w:ind w:firstLine="0" w:firstLineChars="0"/>
                    <w:rPr>
                      <w:sz w:val="21"/>
                      <w:szCs w:val="21"/>
                    </w:rPr>
                  </w:pPr>
                  <w:r>
                    <w:rPr>
                      <w:rFonts w:hint="eastAsia"/>
                      <w:sz w:val="21"/>
                      <w:szCs w:val="21"/>
                    </w:rPr>
                    <w:t>该区域内，新改扩建项目不得新增污染排放量；农村生活污水全处理；控制养殖规模，不得新建或扩大养殖小区或规模化养殖场，实施畜禽养殖污染重点控制。</w:t>
                  </w:r>
                </w:p>
              </w:tc>
              <w:tc>
                <w:tcPr>
                  <w:tcW w:w="2688" w:type="dxa"/>
                  <w:vAlign w:val="center"/>
                </w:tcPr>
                <w:p w14:paraId="093A8C24">
                  <w:pPr>
                    <w:spacing w:line="240" w:lineRule="auto"/>
                    <w:ind w:firstLine="0" w:firstLineChars="0"/>
                    <w:jc w:val="center"/>
                    <w:rPr>
                      <w:sz w:val="21"/>
                      <w:szCs w:val="21"/>
                    </w:rPr>
                  </w:pPr>
                  <w:r>
                    <w:rPr>
                      <w:rFonts w:hint="eastAsia"/>
                      <w:sz w:val="21"/>
                      <w:szCs w:val="21"/>
                    </w:rPr>
                    <w:t>项目</w:t>
                  </w:r>
                  <w:r>
                    <w:rPr>
                      <w:rFonts w:ascii="宋体" w:hAnsi="宋体" w:cs="宋体"/>
                      <w:spacing w:val="2"/>
                      <w:sz w:val="20"/>
                      <w:szCs w:val="20"/>
                    </w:rPr>
                    <w:t>生产</w:t>
                  </w:r>
                  <w:r>
                    <w:rPr>
                      <w:rFonts w:hint="eastAsia"/>
                      <w:sz w:val="21"/>
                      <w:szCs w:val="21"/>
                    </w:rPr>
                    <w:t>沥青混凝土，无生产废水，生活污水经一体化污水处理设备处理后回用于绿化和降尘，不外排，初期雨水收集后回用于绿化和降尘，不外排。</w:t>
                  </w:r>
                </w:p>
              </w:tc>
              <w:tc>
                <w:tcPr>
                  <w:tcW w:w="787" w:type="dxa"/>
                  <w:vAlign w:val="center"/>
                </w:tcPr>
                <w:p w14:paraId="1CA84AE8">
                  <w:pPr>
                    <w:spacing w:line="240" w:lineRule="auto"/>
                    <w:ind w:firstLine="0" w:firstLineChars="0"/>
                    <w:jc w:val="center"/>
                    <w:rPr>
                      <w:sz w:val="21"/>
                      <w:szCs w:val="21"/>
                    </w:rPr>
                  </w:pPr>
                  <w:r>
                    <w:rPr>
                      <w:rFonts w:hint="eastAsia"/>
                      <w:sz w:val="21"/>
                      <w:szCs w:val="21"/>
                    </w:rPr>
                    <w:t>符合</w:t>
                  </w:r>
                </w:p>
              </w:tc>
            </w:tr>
          </w:tbl>
          <w:p w14:paraId="786527A3">
            <w:pPr>
              <w:ind w:firstLine="480"/>
            </w:pPr>
            <w:r>
              <w:rPr>
                <w:rFonts w:hint="eastAsia"/>
              </w:rPr>
              <w:t>综上所述，项目选址符合《牛栏江流域（昆明段）水环境保护规划（2011</w:t>
            </w:r>
            <w:r>
              <w:t>~2030</w:t>
            </w:r>
            <w:r>
              <w:rPr>
                <w:rFonts w:hint="eastAsia"/>
              </w:rPr>
              <w:t>）》对污染控制区的水环境保护要求。</w:t>
            </w:r>
          </w:p>
          <w:p w14:paraId="72348A32">
            <w:pPr>
              <w:numPr>
                <w:ilvl w:val="0"/>
                <w:numId w:val="3"/>
              </w:numPr>
              <w:ind w:firstLine="0" w:firstLineChars="0"/>
              <w:rPr>
                <w:b/>
                <w:bCs/>
              </w:rPr>
            </w:pPr>
            <w:r>
              <w:rPr>
                <w:b/>
                <w:bCs/>
              </w:rPr>
              <w:t>与《牛栏江流域（寻甸段）水环境保护规划（2011~2030）》符合性分析</w:t>
            </w:r>
          </w:p>
          <w:p w14:paraId="2C96CD20">
            <w:pPr>
              <w:ind w:firstLine="480"/>
            </w:pPr>
            <w:r>
              <w:t>根据《牛栏江流域（寻甸段）水环境保护规划（2011~2030）》可知，牛栏江流域（寻甸段）水环境分区范围涉及规划区干流及主要支流（前进河、羊街河、马龙河、尹武河等）河流径流区。规划区分为3个保护区：水源保护核心区、重点污染控制区、重点水源涵养区</w:t>
            </w:r>
            <w:r>
              <w:rPr>
                <w:rFonts w:hint="eastAsia"/>
              </w:rPr>
              <w:t>。建设项目位于寻甸回族自治县仁德街道中桥社区，属于重点污染控制区。</w:t>
            </w:r>
            <w:r>
              <w:t>项目与《牛栏江流域（寻甸段）水环境保护规划》相符性分析见下表</w:t>
            </w:r>
            <w:r>
              <w:rPr>
                <w:lang w:val="zh-CN"/>
              </w:rPr>
              <w:t>。</w:t>
            </w:r>
          </w:p>
          <w:p w14:paraId="197720C1">
            <w:pPr>
              <w:ind w:firstLine="0" w:firstLineChars="0"/>
              <w:jc w:val="center"/>
              <w:rPr>
                <w:b/>
                <w:bCs/>
                <w:sz w:val="21"/>
                <w:szCs w:val="21"/>
              </w:rPr>
            </w:pPr>
            <w:r>
              <w:rPr>
                <w:b/>
                <w:bCs/>
                <w:sz w:val="21"/>
                <w:szCs w:val="21"/>
              </w:rPr>
              <w:t>表1-</w:t>
            </w:r>
            <w:r>
              <w:rPr>
                <w:rFonts w:hint="eastAsia"/>
                <w:b/>
                <w:bCs/>
                <w:sz w:val="21"/>
                <w:szCs w:val="21"/>
              </w:rPr>
              <w:t>8</w:t>
            </w:r>
            <w:r>
              <w:rPr>
                <w:b/>
                <w:bCs/>
                <w:sz w:val="21"/>
                <w:szCs w:val="21"/>
              </w:rPr>
              <w:t xml:space="preserve"> </w:t>
            </w:r>
            <w:r>
              <w:rPr>
                <w:rFonts w:hint="eastAsia"/>
                <w:b/>
                <w:bCs/>
                <w:sz w:val="21"/>
                <w:szCs w:val="21"/>
              </w:rPr>
              <w:t xml:space="preserve"> </w:t>
            </w:r>
            <w:r>
              <w:rPr>
                <w:b/>
                <w:bCs/>
                <w:sz w:val="21"/>
                <w:szCs w:val="21"/>
              </w:rPr>
              <w:t>项目选址与《牛栏江流域（寻甸段）水环境保护规划》对照分析</w:t>
            </w:r>
          </w:p>
          <w:tbl>
            <w:tblPr>
              <w:tblStyle w:val="26"/>
              <w:tblW w:w="79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1"/>
              <w:gridCol w:w="3247"/>
              <w:gridCol w:w="3308"/>
              <w:gridCol w:w="888"/>
            </w:tblGrid>
            <w:tr w14:paraId="030BC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9" w:type="pct"/>
                  <w:vAlign w:val="center"/>
                </w:tcPr>
                <w:p w14:paraId="0D70B42F">
                  <w:pPr>
                    <w:spacing w:line="240" w:lineRule="auto"/>
                    <w:ind w:firstLine="0" w:firstLineChars="0"/>
                    <w:jc w:val="center"/>
                    <w:rPr>
                      <w:b/>
                      <w:bCs/>
                      <w:sz w:val="21"/>
                      <w:szCs w:val="21"/>
                    </w:rPr>
                  </w:pPr>
                  <w:r>
                    <w:rPr>
                      <w:b/>
                      <w:bCs/>
                      <w:sz w:val="21"/>
                      <w:szCs w:val="21"/>
                    </w:rPr>
                    <w:t>序号</w:t>
                  </w:r>
                </w:p>
              </w:tc>
              <w:tc>
                <w:tcPr>
                  <w:tcW w:w="2033" w:type="pct"/>
                  <w:vAlign w:val="center"/>
                </w:tcPr>
                <w:p w14:paraId="4A8A4FA7">
                  <w:pPr>
                    <w:spacing w:line="240" w:lineRule="auto"/>
                    <w:ind w:firstLine="0" w:firstLineChars="0"/>
                    <w:jc w:val="center"/>
                    <w:rPr>
                      <w:b/>
                      <w:bCs/>
                      <w:sz w:val="21"/>
                      <w:szCs w:val="21"/>
                    </w:rPr>
                  </w:pPr>
                  <w:r>
                    <w:rPr>
                      <w:b/>
                      <w:bCs/>
                      <w:sz w:val="21"/>
                      <w:szCs w:val="21"/>
                    </w:rPr>
                    <w:t>《牛栏江流域（寻甸段）水环境保护规划》</w:t>
                  </w:r>
                </w:p>
              </w:tc>
              <w:tc>
                <w:tcPr>
                  <w:tcW w:w="2071" w:type="pct"/>
                  <w:vAlign w:val="center"/>
                </w:tcPr>
                <w:p w14:paraId="0F996B49">
                  <w:pPr>
                    <w:spacing w:line="240" w:lineRule="auto"/>
                    <w:ind w:firstLine="0" w:firstLineChars="0"/>
                    <w:jc w:val="center"/>
                    <w:rPr>
                      <w:b/>
                      <w:bCs/>
                      <w:sz w:val="21"/>
                      <w:szCs w:val="21"/>
                    </w:rPr>
                  </w:pPr>
                  <w:r>
                    <w:rPr>
                      <w:b/>
                      <w:bCs/>
                      <w:sz w:val="21"/>
                      <w:szCs w:val="21"/>
                    </w:rPr>
                    <w:t>本项目实际情况</w:t>
                  </w:r>
                </w:p>
              </w:tc>
              <w:tc>
                <w:tcPr>
                  <w:tcW w:w="556" w:type="pct"/>
                  <w:vAlign w:val="center"/>
                </w:tcPr>
                <w:p w14:paraId="61E3BF69">
                  <w:pPr>
                    <w:spacing w:line="240" w:lineRule="auto"/>
                    <w:ind w:firstLine="0" w:firstLineChars="0"/>
                    <w:jc w:val="center"/>
                    <w:rPr>
                      <w:b/>
                      <w:bCs/>
                      <w:sz w:val="21"/>
                      <w:szCs w:val="21"/>
                    </w:rPr>
                  </w:pPr>
                  <w:r>
                    <w:rPr>
                      <w:b/>
                      <w:bCs/>
                      <w:sz w:val="21"/>
                      <w:szCs w:val="21"/>
                    </w:rPr>
                    <w:t>符合性</w:t>
                  </w:r>
                </w:p>
              </w:tc>
            </w:tr>
            <w:tr w14:paraId="4137A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339" w:type="pct"/>
                  <w:tcBorders>
                    <w:bottom w:val="single" w:color="auto" w:sz="4" w:space="0"/>
                  </w:tcBorders>
                  <w:vAlign w:val="center"/>
                </w:tcPr>
                <w:p w14:paraId="033D5DA2">
                  <w:pPr>
                    <w:spacing w:line="240" w:lineRule="auto"/>
                    <w:ind w:firstLine="0" w:firstLineChars="0"/>
                    <w:jc w:val="center"/>
                    <w:rPr>
                      <w:sz w:val="21"/>
                      <w:szCs w:val="21"/>
                    </w:rPr>
                  </w:pPr>
                  <w:r>
                    <w:rPr>
                      <w:sz w:val="21"/>
                      <w:szCs w:val="21"/>
                    </w:rPr>
                    <w:t>1</w:t>
                  </w:r>
                </w:p>
              </w:tc>
              <w:tc>
                <w:tcPr>
                  <w:tcW w:w="2033" w:type="pct"/>
                  <w:tcBorders>
                    <w:bottom w:val="single" w:color="auto" w:sz="4" w:space="0"/>
                  </w:tcBorders>
                  <w:vAlign w:val="center"/>
                </w:tcPr>
                <w:p w14:paraId="0583CBB9">
                  <w:pPr>
                    <w:spacing w:line="240" w:lineRule="auto"/>
                    <w:ind w:firstLine="0" w:firstLineChars="0"/>
                    <w:jc w:val="left"/>
                    <w:rPr>
                      <w:sz w:val="21"/>
                      <w:szCs w:val="21"/>
                    </w:rPr>
                  </w:pPr>
                  <w:r>
                    <w:rPr>
                      <w:rFonts w:hint="eastAsia"/>
                      <w:sz w:val="21"/>
                      <w:szCs w:val="21"/>
                    </w:rPr>
                    <w:t>加强对重点工业污染源的监督，确保牛栏江流域（寻甸段）内重点企业污水稳定达标排放并实现“零排放”，固体废弃物最大程度重复利用和安全处置，消除工业企业的环境安全隐患，确保环保设施的正常运行，杜绝工业企业偷排、漏排污染物的现象。</w:t>
                  </w:r>
                </w:p>
              </w:tc>
              <w:tc>
                <w:tcPr>
                  <w:tcW w:w="2071" w:type="pct"/>
                  <w:tcBorders>
                    <w:bottom w:val="single" w:color="auto" w:sz="4" w:space="0"/>
                  </w:tcBorders>
                  <w:vAlign w:val="center"/>
                </w:tcPr>
                <w:p w14:paraId="74999E7D">
                  <w:pPr>
                    <w:spacing w:line="240" w:lineRule="auto"/>
                    <w:ind w:firstLine="0" w:firstLineChars="0"/>
                    <w:rPr>
                      <w:sz w:val="21"/>
                      <w:szCs w:val="21"/>
                    </w:rPr>
                  </w:pPr>
                  <w:r>
                    <w:rPr>
                      <w:rFonts w:hint="eastAsia"/>
                      <w:color w:val="00B0F0"/>
                      <w:sz w:val="21"/>
                      <w:szCs w:val="21"/>
                    </w:rPr>
                    <w:t>项目车轮清洗废水沉淀后回用不外排，生活污水经一体化污水处理设备处理后回用于绿化和降尘，不外排，初期雨水收集后回用于绿化和降尘，不外排。项目无污废水外排，实现废水“零排放”。</w:t>
                  </w:r>
                  <w:r>
                    <w:rPr>
                      <w:rFonts w:hint="eastAsia"/>
                      <w:sz w:val="21"/>
                      <w:szCs w:val="21"/>
                    </w:rPr>
                    <w:t>固废处置率为100%。</w:t>
                  </w:r>
                </w:p>
              </w:tc>
              <w:tc>
                <w:tcPr>
                  <w:tcW w:w="556" w:type="pct"/>
                  <w:vMerge w:val="restart"/>
                  <w:tcBorders>
                    <w:bottom w:val="single" w:color="auto" w:sz="4" w:space="0"/>
                  </w:tcBorders>
                  <w:vAlign w:val="center"/>
                </w:tcPr>
                <w:p w14:paraId="1FDA7140">
                  <w:pPr>
                    <w:spacing w:line="240" w:lineRule="auto"/>
                    <w:ind w:firstLine="0" w:firstLineChars="0"/>
                    <w:jc w:val="center"/>
                    <w:rPr>
                      <w:sz w:val="21"/>
                      <w:szCs w:val="21"/>
                    </w:rPr>
                  </w:pPr>
                  <w:r>
                    <w:rPr>
                      <w:sz w:val="21"/>
                      <w:szCs w:val="21"/>
                    </w:rPr>
                    <w:t>符合</w:t>
                  </w:r>
                </w:p>
              </w:tc>
            </w:tr>
            <w:tr w14:paraId="3AF41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trPr>
              <w:tc>
                <w:tcPr>
                  <w:tcW w:w="339" w:type="pct"/>
                  <w:vAlign w:val="center"/>
                </w:tcPr>
                <w:p w14:paraId="4943DB3D">
                  <w:pPr>
                    <w:spacing w:line="240" w:lineRule="auto"/>
                    <w:ind w:firstLine="0" w:firstLineChars="0"/>
                    <w:jc w:val="center"/>
                    <w:rPr>
                      <w:color w:val="00B0F0"/>
                      <w:sz w:val="21"/>
                      <w:szCs w:val="21"/>
                    </w:rPr>
                  </w:pPr>
                  <w:r>
                    <w:rPr>
                      <w:color w:val="00B0F0"/>
                      <w:sz w:val="21"/>
                      <w:szCs w:val="21"/>
                    </w:rPr>
                    <w:t>2</w:t>
                  </w:r>
                </w:p>
              </w:tc>
              <w:tc>
                <w:tcPr>
                  <w:tcW w:w="2033" w:type="pct"/>
                  <w:vAlign w:val="center"/>
                </w:tcPr>
                <w:p w14:paraId="43C18D1C">
                  <w:pPr>
                    <w:spacing w:line="240" w:lineRule="auto"/>
                    <w:ind w:firstLine="0" w:firstLineChars="0"/>
                    <w:rPr>
                      <w:rFonts w:hint="eastAsia"/>
                      <w:color w:val="00B0F0"/>
                      <w:sz w:val="21"/>
                      <w:szCs w:val="21"/>
                    </w:rPr>
                  </w:pPr>
                  <w:r>
                    <w:rPr>
                      <w:rFonts w:hint="eastAsia"/>
                      <w:color w:val="00B0F0"/>
                      <w:sz w:val="21"/>
                      <w:szCs w:val="21"/>
                    </w:rPr>
                    <w:t>新建工业项目必须按照区域的工业园区产业发展规划和规划环评的要求进入园区，入园企业必须实现工业废水“零排放”</w:t>
                  </w:r>
                </w:p>
                <w:p w14:paraId="7B97B48A">
                  <w:pPr>
                    <w:spacing w:line="240" w:lineRule="auto"/>
                    <w:ind w:firstLine="0" w:firstLineChars="0"/>
                    <w:rPr>
                      <w:rFonts w:hint="eastAsia"/>
                      <w:color w:val="00B0F0"/>
                      <w:sz w:val="21"/>
                      <w:szCs w:val="21"/>
                    </w:rPr>
                  </w:pPr>
                  <w:r>
                    <w:rPr>
                      <w:rFonts w:hint="eastAsia"/>
                      <w:color w:val="00B0F0"/>
                      <w:sz w:val="21"/>
                      <w:szCs w:val="21"/>
                    </w:rPr>
                    <w:t>改扩建项目不得新增化学需氧量、总氮、总磷排放量;新建、</w:t>
                  </w:r>
                </w:p>
                <w:p w14:paraId="4115FB1C">
                  <w:pPr>
                    <w:spacing w:line="240" w:lineRule="auto"/>
                    <w:ind w:firstLine="0" w:firstLineChars="0"/>
                    <w:rPr>
                      <w:rFonts w:hint="eastAsia"/>
                      <w:color w:val="00B0F0"/>
                      <w:sz w:val="21"/>
                      <w:szCs w:val="21"/>
                    </w:rPr>
                  </w:pPr>
                  <w:r>
                    <w:rPr>
                      <w:rFonts w:hint="eastAsia"/>
                      <w:color w:val="00B0F0"/>
                      <w:sz w:val="21"/>
                      <w:szCs w:val="21"/>
                    </w:rPr>
                    <w:t>改建、扩建工业项目应采用先进的生产工艺和污染防治技术，</w:t>
                  </w:r>
                </w:p>
                <w:p w14:paraId="72A338D3">
                  <w:pPr>
                    <w:spacing w:line="240" w:lineRule="auto"/>
                    <w:ind w:firstLine="0" w:firstLineChars="0"/>
                    <w:rPr>
                      <w:color w:val="00B0F0"/>
                      <w:sz w:val="21"/>
                      <w:szCs w:val="21"/>
                    </w:rPr>
                  </w:pPr>
                  <w:r>
                    <w:rPr>
                      <w:rFonts w:hint="eastAsia"/>
                      <w:color w:val="00B0F0"/>
                      <w:sz w:val="21"/>
                      <w:szCs w:val="21"/>
                    </w:rPr>
                    <w:t>其清洁生产水平应达到国家清洁生产水平中的先进水平</w:t>
                  </w:r>
                </w:p>
              </w:tc>
              <w:tc>
                <w:tcPr>
                  <w:tcW w:w="2071" w:type="pct"/>
                  <w:vAlign w:val="center"/>
                </w:tcPr>
                <w:p w14:paraId="7591C0CC">
                  <w:pPr>
                    <w:spacing w:line="240" w:lineRule="auto"/>
                    <w:ind w:firstLine="0" w:firstLineChars="0"/>
                    <w:jc w:val="center"/>
                    <w:rPr>
                      <w:color w:val="00B0F0"/>
                      <w:sz w:val="21"/>
                      <w:szCs w:val="21"/>
                    </w:rPr>
                  </w:pPr>
                  <w:r>
                    <w:rPr>
                      <w:rFonts w:hint="eastAsia"/>
                      <w:color w:val="00B0F0"/>
                      <w:sz w:val="21"/>
                      <w:szCs w:val="21"/>
                    </w:rPr>
                    <w:t>项目位于仁德街道中桥社区“多规合一”实用性村庄规划村庄建设边界内，使用地块为工业用地。项目车轮清洗废水沉淀后回用不外排，生活污水经一体化污水处理设备处理后回用于绿化和降尘不外排，初期雨水收集后回用于绿化和降尘不外排。项目采用自动化密闭搅拌成套设备，骨料、矿粉密闭储存输送，配套密闭料棚；供热采用清洁能源，烘干、筛分、搅拌粉尘经布袋除尘器处理，沥青储罐、搅拌主机产生的沥青烟气负压收集后采用电捕焦油器+活性炭吸附组合工艺处理。除尘灰全部回用于生产，废活性炭等危险废物在危废暂存间规范贮存，委托有资质单位处置；厂区落实防渗、初期雨水收集等风险防控措施，污染物可实现达标排放，资源综合利用水平较好，项目清洁生产总体可达到国内清洁生产先进水平。</w:t>
                  </w:r>
                </w:p>
              </w:tc>
              <w:tc>
                <w:tcPr>
                  <w:tcW w:w="556" w:type="pct"/>
                  <w:vMerge w:val="continue"/>
                  <w:vAlign w:val="center"/>
                </w:tcPr>
                <w:p w14:paraId="617540C6">
                  <w:pPr>
                    <w:spacing w:line="240" w:lineRule="auto"/>
                    <w:ind w:firstLine="0" w:firstLineChars="0"/>
                    <w:jc w:val="center"/>
                    <w:rPr>
                      <w:sz w:val="21"/>
                      <w:szCs w:val="21"/>
                    </w:rPr>
                  </w:pPr>
                </w:p>
              </w:tc>
            </w:tr>
          </w:tbl>
          <w:p w14:paraId="4D882732">
            <w:pPr>
              <w:ind w:firstLine="480"/>
              <w:jc w:val="left"/>
              <w:rPr>
                <w:b/>
              </w:rPr>
            </w:pPr>
            <w:r>
              <w:t>综上所述，项目的建设符合</w:t>
            </w:r>
            <w:r>
              <w:rPr>
                <w:lang w:val="zh-CN"/>
              </w:rPr>
              <w:t>《牛栏江流域（寻甸段）水环境保护规划（2011~2030）》</w:t>
            </w:r>
            <w:r>
              <w:rPr>
                <w:rFonts w:hint="eastAsia"/>
                <w:lang w:val="zh-CN"/>
              </w:rPr>
              <w:t>。</w:t>
            </w:r>
          </w:p>
          <w:p w14:paraId="48894375">
            <w:pPr>
              <w:numPr>
                <w:ilvl w:val="0"/>
                <w:numId w:val="3"/>
              </w:numPr>
              <w:ind w:firstLine="0" w:firstLineChars="0"/>
              <w:rPr>
                <w:b/>
                <w:bCs/>
              </w:rPr>
            </w:pPr>
            <w:r>
              <w:rPr>
                <w:rFonts w:hint="eastAsia"/>
                <w:b/>
                <w:bCs/>
              </w:rPr>
              <w:t>与《挥发性有机物治理突出问题排查整治工作要求》符合性分析</w:t>
            </w:r>
          </w:p>
          <w:p w14:paraId="1D981D33">
            <w:pPr>
              <w:ind w:firstLine="0" w:firstLineChars="0"/>
              <w:jc w:val="center"/>
              <w:rPr>
                <w:b/>
                <w:bCs/>
                <w:sz w:val="21"/>
                <w:szCs w:val="21"/>
              </w:rPr>
            </w:pPr>
            <w:r>
              <w:rPr>
                <w:b/>
                <w:bCs/>
                <w:sz w:val="21"/>
                <w:szCs w:val="21"/>
              </w:rPr>
              <w:t>表1-</w:t>
            </w:r>
            <w:r>
              <w:rPr>
                <w:rFonts w:hint="eastAsia"/>
                <w:b/>
                <w:bCs/>
                <w:sz w:val="21"/>
                <w:szCs w:val="21"/>
              </w:rPr>
              <w:t>9</w:t>
            </w:r>
            <w:r>
              <w:rPr>
                <w:b/>
                <w:bCs/>
                <w:sz w:val="21"/>
                <w:szCs w:val="21"/>
              </w:rPr>
              <w:t xml:space="preserve"> </w:t>
            </w:r>
            <w:r>
              <w:rPr>
                <w:rFonts w:hint="eastAsia"/>
                <w:b/>
                <w:bCs/>
                <w:sz w:val="21"/>
                <w:szCs w:val="21"/>
              </w:rPr>
              <w:t xml:space="preserve"> </w:t>
            </w:r>
            <w:r>
              <w:rPr>
                <w:b/>
                <w:bCs/>
                <w:sz w:val="21"/>
                <w:szCs w:val="21"/>
              </w:rPr>
              <w:t>项目与《</w:t>
            </w:r>
            <w:r>
              <w:rPr>
                <w:rFonts w:hint="eastAsia"/>
                <w:b/>
                <w:bCs/>
                <w:sz w:val="21"/>
                <w:szCs w:val="21"/>
              </w:rPr>
              <w:t>挥发性有机物治理突出问题排查整治工作要求</w:t>
            </w:r>
            <w:r>
              <w:rPr>
                <w:b/>
                <w:bCs/>
                <w:sz w:val="21"/>
                <w:szCs w:val="21"/>
              </w:rPr>
              <w:t>》对照分析</w:t>
            </w:r>
          </w:p>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1"/>
              <w:gridCol w:w="4234"/>
              <w:gridCol w:w="2242"/>
              <w:gridCol w:w="721"/>
            </w:tblGrid>
            <w:tr w14:paraId="4A2B9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8" w:type="pct"/>
                  <w:vAlign w:val="center"/>
                </w:tcPr>
                <w:p w14:paraId="0849CC57">
                  <w:pPr>
                    <w:spacing w:line="240" w:lineRule="auto"/>
                    <w:ind w:firstLine="0" w:firstLineChars="0"/>
                    <w:jc w:val="center"/>
                    <w:rPr>
                      <w:b/>
                      <w:bCs/>
                      <w:sz w:val="21"/>
                      <w:szCs w:val="21"/>
                    </w:rPr>
                  </w:pPr>
                  <w:r>
                    <w:rPr>
                      <w:b/>
                      <w:bCs/>
                      <w:sz w:val="21"/>
                      <w:szCs w:val="21"/>
                    </w:rPr>
                    <w:t>序号</w:t>
                  </w:r>
                </w:p>
              </w:tc>
              <w:tc>
                <w:tcPr>
                  <w:tcW w:w="2742" w:type="pct"/>
                  <w:vAlign w:val="center"/>
                </w:tcPr>
                <w:p w14:paraId="609B8A45">
                  <w:pPr>
                    <w:spacing w:line="240" w:lineRule="auto"/>
                    <w:ind w:firstLine="0" w:firstLineChars="0"/>
                    <w:jc w:val="center"/>
                    <w:rPr>
                      <w:b/>
                      <w:bCs/>
                      <w:sz w:val="21"/>
                      <w:szCs w:val="21"/>
                    </w:rPr>
                  </w:pPr>
                  <w:r>
                    <w:rPr>
                      <w:b/>
                      <w:bCs/>
                      <w:sz w:val="21"/>
                      <w:szCs w:val="21"/>
                    </w:rPr>
                    <w:t>《</w:t>
                  </w:r>
                  <w:r>
                    <w:rPr>
                      <w:rFonts w:hint="eastAsia"/>
                      <w:b/>
                      <w:bCs/>
                      <w:sz w:val="21"/>
                      <w:szCs w:val="21"/>
                    </w:rPr>
                    <w:t>挥发性有机物治理突出问题排查整治工作要求</w:t>
                  </w:r>
                  <w:r>
                    <w:rPr>
                      <w:b/>
                      <w:bCs/>
                      <w:sz w:val="21"/>
                      <w:szCs w:val="21"/>
                    </w:rPr>
                    <w:t>》</w:t>
                  </w:r>
                </w:p>
              </w:tc>
              <w:tc>
                <w:tcPr>
                  <w:tcW w:w="1452" w:type="pct"/>
                  <w:vAlign w:val="center"/>
                </w:tcPr>
                <w:p w14:paraId="59B5A992">
                  <w:pPr>
                    <w:spacing w:line="240" w:lineRule="auto"/>
                    <w:ind w:firstLine="0" w:firstLineChars="0"/>
                    <w:jc w:val="center"/>
                    <w:rPr>
                      <w:b/>
                      <w:bCs/>
                      <w:sz w:val="21"/>
                      <w:szCs w:val="21"/>
                    </w:rPr>
                  </w:pPr>
                  <w:r>
                    <w:rPr>
                      <w:b/>
                      <w:bCs/>
                      <w:sz w:val="21"/>
                      <w:szCs w:val="21"/>
                    </w:rPr>
                    <w:t>本项目实际情况</w:t>
                  </w:r>
                </w:p>
              </w:tc>
              <w:tc>
                <w:tcPr>
                  <w:tcW w:w="467" w:type="pct"/>
                  <w:vAlign w:val="center"/>
                </w:tcPr>
                <w:p w14:paraId="447AD647">
                  <w:pPr>
                    <w:spacing w:line="240" w:lineRule="auto"/>
                    <w:ind w:firstLine="0" w:firstLineChars="0"/>
                    <w:jc w:val="center"/>
                    <w:rPr>
                      <w:b/>
                      <w:bCs/>
                      <w:sz w:val="21"/>
                      <w:szCs w:val="21"/>
                    </w:rPr>
                  </w:pPr>
                  <w:r>
                    <w:rPr>
                      <w:b/>
                      <w:bCs/>
                      <w:sz w:val="21"/>
                      <w:szCs w:val="21"/>
                    </w:rPr>
                    <w:t>符合性</w:t>
                  </w:r>
                </w:p>
              </w:tc>
            </w:tr>
            <w:tr w14:paraId="00AA7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338" w:type="pct"/>
                  <w:tcBorders>
                    <w:bottom w:val="single" w:color="auto" w:sz="4" w:space="0"/>
                  </w:tcBorders>
                  <w:vAlign w:val="center"/>
                </w:tcPr>
                <w:p w14:paraId="10BFF8C1">
                  <w:pPr>
                    <w:spacing w:line="240" w:lineRule="auto"/>
                    <w:ind w:firstLine="0" w:firstLineChars="0"/>
                    <w:jc w:val="center"/>
                    <w:rPr>
                      <w:sz w:val="21"/>
                      <w:szCs w:val="21"/>
                    </w:rPr>
                  </w:pPr>
                  <w:r>
                    <w:rPr>
                      <w:sz w:val="21"/>
                      <w:szCs w:val="21"/>
                    </w:rPr>
                    <w:t>1</w:t>
                  </w:r>
                </w:p>
              </w:tc>
              <w:tc>
                <w:tcPr>
                  <w:tcW w:w="2742" w:type="pct"/>
                  <w:tcBorders>
                    <w:bottom w:val="single" w:color="auto" w:sz="4" w:space="0"/>
                  </w:tcBorders>
                  <w:vAlign w:val="center"/>
                </w:tcPr>
                <w:p w14:paraId="053524A7">
                  <w:pPr>
                    <w:spacing w:line="240" w:lineRule="auto"/>
                    <w:ind w:firstLine="0" w:firstLineChars="0"/>
                    <w:jc w:val="left"/>
                    <w:rPr>
                      <w:sz w:val="21"/>
                      <w:szCs w:val="21"/>
                    </w:rPr>
                  </w:pPr>
                  <w:r>
                    <w:rPr>
                      <w:rFonts w:hint="eastAsia"/>
                      <w:sz w:val="21"/>
                      <w:szCs w:val="21"/>
                    </w:rPr>
                    <w:t>一、挥发性有机液体储罐：治理要求。企业应按照标准要求，根据储存挥发性有机液体的真实蒸气压、储罐容积等进行储罐和浮盘边缘密封方式选型。鼓励使用低泄漏的储罐呼吸阀、紧急泄压阀；固定顶罐或建设有机废气治理设施的内浮顶罐宜配备压力监测设备，罐内压力低于50%设计开启压力时，呼吸阀、紧急泄压阀泄漏检测值不宜超过2000umol/mol。充分考虑罐体变形或浮盘损坏、储罐附件破损等异常排放情况，鼓励对废气收集引气装置、处理装置设置冗余负荷；储罐排气回收处理后无法稳定达标排放的，应进一步优化治理设施或实施深度治理；鼓励企业对内浮顶罐排气进行收集处理。储罐罐体应保持完好，不应有孔洞、缝隙（除内浮顶罐边缘通气孔外）；除采样、计量、例行检查、维护和其他正常活动外，储罐附件的开口（孔）应保持密闭。</w:t>
                  </w:r>
                </w:p>
              </w:tc>
              <w:tc>
                <w:tcPr>
                  <w:tcW w:w="1452" w:type="pct"/>
                  <w:tcBorders>
                    <w:bottom w:val="single" w:color="auto" w:sz="4" w:space="0"/>
                  </w:tcBorders>
                  <w:vAlign w:val="center"/>
                </w:tcPr>
                <w:p w14:paraId="3ABEACF0">
                  <w:pPr>
                    <w:spacing w:line="240" w:lineRule="auto"/>
                    <w:ind w:firstLine="0" w:firstLineChars="0"/>
                    <w:rPr>
                      <w:sz w:val="21"/>
                      <w:szCs w:val="21"/>
                    </w:rPr>
                  </w:pPr>
                  <w:r>
                    <w:rPr>
                      <w:rFonts w:hint="eastAsia"/>
                      <w:sz w:val="21"/>
                      <w:szCs w:val="21"/>
                    </w:rPr>
                    <w:t>项目为沥青混凝土生产，项目对含VOCs物料（基质沥青）储存在储罐中，物料的转移、输送过程中均采用密闭设施，从源实施管控；</w:t>
                  </w:r>
                </w:p>
                <w:p w14:paraId="2F08FD82">
                  <w:pPr>
                    <w:spacing w:line="240" w:lineRule="auto"/>
                    <w:ind w:firstLine="0" w:firstLineChars="0"/>
                    <w:rPr>
                      <w:sz w:val="21"/>
                      <w:szCs w:val="21"/>
                    </w:rPr>
                  </w:pPr>
                  <w:r>
                    <w:rPr>
                      <w:rFonts w:hint="eastAsia"/>
                      <w:sz w:val="21"/>
                      <w:szCs w:val="21"/>
                    </w:rPr>
                    <w:t>根据后文计算，项目主要在沥青加热、搅拌、出料过程产生废气，沥青储存时罐体为封闭，不加热情况基本不会挥发，本次不考虑设置胶罐废气收集装置。</w:t>
                  </w:r>
                </w:p>
              </w:tc>
              <w:tc>
                <w:tcPr>
                  <w:tcW w:w="467" w:type="pct"/>
                  <w:tcBorders>
                    <w:bottom w:val="single" w:color="auto" w:sz="4" w:space="0"/>
                  </w:tcBorders>
                  <w:vAlign w:val="center"/>
                </w:tcPr>
                <w:p w14:paraId="4899A7CF">
                  <w:pPr>
                    <w:spacing w:line="240" w:lineRule="auto"/>
                    <w:ind w:firstLine="0" w:firstLineChars="0"/>
                    <w:jc w:val="center"/>
                    <w:rPr>
                      <w:sz w:val="21"/>
                      <w:szCs w:val="21"/>
                    </w:rPr>
                  </w:pPr>
                  <w:r>
                    <w:rPr>
                      <w:sz w:val="21"/>
                      <w:szCs w:val="21"/>
                    </w:rPr>
                    <w:t>符合</w:t>
                  </w:r>
                </w:p>
              </w:tc>
            </w:tr>
            <w:tr w14:paraId="2E8F1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trPr>
              <w:tc>
                <w:tcPr>
                  <w:tcW w:w="338" w:type="pct"/>
                  <w:vAlign w:val="center"/>
                </w:tcPr>
                <w:p w14:paraId="6C3BCB4E">
                  <w:pPr>
                    <w:spacing w:line="240" w:lineRule="auto"/>
                    <w:ind w:firstLine="0" w:firstLineChars="0"/>
                    <w:jc w:val="center"/>
                    <w:rPr>
                      <w:sz w:val="21"/>
                      <w:szCs w:val="21"/>
                    </w:rPr>
                  </w:pPr>
                  <w:r>
                    <w:rPr>
                      <w:rFonts w:hint="eastAsia"/>
                      <w:sz w:val="21"/>
                      <w:szCs w:val="21"/>
                    </w:rPr>
                    <w:t>2</w:t>
                  </w:r>
                </w:p>
              </w:tc>
              <w:tc>
                <w:tcPr>
                  <w:tcW w:w="2742" w:type="pct"/>
                  <w:vAlign w:val="center"/>
                </w:tcPr>
                <w:p w14:paraId="6E58BC0C">
                  <w:pPr>
                    <w:spacing w:line="240" w:lineRule="auto"/>
                    <w:ind w:firstLine="0" w:firstLineChars="0"/>
                    <w:jc w:val="left"/>
                    <w:rPr>
                      <w:sz w:val="21"/>
                      <w:szCs w:val="21"/>
                    </w:rPr>
                  </w:pPr>
                  <w:r>
                    <w:rPr>
                      <w:rFonts w:hint="eastAsia"/>
                      <w:sz w:val="21"/>
                      <w:szCs w:val="21"/>
                    </w:rPr>
                    <w:t>二、挥发性有机液体装卸：治理要求。汽车罐车按照标准采用适宜的装载方式，推广采用密封式快速接头等。</w:t>
                  </w:r>
                </w:p>
              </w:tc>
              <w:tc>
                <w:tcPr>
                  <w:tcW w:w="1452" w:type="pct"/>
                  <w:vAlign w:val="center"/>
                </w:tcPr>
                <w:p w14:paraId="3F4D30E4">
                  <w:pPr>
                    <w:spacing w:line="240" w:lineRule="auto"/>
                    <w:ind w:firstLine="0" w:firstLineChars="0"/>
                    <w:jc w:val="center"/>
                    <w:rPr>
                      <w:sz w:val="21"/>
                      <w:szCs w:val="21"/>
                    </w:rPr>
                  </w:pPr>
                  <w:r>
                    <w:rPr>
                      <w:rFonts w:hint="eastAsia"/>
                      <w:sz w:val="21"/>
                      <w:szCs w:val="21"/>
                    </w:rPr>
                    <w:t>项目沥青等物料装卸按照标准要求采用密封快速接头方式进行装卸。</w:t>
                  </w:r>
                </w:p>
              </w:tc>
              <w:tc>
                <w:tcPr>
                  <w:tcW w:w="467" w:type="pct"/>
                  <w:vAlign w:val="center"/>
                </w:tcPr>
                <w:p w14:paraId="3FF96CFA">
                  <w:pPr>
                    <w:spacing w:line="240" w:lineRule="auto"/>
                    <w:ind w:firstLine="0" w:firstLineChars="0"/>
                    <w:jc w:val="center"/>
                    <w:rPr>
                      <w:sz w:val="21"/>
                      <w:szCs w:val="21"/>
                    </w:rPr>
                  </w:pPr>
                  <w:r>
                    <w:rPr>
                      <w:sz w:val="21"/>
                      <w:szCs w:val="21"/>
                    </w:rPr>
                    <w:t>符合</w:t>
                  </w:r>
                </w:p>
              </w:tc>
            </w:tr>
            <w:tr w14:paraId="5FE9B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38" w:type="pct"/>
                  <w:vAlign w:val="center"/>
                </w:tcPr>
                <w:p w14:paraId="6D8607B7">
                  <w:pPr>
                    <w:spacing w:line="240" w:lineRule="auto"/>
                    <w:ind w:firstLine="0" w:firstLineChars="0"/>
                    <w:jc w:val="center"/>
                    <w:rPr>
                      <w:sz w:val="21"/>
                      <w:szCs w:val="21"/>
                    </w:rPr>
                  </w:pPr>
                  <w:r>
                    <w:rPr>
                      <w:rFonts w:hint="eastAsia"/>
                      <w:sz w:val="21"/>
                      <w:szCs w:val="21"/>
                    </w:rPr>
                    <w:t>3</w:t>
                  </w:r>
                </w:p>
              </w:tc>
              <w:tc>
                <w:tcPr>
                  <w:tcW w:w="2742" w:type="pct"/>
                  <w:vAlign w:val="center"/>
                </w:tcPr>
                <w:p w14:paraId="22D037CA">
                  <w:pPr>
                    <w:spacing w:line="240" w:lineRule="auto"/>
                    <w:ind w:firstLine="0" w:firstLineChars="0"/>
                    <w:jc w:val="left"/>
                    <w:rPr>
                      <w:sz w:val="21"/>
                      <w:szCs w:val="21"/>
                    </w:rPr>
                  </w:pPr>
                  <w:r>
                    <w:rPr>
                      <w:rFonts w:hint="eastAsia"/>
                      <w:sz w:val="21"/>
                      <w:szCs w:val="21"/>
                    </w:rPr>
                    <w:t>三、敞开液面逸散：治理要求。其他行业根据标准要求检测敞开液面上方VOCs浓度，确定是否采取密闭收集措施。通过采取密闭管道等措施逐步替代地漏、沟、渠、井等敞开式集输方式，减少集水井、含油污水池数量。池体密闭后保持微负压状态，可采用U型管或密封膜现场检测方法排查池体内部负压情况，密封效果差的加快整治。低浓度VOCs废气收集处理，确保达标排放。</w:t>
                  </w:r>
                </w:p>
              </w:tc>
              <w:tc>
                <w:tcPr>
                  <w:tcW w:w="1452" w:type="pct"/>
                  <w:vAlign w:val="center"/>
                </w:tcPr>
                <w:p w14:paraId="2C27791B">
                  <w:pPr>
                    <w:spacing w:line="240" w:lineRule="auto"/>
                    <w:ind w:firstLine="0" w:firstLineChars="0"/>
                    <w:jc w:val="center"/>
                    <w:rPr>
                      <w:sz w:val="21"/>
                      <w:szCs w:val="21"/>
                    </w:rPr>
                  </w:pPr>
                  <w:r>
                    <w:rPr>
                      <w:rFonts w:hint="eastAsia"/>
                      <w:sz w:val="21"/>
                      <w:szCs w:val="21"/>
                    </w:rPr>
                    <w:t>项目物料的转移、输送过程中均采用密闭设施。项目不涉及敞开液面逸散行为。</w:t>
                  </w:r>
                </w:p>
              </w:tc>
              <w:tc>
                <w:tcPr>
                  <w:tcW w:w="467" w:type="pct"/>
                  <w:vAlign w:val="center"/>
                </w:tcPr>
                <w:p w14:paraId="35591A81">
                  <w:pPr>
                    <w:spacing w:line="240" w:lineRule="auto"/>
                    <w:ind w:firstLine="0" w:firstLineChars="0"/>
                    <w:jc w:val="center"/>
                    <w:rPr>
                      <w:sz w:val="21"/>
                      <w:szCs w:val="21"/>
                    </w:rPr>
                  </w:pPr>
                  <w:r>
                    <w:rPr>
                      <w:sz w:val="21"/>
                      <w:szCs w:val="21"/>
                    </w:rPr>
                    <w:t>符合</w:t>
                  </w:r>
                </w:p>
              </w:tc>
            </w:tr>
            <w:tr w14:paraId="25B4A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trPr>
              <w:tc>
                <w:tcPr>
                  <w:tcW w:w="338" w:type="pct"/>
                  <w:vAlign w:val="center"/>
                </w:tcPr>
                <w:p w14:paraId="72202601">
                  <w:pPr>
                    <w:spacing w:line="240" w:lineRule="auto"/>
                    <w:ind w:firstLine="0" w:firstLineChars="0"/>
                    <w:jc w:val="center"/>
                    <w:rPr>
                      <w:sz w:val="21"/>
                      <w:szCs w:val="21"/>
                    </w:rPr>
                  </w:pPr>
                  <w:r>
                    <w:rPr>
                      <w:rFonts w:hint="eastAsia"/>
                      <w:sz w:val="21"/>
                      <w:szCs w:val="21"/>
                    </w:rPr>
                    <w:t>4</w:t>
                  </w:r>
                </w:p>
              </w:tc>
              <w:tc>
                <w:tcPr>
                  <w:tcW w:w="2742" w:type="pct"/>
                  <w:vAlign w:val="center"/>
                </w:tcPr>
                <w:p w14:paraId="63C18168">
                  <w:pPr>
                    <w:spacing w:line="240" w:lineRule="auto"/>
                    <w:ind w:firstLine="0" w:firstLineChars="0"/>
                    <w:jc w:val="left"/>
                    <w:rPr>
                      <w:sz w:val="21"/>
                      <w:szCs w:val="21"/>
                    </w:rPr>
                  </w:pPr>
                  <w:r>
                    <w:rPr>
                      <w:rFonts w:hint="eastAsia"/>
                      <w:sz w:val="21"/>
                      <w:szCs w:val="21"/>
                    </w:rPr>
                    <w:t>四、泄漏检测与修复：治理要求。石油炼制、石油化工、合成树脂行业所有企业都应开展LDAR工作；其他行业企业中载有气态、液态VOCs物料的设备与管线组件密封点大于等于2000个的，应开展LDAR工作。要将VOCs收集管道、治理设施和与储罐连接的密封点纳入检测范围。按照相关技术规范要求，开展泄漏检测、修复、质量控制、记录管理等工作。</w:t>
                  </w:r>
                </w:p>
              </w:tc>
              <w:tc>
                <w:tcPr>
                  <w:tcW w:w="1452" w:type="pct"/>
                  <w:vAlign w:val="center"/>
                </w:tcPr>
                <w:p w14:paraId="2D0E5923">
                  <w:pPr>
                    <w:spacing w:line="240" w:lineRule="auto"/>
                    <w:ind w:firstLine="0" w:firstLineChars="0"/>
                    <w:jc w:val="center"/>
                    <w:rPr>
                      <w:sz w:val="21"/>
                      <w:szCs w:val="21"/>
                    </w:rPr>
                  </w:pPr>
                  <w:r>
                    <w:rPr>
                      <w:rFonts w:hint="eastAsia"/>
                      <w:sz w:val="21"/>
                      <w:szCs w:val="21"/>
                    </w:rPr>
                    <w:t>项目为沥青混凝土生产，不属于石油炼制、石油化工、合成树脂等行业。对含VOCs物料（基质沥青、柴油）储存在储罐中，物料的转移、输送过程中均采用密闭设施，不考虑LDAR工作。</w:t>
                  </w:r>
                </w:p>
              </w:tc>
              <w:tc>
                <w:tcPr>
                  <w:tcW w:w="467" w:type="pct"/>
                  <w:vAlign w:val="center"/>
                </w:tcPr>
                <w:p w14:paraId="036A8572">
                  <w:pPr>
                    <w:spacing w:line="240" w:lineRule="auto"/>
                    <w:ind w:firstLine="0" w:firstLineChars="0"/>
                    <w:jc w:val="center"/>
                    <w:rPr>
                      <w:sz w:val="21"/>
                      <w:szCs w:val="21"/>
                    </w:rPr>
                  </w:pPr>
                  <w:r>
                    <w:rPr>
                      <w:sz w:val="21"/>
                      <w:szCs w:val="21"/>
                    </w:rPr>
                    <w:t>符合</w:t>
                  </w:r>
                </w:p>
              </w:tc>
            </w:tr>
            <w:tr w14:paraId="7F65F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trPr>
              <w:tc>
                <w:tcPr>
                  <w:tcW w:w="338" w:type="pct"/>
                  <w:vAlign w:val="center"/>
                </w:tcPr>
                <w:p w14:paraId="1002CE93">
                  <w:pPr>
                    <w:spacing w:line="240" w:lineRule="auto"/>
                    <w:ind w:firstLine="0" w:firstLineChars="0"/>
                    <w:jc w:val="center"/>
                    <w:rPr>
                      <w:sz w:val="21"/>
                      <w:szCs w:val="21"/>
                    </w:rPr>
                  </w:pPr>
                  <w:r>
                    <w:rPr>
                      <w:rFonts w:hint="eastAsia"/>
                      <w:sz w:val="21"/>
                      <w:szCs w:val="21"/>
                    </w:rPr>
                    <w:t>5</w:t>
                  </w:r>
                </w:p>
              </w:tc>
              <w:tc>
                <w:tcPr>
                  <w:tcW w:w="2742" w:type="pct"/>
                  <w:vAlign w:val="center"/>
                </w:tcPr>
                <w:p w14:paraId="27E02BFD">
                  <w:pPr>
                    <w:spacing w:line="240" w:lineRule="auto"/>
                    <w:ind w:firstLine="0" w:firstLineChars="0"/>
                    <w:jc w:val="left"/>
                    <w:rPr>
                      <w:sz w:val="21"/>
                      <w:szCs w:val="21"/>
                    </w:rPr>
                  </w:pPr>
                  <w:r>
                    <w:rPr>
                      <w:rFonts w:hint="eastAsia"/>
                      <w:sz w:val="21"/>
                      <w:szCs w:val="21"/>
                    </w:rPr>
                    <w:t>五、废气收集设施：治理要求。产生VOCs的生产环节优先采用密闭设备、在密闭空间中操作或采用全密闭集气罩收集方式，并保持负压运行。无尘等级要求车间需设置成正压的，宜建设内层正压、外层微负压的双层整体密闭收集空间。对采用局部收集方式的企业，距废气收集系统排风罩开口面最远处的VOCs无组织排放位置控制风速不低于0.3m/s；推广以生产线或设备为单位设置隔间，收集风量应确保隔间保持微负压。当废气产生点较多、彼此距离较远时，在满足设计规范、风压平衡的基础上，适当分设多套收集系统或中继风机。废气收集系统的输送管道应密闭、无破损。含VOCs物料输送原则上采用重力流或泵送方式；有机液体进料鼓励采用底部、浸入管给料方式；固体物料投加逐步推进采用密闭式投料装置。使用VOCs质量占比大于等于10%的涂料、油墨、胶粘剂、稀释剂、清洗剂等物料存储、调配、转移、输送等环节应密闭。</w:t>
                  </w:r>
                </w:p>
              </w:tc>
              <w:tc>
                <w:tcPr>
                  <w:tcW w:w="1452" w:type="pct"/>
                  <w:vAlign w:val="center"/>
                </w:tcPr>
                <w:p w14:paraId="1381AB87">
                  <w:pPr>
                    <w:spacing w:line="240" w:lineRule="auto"/>
                    <w:ind w:firstLine="0" w:firstLineChars="0"/>
                    <w:jc w:val="center"/>
                    <w:rPr>
                      <w:sz w:val="21"/>
                      <w:szCs w:val="21"/>
                    </w:rPr>
                  </w:pPr>
                  <w:r>
                    <w:rPr>
                      <w:rFonts w:hint="eastAsia"/>
                      <w:sz w:val="21"/>
                      <w:szCs w:val="21"/>
                    </w:rPr>
                    <w:t>项目生产中在沥青加热、搅拌、出料过程会产生废气，产生废气通过电捕焦油器+三级活性炭吸附装置处理达标后由15m高的排气筒（DA003）排放，本次沥青储罐及搅拌缸均为密封装置，出料口设置感应式卷帘门，成品出料时全封闭作业，微负压收集出料废气，风速约9.3m/s。</w:t>
                  </w:r>
                </w:p>
              </w:tc>
              <w:tc>
                <w:tcPr>
                  <w:tcW w:w="467" w:type="pct"/>
                  <w:vAlign w:val="center"/>
                </w:tcPr>
                <w:p w14:paraId="78BDB7B5">
                  <w:pPr>
                    <w:spacing w:line="240" w:lineRule="auto"/>
                    <w:ind w:firstLine="0" w:firstLineChars="0"/>
                    <w:jc w:val="center"/>
                    <w:rPr>
                      <w:sz w:val="21"/>
                      <w:szCs w:val="21"/>
                    </w:rPr>
                  </w:pPr>
                  <w:r>
                    <w:rPr>
                      <w:sz w:val="21"/>
                      <w:szCs w:val="21"/>
                    </w:rPr>
                    <w:t>符合</w:t>
                  </w:r>
                </w:p>
              </w:tc>
            </w:tr>
            <w:tr w14:paraId="559B9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338" w:type="pct"/>
                  <w:vAlign w:val="center"/>
                </w:tcPr>
                <w:p w14:paraId="1944923A">
                  <w:pPr>
                    <w:spacing w:line="240" w:lineRule="auto"/>
                    <w:ind w:firstLine="0" w:firstLineChars="0"/>
                    <w:jc w:val="center"/>
                    <w:rPr>
                      <w:sz w:val="21"/>
                      <w:szCs w:val="21"/>
                    </w:rPr>
                  </w:pPr>
                  <w:r>
                    <w:rPr>
                      <w:rFonts w:hint="eastAsia"/>
                      <w:sz w:val="21"/>
                      <w:szCs w:val="21"/>
                    </w:rPr>
                    <w:t>6</w:t>
                  </w:r>
                </w:p>
              </w:tc>
              <w:tc>
                <w:tcPr>
                  <w:tcW w:w="2742" w:type="pct"/>
                  <w:vAlign w:val="center"/>
                </w:tcPr>
                <w:p w14:paraId="5895C1D6">
                  <w:pPr>
                    <w:spacing w:line="240" w:lineRule="auto"/>
                    <w:ind w:firstLine="0" w:firstLineChars="0"/>
                    <w:jc w:val="left"/>
                    <w:rPr>
                      <w:sz w:val="21"/>
                      <w:szCs w:val="21"/>
                    </w:rPr>
                  </w:pPr>
                  <w:r>
                    <w:rPr>
                      <w:rFonts w:hint="eastAsia"/>
                      <w:sz w:val="21"/>
                      <w:szCs w:val="21"/>
                    </w:rPr>
                    <w:t>七、有机废气治理设施：治理要求。新建治理设施或对现有治理设施实施改造，应依据排放废气特征、VOCs组分及浓度、生产工况等，合理选择治理技术；对治理难度大、单一治理工艺难以稳定达标的，宜采用多种技术的组合工艺；除恶臭异味治理外，一般不使用低温等离子、光催化、光氧化等技术。</w:t>
                  </w:r>
                </w:p>
                <w:p w14:paraId="46FCDE78">
                  <w:pPr>
                    <w:spacing w:line="240" w:lineRule="auto"/>
                    <w:ind w:firstLine="0" w:firstLineChars="0"/>
                    <w:jc w:val="left"/>
                    <w:rPr>
                      <w:sz w:val="21"/>
                      <w:szCs w:val="21"/>
                    </w:rPr>
                  </w:pPr>
                  <w:r>
                    <w:rPr>
                      <w:rFonts w:hint="eastAsia"/>
                      <w:sz w:val="21"/>
                      <w:szCs w:val="21"/>
                    </w:rPr>
                    <w:t>加强运行维护管理，做到治理设施较生产设备“先启后停”，在治理设施达到正常运行条件后方可启动生产设备，在生产设备停止、残留VOCs废气收集处理完毕后，方可停运治理设施；及时清理、更换吸附剂等治理设施耗材，确保设施能够稳定高效运行；做好生产设备和治理设施启停机时间、检维修情况、治理设施耗材维护更换、处置情况等台账记录；对于VOCs治理设施产生的废吸附剂等，应及时清运，属于危险废物的应交有资质的单位处理处置。</w:t>
                  </w:r>
                </w:p>
                <w:p w14:paraId="3FC741CB">
                  <w:pPr>
                    <w:spacing w:line="240" w:lineRule="auto"/>
                    <w:ind w:firstLine="0" w:firstLineChars="0"/>
                    <w:jc w:val="left"/>
                    <w:rPr>
                      <w:sz w:val="21"/>
                      <w:szCs w:val="21"/>
                    </w:rPr>
                  </w:pPr>
                  <w:r>
                    <w:rPr>
                      <w:rFonts w:hint="eastAsia"/>
                      <w:sz w:val="21"/>
                      <w:szCs w:val="21"/>
                    </w:rPr>
                    <w:t>采用活性炭吸附工艺的企业，应根据废气排放特征，按照相关工程技术规范设计净化工艺和设备，使废气在吸附装置中有足够的停留时间，选择符合相关产品质量标准的活性炭，并足额充填、及时更换。采用颗粒活性炭作为吸附剂时，其碘值不宜低于800mg/g；采用蜂窝活性炭作为吸附剂时，其碘值不宜低于650mg/g；采用活性炭纤维作为吸附剂时，其比表面积不低于1100m</w:t>
                  </w:r>
                  <w:r>
                    <w:rPr>
                      <w:rFonts w:hint="eastAsia"/>
                      <w:sz w:val="21"/>
                      <w:szCs w:val="21"/>
                      <w:vertAlign w:val="superscript"/>
                    </w:rPr>
                    <w:t>2</w:t>
                  </w:r>
                  <w:r>
                    <w:rPr>
                      <w:rFonts w:hint="eastAsia"/>
                      <w:sz w:val="21"/>
                      <w:szCs w:val="21"/>
                    </w:rPr>
                    <w:t>/g（BET法）。一次性活性炭吸附工艺宜采用颗粒活性炭作为吸附剂。活性炭、活性炭纤维产品销售时应提供产品质量证明材料。</w:t>
                  </w:r>
                </w:p>
              </w:tc>
              <w:tc>
                <w:tcPr>
                  <w:tcW w:w="1452" w:type="pct"/>
                  <w:vAlign w:val="center"/>
                </w:tcPr>
                <w:p w14:paraId="37BEAEE8">
                  <w:pPr>
                    <w:spacing w:line="240" w:lineRule="auto"/>
                    <w:ind w:firstLine="0" w:firstLineChars="0"/>
                    <w:jc w:val="center"/>
                    <w:rPr>
                      <w:sz w:val="21"/>
                      <w:szCs w:val="21"/>
                    </w:rPr>
                  </w:pPr>
                  <w:r>
                    <w:rPr>
                      <w:rFonts w:hint="eastAsia"/>
                      <w:sz w:val="21"/>
                      <w:szCs w:val="21"/>
                    </w:rPr>
                    <w:t>项目生产中在沥青加热、搅拌、出料过程会产生废气，产生废气通过电捕焦油器+三级活性炭</w:t>
                  </w:r>
                  <w:r>
                    <w:rPr>
                      <w:rFonts w:hint="eastAsia"/>
                      <w:color w:val="000000" w:themeColor="text1"/>
                      <w:sz w:val="21"/>
                      <w:szCs w:val="21"/>
                      <w14:textFill>
                        <w14:solidFill>
                          <w14:schemeClr w14:val="tx1"/>
                        </w14:solidFill>
                      </w14:textFill>
                    </w:rPr>
                    <w:t>吸附装置处理达标后由15m高</w:t>
                  </w:r>
                  <w:r>
                    <w:rPr>
                      <w:rFonts w:hint="eastAsia"/>
                      <w:sz w:val="21"/>
                      <w:szCs w:val="21"/>
                    </w:rPr>
                    <w:t>的排气筒（DA003）排放，出料口设置感应式卷帘门，成品出料时全封闭作业，微负压收集出料废气。项目设置三级活性炭保证废气在吸附装置中有足够停留时间，拟采用蜂窝活性炭（碘吸附值不低于650mg/g），项目建成后购买正规厂家活性炭并提供产品质量证明材料。项目有机废气处理过程产生废活性炭经收集后及时委托有资质单位清运处置，不在项目内长时间暂存。</w:t>
                  </w:r>
                </w:p>
              </w:tc>
              <w:tc>
                <w:tcPr>
                  <w:tcW w:w="467" w:type="pct"/>
                  <w:vAlign w:val="center"/>
                </w:tcPr>
                <w:p w14:paraId="132EF5F6">
                  <w:pPr>
                    <w:spacing w:line="240" w:lineRule="auto"/>
                    <w:ind w:firstLine="0" w:firstLineChars="0"/>
                    <w:jc w:val="center"/>
                    <w:rPr>
                      <w:sz w:val="21"/>
                      <w:szCs w:val="21"/>
                    </w:rPr>
                  </w:pPr>
                  <w:r>
                    <w:rPr>
                      <w:sz w:val="21"/>
                      <w:szCs w:val="21"/>
                    </w:rPr>
                    <w:t>符合</w:t>
                  </w:r>
                </w:p>
              </w:tc>
            </w:tr>
            <w:tr w14:paraId="53092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trPr>
              <w:tc>
                <w:tcPr>
                  <w:tcW w:w="338" w:type="pct"/>
                  <w:vAlign w:val="center"/>
                </w:tcPr>
                <w:p w14:paraId="314899F7">
                  <w:pPr>
                    <w:spacing w:line="240" w:lineRule="auto"/>
                    <w:ind w:firstLine="0" w:firstLineChars="0"/>
                    <w:jc w:val="center"/>
                    <w:rPr>
                      <w:sz w:val="21"/>
                      <w:szCs w:val="21"/>
                    </w:rPr>
                  </w:pPr>
                  <w:r>
                    <w:rPr>
                      <w:rFonts w:hint="eastAsia"/>
                      <w:sz w:val="21"/>
                      <w:szCs w:val="21"/>
                    </w:rPr>
                    <w:t>7</w:t>
                  </w:r>
                </w:p>
              </w:tc>
              <w:tc>
                <w:tcPr>
                  <w:tcW w:w="2742" w:type="pct"/>
                  <w:vAlign w:val="center"/>
                </w:tcPr>
                <w:p w14:paraId="2109D47F">
                  <w:pPr>
                    <w:spacing w:line="240" w:lineRule="auto"/>
                    <w:ind w:firstLine="0" w:firstLineChars="0"/>
                    <w:jc w:val="left"/>
                    <w:rPr>
                      <w:sz w:val="21"/>
                      <w:szCs w:val="21"/>
                    </w:rPr>
                  </w:pPr>
                  <w:r>
                    <w:rPr>
                      <w:rFonts w:hint="eastAsia"/>
                      <w:sz w:val="21"/>
                      <w:szCs w:val="21"/>
                    </w:rPr>
                    <w:t>九、非正常工况：治理要求。企业开停工、检维修期间，退料、清洗、吹扫等作业产生的VOCs废气应及时收集处理，确保满足标准要求。在停工检维修阶段，环保装置、气柜、火炬等应在生产装置开车前完成检维修。企业检维修期间，当地生态环境部门可利用走航、网格化监测等方式加强监管，必要时可实施驻厂监管。石化、化工企业应加强可燃性气体的回收，火炬燃烧装置一般只用于应急处置，不作为日常大气污染处理设施；企业应按标准要求在火炬系统安装温度监控、废气流量计、助燃气体流量计等，鼓励安装热值检测仪；火炬排放废气热值达不到要求时应及时补充助燃气体。</w:t>
                  </w:r>
                </w:p>
              </w:tc>
              <w:tc>
                <w:tcPr>
                  <w:tcW w:w="1452" w:type="pct"/>
                  <w:vAlign w:val="center"/>
                </w:tcPr>
                <w:p w14:paraId="72C16860">
                  <w:pPr>
                    <w:spacing w:line="240" w:lineRule="auto"/>
                    <w:ind w:firstLine="0" w:firstLineChars="0"/>
                    <w:rPr>
                      <w:sz w:val="21"/>
                      <w:szCs w:val="21"/>
                    </w:rPr>
                  </w:pPr>
                  <w:r>
                    <w:rPr>
                      <w:rFonts w:hint="eastAsia"/>
                      <w:sz w:val="21"/>
                      <w:szCs w:val="21"/>
                    </w:rPr>
                    <w:t>项目生产中在沥青加热、搅拌、出料过程会产生废气，产生废气通过电</w:t>
                  </w:r>
                  <w:r>
                    <w:rPr>
                      <w:rFonts w:hint="eastAsia"/>
                      <w:color w:val="000000" w:themeColor="text1"/>
                      <w:sz w:val="21"/>
                      <w:szCs w:val="21"/>
                      <w14:textFill>
                        <w14:solidFill>
                          <w14:schemeClr w14:val="tx1"/>
                        </w14:solidFill>
                      </w14:textFill>
                    </w:rPr>
                    <w:t>捕焦油器+三级活性炭吸附装置处理达标后由15m高的排气筒（DA003）排放，出料口设置感应式卷帘门，成品出料时</w:t>
                  </w:r>
                  <w:r>
                    <w:rPr>
                      <w:rFonts w:hint="eastAsia"/>
                      <w:sz w:val="21"/>
                      <w:szCs w:val="21"/>
                    </w:rPr>
                    <w:t>全封闭作业，微负压收集出料废气。因环保措施失效、检修、更换吸附材料时，企业停止生产，确保环保措施正常运行后可恢复生产。</w:t>
                  </w:r>
                </w:p>
              </w:tc>
              <w:tc>
                <w:tcPr>
                  <w:tcW w:w="467" w:type="pct"/>
                  <w:vAlign w:val="center"/>
                </w:tcPr>
                <w:p w14:paraId="75005684">
                  <w:pPr>
                    <w:spacing w:line="240" w:lineRule="auto"/>
                    <w:ind w:firstLine="0" w:firstLineChars="0"/>
                    <w:jc w:val="center"/>
                    <w:rPr>
                      <w:sz w:val="21"/>
                      <w:szCs w:val="21"/>
                    </w:rPr>
                  </w:pPr>
                  <w:r>
                    <w:rPr>
                      <w:rFonts w:hint="eastAsia"/>
                      <w:sz w:val="21"/>
                      <w:szCs w:val="21"/>
                    </w:rPr>
                    <w:t>符合</w:t>
                  </w:r>
                </w:p>
              </w:tc>
            </w:tr>
            <w:tr w14:paraId="22C38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trPr>
              <w:tc>
                <w:tcPr>
                  <w:tcW w:w="338" w:type="pct"/>
                  <w:vAlign w:val="center"/>
                </w:tcPr>
                <w:p w14:paraId="2056544E">
                  <w:pPr>
                    <w:spacing w:line="240" w:lineRule="auto"/>
                    <w:ind w:firstLine="0" w:firstLineChars="0"/>
                    <w:jc w:val="center"/>
                    <w:rPr>
                      <w:sz w:val="21"/>
                      <w:szCs w:val="21"/>
                    </w:rPr>
                  </w:pPr>
                  <w:r>
                    <w:rPr>
                      <w:rFonts w:hint="eastAsia"/>
                      <w:sz w:val="21"/>
                      <w:szCs w:val="21"/>
                    </w:rPr>
                    <w:t>8</w:t>
                  </w:r>
                </w:p>
              </w:tc>
              <w:tc>
                <w:tcPr>
                  <w:tcW w:w="2742" w:type="pct"/>
                  <w:vAlign w:val="center"/>
                </w:tcPr>
                <w:p w14:paraId="60D8E403">
                  <w:pPr>
                    <w:spacing w:line="240" w:lineRule="auto"/>
                    <w:ind w:firstLine="0" w:firstLineChars="0"/>
                    <w:jc w:val="left"/>
                    <w:rPr>
                      <w:sz w:val="21"/>
                      <w:szCs w:val="21"/>
                    </w:rPr>
                  </w:pPr>
                  <w:r>
                    <w:rPr>
                      <w:rFonts w:hint="eastAsia"/>
                      <w:sz w:val="21"/>
                      <w:szCs w:val="21"/>
                    </w:rPr>
                    <w:t>十、产品VOCs含量：治理要求。工业涂装、包装印刷、鞋革箱包制造、竹木制品、电子等重点行业要加大低（无）VOCs含量原辅材料的源头替代力度，加强成熟技术替代品的应用。涂料、油墨、胶粘剂、清洗剂等生产企业在产品出厂时应配有产品标签，注明产品名称、使用领域、施工配比以及VOCs含量等信息，提供载有详细技术信息的产品技术说明书或者产品安全数据表。含VOCs产品使用量大的国企、政府投资建设工程承建单位要自行或委托社会化检测机构进行抽检，鼓励其他企业主动委托社会化检测机构进行抽检。</w:t>
                  </w:r>
                </w:p>
              </w:tc>
              <w:tc>
                <w:tcPr>
                  <w:tcW w:w="1452" w:type="pct"/>
                  <w:vAlign w:val="center"/>
                </w:tcPr>
                <w:p w14:paraId="508BFDD9">
                  <w:pPr>
                    <w:spacing w:line="240" w:lineRule="auto"/>
                    <w:ind w:firstLine="0" w:firstLineChars="0"/>
                    <w:jc w:val="center"/>
                    <w:rPr>
                      <w:sz w:val="21"/>
                      <w:szCs w:val="21"/>
                    </w:rPr>
                  </w:pPr>
                  <w:r>
                    <w:rPr>
                      <w:rFonts w:hint="eastAsia"/>
                      <w:sz w:val="21"/>
                      <w:szCs w:val="21"/>
                    </w:rPr>
                    <w:t>项目为沥青混凝土生产，项目对含VOCs物料（基质沥青）储存在储罐中，物料的转移、输送过程中均采用密闭设施。</w:t>
                  </w:r>
                </w:p>
              </w:tc>
              <w:tc>
                <w:tcPr>
                  <w:tcW w:w="467" w:type="pct"/>
                  <w:vAlign w:val="center"/>
                </w:tcPr>
                <w:p w14:paraId="1BEF78E9">
                  <w:pPr>
                    <w:spacing w:line="240" w:lineRule="auto"/>
                    <w:ind w:firstLine="0" w:firstLineChars="0"/>
                    <w:jc w:val="center"/>
                    <w:rPr>
                      <w:sz w:val="21"/>
                      <w:szCs w:val="21"/>
                    </w:rPr>
                  </w:pPr>
                  <w:r>
                    <w:rPr>
                      <w:rFonts w:hint="eastAsia"/>
                      <w:sz w:val="21"/>
                      <w:szCs w:val="21"/>
                    </w:rPr>
                    <w:t>符合</w:t>
                  </w:r>
                </w:p>
              </w:tc>
            </w:tr>
          </w:tbl>
          <w:p w14:paraId="598ACA3E">
            <w:pPr>
              <w:ind w:firstLine="480"/>
              <w:jc w:val="left"/>
            </w:pPr>
            <w:r>
              <w:rPr>
                <w:rFonts w:hint="eastAsia"/>
              </w:rPr>
              <w:t>综上所述，项目的建设符合</w:t>
            </w:r>
            <w:r>
              <w:rPr>
                <w:rFonts w:hint="eastAsia"/>
                <w:bCs/>
              </w:rPr>
              <w:t>《挥发性有机物治理突出问题排查整治工作要求》中相关要求。</w:t>
            </w:r>
          </w:p>
          <w:p w14:paraId="53AE5B3A">
            <w:pPr>
              <w:numPr>
                <w:ilvl w:val="0"/>
                <w:numId w:val="3"/>
              </w:numPr>
              <w:ind w:firstLine="0" w:firstLineChars="0"/>
              <w:rPr>
                <w:b/>
                <w:bCs/>
              </w:rPr>
            </w:pPr>
            <w:r>
              <w:rPr>
                <w:rFonts w:hint="eastAsia"/>
                <w:b/>
                <w:bCs/>
              </w:rPr>
              <w:t>与《云南省重点行业挥发性有机物综合治理实施方案》符合性分析</w:t>
            </w:r>
          </w:p>
          <w:p w14:paraId="459DC1D8">
            <w:pPr>
              <w:ind w:firstLine="480"/>
              <w:jc w:val="left"/>
            </w:pPr>
            <w:r>
              <w:t>2019</w:t>
            </w:r>
            <w:r>
              <w:rPr>
                <w:rFonts w:hint="eastAsia"/>
              </w:rPr>
              <w:t>年</w:t>
            </w:r>
            <w:r>
              <w:t>9</w:t>
            </w:r>
            <w:r>
              <w:rPr>
                <w:rFonts w:hint="eastAsia"/>
              </w:rPr>
              <w:t>月</w:t>
            </w:r>
            <w:r>
              <w:t>4</w:t>
            </w:r>
            <w:r>
              <w:rPr>
                <w:rFonts w:hint="eastAsia"/>
              </w:rPr>
              <w:t>日，云南省生态环境厅印发了《云南省重点行业挥发性有机物综合治理实施方案》（云环通〔</w:t>
            </w:r>
            <w:r>
              <w:t>2019</w:t>
            </w:r>
            <w:r>
              <w:rPr>
                <w:rFonts w:hint="eastAsia"/>
              </w:rPr>
              <w:t>〕</w:t>
            </w:r>
            <w:r>
              <w:t>125</w:t>
            </w:r>
            <w:r>
              <w:rPr>
                <w:rFonts w:hint="eastAsia"/>
              </w:rPr>
              <w:t>号）。项目与《云南省重点行业挥发性有机物综合治理实施方案》的相符性分析见表</w:t>
            </w:r>
            <w:r>
              <w:t>1-</w:t>
            </w:r>
            <w:r>
              <w:rPr>
                <w:rFonts w:hint="eastAsia"/>
              </w:rPr>
              <w:t>10。</w:t>
            </w:r>
          </w:p>
          <w:p w14:paraId="08272164">
            <w:pPr>
              <w:ind w:firstLine="0" w:firstLineChars="0"/>
              <w:jc w:val="center"/>
              <w:rPr>
                <w:sz w:val="21"/>
                <w:szCs w:val="21"/>
              </w:rPr>
            </w:pPr>
            <w:r>
              <w:rPr>
                <w:rFonts w:hint="eastAsia"/>
                <w:b/>
                <w:bCs/>
                <w:sz w:val="21"/>
                <w:szCs w:val="21"/>
              </w:rPr>
              <w:t>表1-10  项目与《云南省重点行业挥发性有机物综合治理实施方案》的相符性分析</w:t>
            </w:r>
          </w:p>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5"/>
              <w:gridCol w:w="4268"/>
              <w:gridCol w:w="2086"/>
              <w:gridCol w:w="899"/>
            </w:tblGrid>
            <w:tr w14:paraId="509D4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1" w:type="pct"/>
                  <w:vAlign w:val="center"/>
                </w:tcPr>
                <w:p w14:paraId="2E5450AE">
                  <w:pPr>
                    <w:spacing w:line="240" w:lineRule="auto"/>
                    <w:ind w:firstLine="0" w:firstLineChars="0"/>
                    <w:jc w:val="center"/>
                    <w:rPr>
                      <w:b/>
                      <w:bCs/>
                      <w:sz w:val="21"/>
                      <w:szCs w:val="21"/>
                    </w:rPr>
                  </w:pPr>
                  <w:r>
                    <w:rPr>
                      <w:b/>
                      <w:bCs/>
                      <w:sz w:val="21"/>
                      <w:szCs w:val="21"/>
                    </w:rPr>
                    <w:t>序号</w:t>
                  </w:r>
                </w:p>
              </w:tc>
              <w:tc>
                <w:tcPr>
                  <w:tcW w:w="2764" w:type="pct"/>
                  <w:vAlign w:val="center"/>
                </w:tcPr>
                <w:p w14:paraId="7E06C649">
                  <w:pPr>
                    <w:spacing w:line="240" w:lineRule="auto"/>
                    <w:ind w:firstLine="0" w:firstLineChars="0"/>
                    <w:jc w:val="center"/>
                    <w:rPr>
                      <w:b/>
                      <w:bCs/>
                      <w:sz w:val="21"/>
                      <w:szCs w:val="21"/>
                    </w:rPr>
                  </w:pPr>
                  <w:r>
                    <w:rPr>
                      <w:rFonts w:hint="eastAsia"/>
                      <w:b/>
                      <w:bCs/>
                      <w:sz w:val="21"/>
                      <w:szCs w:val="21"/>
                    </w:rPr>
                    <w:t>《云南省重点行业挥发性有机物综合治理实施方案》</w:t>
                  </w:r>
                </w:p>
              </w:tc>
              <w:tc>
                <w:tcPr>
                  <w:tcW w:w="1351" w:type="pct"/>
                  <w:vAlign w:val="center"/>
                </w:tcPr>
                <w:p w14:paraId="71F63C24">
                  <w:pPr>
                    <w:spacing w:line="240" w:lineRule="auto"/>
                    <w:ind w:firstLine="0" w:firstLineChars="0"/>
                    <w:jc w:val="center"/>
                    <w:rPr>
                      <w:b/>
                      <w:bCs/>
                      <w:sz w:val="21"/>
                      <w:szCs w:val="21"/>
                    </w:rPr>
                  </w:pPr>
                  <w:r>
                    <w:rPr>
                      <w:b/>
                      <w:bCs/>
                      <w:sz w:val="21"/>
                      <w:szCs w:val="21"/>
                    </w:rPr>
                    <w:t>本项目实际情况</w:t>
                  </w:r>
                </w:p>
              </w:tc>
              <w:tc>
                <w:tcPr>
                  <w:tcW w:w="582" w:type="pct"/>
                  <w:vAlign w:val="center"/>
                </w:tcPr>
                <w:p w14:paraId="2DD26333">
                  <w:pPr>
                    <w:spacing w:line="240" w:lineRule="auto"/>
                    <w:ind w:firstLine="0" w:firstLineChars="0"/>
                    <w:jc w:val="center"/>
                    <w:rPr>
                      <w:b/>
                      <w:bCs/>
                      <w:sz w:val="21"/>
                      <w:szCs w:val="21"/>
                    </w:rPr>
                  </w:pPr>
                  <w:r>
                    <w:rPr>
                      <w:b/>
                      <w:bCs/>
                      <w:sz w:val="21"/>
                      <w:szCs w:val="21"/>
                    </w:rPr>
                    <w:t>符合性</w:t>
                  </w:r>
                </w:p>
              </w:tc>
            </w:tr>
            <w:tr w14:paraId="076B5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1" w:type="pct"/>
                  <w:vAlign w:val="center"/>
                </w:tcPr>
                <w:p w14:paraId="3B55EDB7">
                  <w:pPr>
                    <w:spacing w:line="240" w:lineRule="auto"/>
                    <w:ind w:firstLine="0" w:firstLineChars="0"/>
                    <w:jc w:val="center"/>
                    <w:rPr>
                      <w:sz w:val="21"/>
                      <w:szCs w:val="21"/>
                    </w:rPr>
                  </w:pPr>
                  <w:r>
                    <w:rPr>
                      <w:sz w:val="21"/>
                      <w:szCs w:val="21"/>
                    </w:rPr>
                    <w:t>1</w:t>
                  </w:r>
                </w:p>
              </w:tc>
              <w:tc>
                <w:tcPr>
                  <w:tcW w:w="2764" w:type="pct"/>
                  <w:vAlign w:val="center"/>
                </w:tcPr>
                <w:p w14:paraId="45F8D6CA">
                  <w:pPr>
                    <w:spacing w:line="240" w:lineRule="auto"/>
                    <w:ind w:firstLine="0" w:firstLineChars="0"/>
                    <w:jc w:val="center"/>
                    <w:rPr>
                      <w:sz w:val="21"/>
                      <w:szCs w:val="21"/>
                    </w:rPr>
                  </w:pPr>
                  <w:r>
                    <w:rPr>
                      <w:rFonts w:hint="eastAsia"/>
                      <w:sz w:val="21"/>
                      <w:szCs w:val="21"/>
                    </w:rPr>
                    <w:t>重点对含</w:t>
                  </w:r>
                  <w:r>
                    <w:rPr>
                      <w:sz w:val="21"/>
                      <w:szCs w:val="21"/>
                    </w:rPr>
                    <w:t>VOCs</w:t>
                  </w:r>
                  <w:r>
                    <w:rPr>
                      <w:rFonts w:hint="eastAsia"/>
                      <w:sz w:val="21"/>
                      <w:szCs w:val="21"/>
                    </w:rPr>
                    <w:t>物料（包括含</w:t>
                  </w:r>
                  <w:r>
                    <w:rPr>
                      <w:sz w:val="21"/>
                      <w:szCs w:val="21"/>
                    </w:rPr>
                    <w:t>VOCs</w:t>
                  </w:r>
                  <w:r>
                    <w:rPr>
                      <w:rFonts w:hint="eastAsia"/>
                      <w:sz w:val="21"/>
                      <w:szCs w:val="21"/>
                    </w:rPr>
                    <w:t>原辅材料、含</w:t>
                  </w:r>
                  <w:r>
                    <w:rPr>
                      <w:sz w:val="21"/>
                      <w:szCs w:val="21"/>
                    </w:rPr>
                    <w:t>VOCs</w:t>
                  </w:r>
                  <w:r>
                    <w:rPr>
                      <w:rFonts w:hint="eastAsia"/>
                      <w:sz w:val="21"/>
                      <w:szCs w:val="21"/>
                    </w:rPr>
                    <w:t>产品、含</w:t>
                  </w:r>
                  <w:r>
                    <w:rPr>
                      <w:sz w:val="21"/>
                      <w:szCs w:val="21"/>
                    </w:rPr>
                    <w:t>VOCs</w:t>
                  </w:r>
                  <w:r>
                    <w:rPr>
                      <w:rFonts w:hint="eastAsia"/>
                      <w:sz w:val="21"/>
                      <w:szCs w:val="21"/>
                    </w:rPr>
                    <w:t>废料以及有机聚合物材料等）储存、转移和输送、设备与管线组件泄漏、敞开液面逸散以及工艺过程等五类排放源实施管控，通过采取设备与场所密闭、工艺改进、废气有效收集等措施，削减</w:t>
                  </w:r>
                  <w:r>
                    <w:rPr>
                      <w:sz w:val="21"/>
                      <w:szCs w:val="21"/>
                    </w:rPr>
                    <w:t>VOCs</w:t>
                  </w:r>
                  <w:r>
                    <w:rPr>
                      <w:rFonts w:hint="eastAsia"/>
                      <w:sz w:val="21"/>
                      <w:szCs w:val="21"/>
                    </w:rPr>
                    <w:t>无组织排放。</w:t>
                  </w:r>
                </w:p>
              </w:tc>
              <w:tc>
                <w:tcPr>
                  <w:tcW w:w="1351" w:type="pct"/>
                  <w:vMerge w:val="restart"/>
                  <w:vAlign w:val="center"/>
                </w:tcPr>
                <w:p w14:paraId="2E957DB0">
                  <w:pPr>
                    <w:widowControl/>
                    <w:spacing w:line="240" w:lineRule="auto"/>
                    <w:ind w:firstLine="0" w:firstLineChars="0"/>
                    <w:jc w:val="left"/>
                    <w:rPr>
                      <w:sz w:val="21"/>
                      <w:szCs w:val="21"/>
                    </w:rPr>
                  </w:pPr>
                  <w:r>
                    <w:rPr>
                      <w:rFonts w:hint="eastAsia"/>
                      <w:sz w:val="21"/>
                      <w:szCs w:val="21"/>
                    </w:rPr>
                    <w:t>项目生产中在沥青加热、搅拌、出料过程会产生废气，产生废气通过电捕焦油器+三级活</w:t>
                  </w:r>
                  <w:r>
                    <w:rPr>
                      <w:rFonts w:hint="eastAsia"/>
                      <w:color w:val="000000" w:themeColor="text1"/>
                      <w:sz w:val="21"/>
                      <w:szCs w:val="21"/>
                      <w14:textFill>
                        <w14:solidFill>
                          <w14:schemeClr w14:val="tx1"/>
                        </w14:solidFill>
                      </w14:textFill>
                    </w:rPr>
                    <w:t>性炭吸附装置处理达标后由15m高的排气筒（DA003</w:t>
                  </w:r>
                  <w:r>
                    <w:rPr>
                      <w:rFonts w:hint="eastAsia"/>
                      <w:sz w:val="21"/>
                      <w:szCs w:val="21"/>
                    </w:rPr>
                    <w:t>）排放，出料口设置感应式卷帘门，成品出料时全封闭作业，微负压收集出料废气，风速约9.3m/s。</w:t>
                  </w:r>
                </w:p>
              </w:tc>
              <w:tc>
                <w:tcPr>
                  <w:tcW w:w="582" w:type="pct"/>
                  <w:vAlign w:val="center"/>
                </w:tcPr>
                <w:p w14:paraId="5166FA94">
                  <w:pPr>
                    <w:spacing w:line="240" w:lineRule="auto"/>
                    <w:ind w:firstLine="0" w:firstLineChars="0"/>
                    <w:jc w:val="center"/>
                    <w:rPr>
                      <w:sz w:val="21"/>
                      <w:szCs w:val="21"/>
                    </w:rPr>
                  </w:pPr>
                  <w:r>
                    <w:rPr>
                      <w:rFonts w:hint="eastAsia"/>
                      <w:sz w:val="21"/>
                      <w:szCs w:val="21"/>
                    </w:rPr>
                    <w:t>符合</w:t>
                  </w:r>
                </w:p>
              </w:tc>
            </w:tr>
            <w:tr w14:paraId="07650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1" w:type="pct"/>
                  <w:vAlign w:val="center"/>
                </w:tcPr>
                <w:p w14:paraId="62DF415E">
                  <w:pPr>
                    <w:spacing w:line="240" w:lineRule="auto"/>
                    <w:ind w:firstLine="0" w:firstLineChars="0"/>
                    <w:jc w:val="center"/>
                    <w:rPr>
                      <w:sz w:val="21"/>
                      <w:szCs w:val="21"/>
                    </w:rPr>
                  </w:pPr>
                  <w:r>
                    <w:rPr>
                      <w:rFonts w:hint="eastAsia"/>
                      <w:sz w:val="21"/>
                      <w:szCs w:val="21"/>
                    </w:rPr>
                    <w:t>2</w:t>
                  </w:r>
                </w:p>
              </w:tc>
              <w:tc>
                <w:tcPr>
                  <w:tcW w:w="2764" w:type="pct"/>
                  <w:vAlign w:val="center"/>
                </w:tcPr>
                <w:p w14:paraId="7489E02A">
                  <w:pPr>
                    <w:spacing w:line="240" w:lineRule="auto"/>
                    <w:ind w:firstLine="0" w:firstLineChars="0"/>
                    <w:jc w:val="center"/>
                    <w:rPr>
                      <w:sz w:val="21"/>
                      <w:szCs w:val="21"/>
                    </w:rPr>
                  </w:pPr>
                  <w:r>
                    <w:rPr>
                      <w:rFonts w:hint="eastAsia"/>
                      <w:sz w:val="21"/>
                      <w:szCs w:val="21"/>
                    </w:rPr>
                    <w:t>提高废气收集率。遵循</w:t>
                  </w:r>
                  <w:r>
                    <w:rPr>
                      <w:sz w:val="21"/>
                      <w:szCs w:val="21"/>
                    </w:rPr>
                    <w:t>“</w:t>
                  </w:r>
                  <w:r>
                    <w:rPr>
                      <w:rFonts w:hint="eastAsia"/>
                      <w:sz w:val="21"/>
                      <w:szCs w:val="21"/>
                    </w:rPr>
                    <w:t>应收尽收、分质收集</w:t>
                  </w:r>
                  <w:r>
                    <w:rPr>
                      <w:sz w:val="21"/>
                      <w:szCs w:val="21"/>
                    </w:rPr>
                    <w:t>”</w:t>
                  </w:r>
                  <w:r>
                    <w:rPr>
                      <w:rFonts w:hint="eastAsia"/>
                      <w:sz w:val="21"/>
                      <w:szCs w:val="21"/>
                    </w:rPr>
                    <w:t>的原则，科学设计废气收集系统，将无组织排放转变为有组织排放进行控制。采用全密闭集气罩或密闭空间的，除行业有特殊要求外，应保持微负压状态，并根据相关规范合理设置通风量。采用局部集气罩的，距集气罩开口面最远处的</w:t>
                  </w:r>
                  <w:r>
                    <w:rPr>
                      <w:sz w:val="21"/>
                      <w:szCs w:val="21"/>
                    </w:rPr>
                    <w:t>VOCs</w:t>
                  </w:r>
                  <w:r>
                    <w:rPr>
                      <w:rFonts w:hint="eastAsia"/>
                      <w:sz w:val="21"/>
                      <w:szCs w:val="21"/>
                    </w:rPr>
                    <w:t>无组织排放位置，控制风速应不低于</w:t>
                  </w:r>
                  <w:r>
                    <w:rPr>
                      <w:sz w:val="21"/>
                      <w:szCs w:val="21"/>
                    </w:rPr>
                    <w:t>0.3</w:t>
                  </w:r>
                  <w:r>
                    <w:rPr>
                      <w:rFonts w:hint="eastAsia"/>
                      <w:sz w:val="21"/>
                      <w:szCs w:val="21"/>
                    </w:rPr>
                    <w:t>米</w:t>
                  </w:r>
                  <w:r>
                    <w:rPr>
                      <w:sz w:val="21"/>
                      <w:szCs w:val="21"/>
                    </w:rPr>
                    <w:t>/</w:t>
                  </w:r>
                  <w:r>
                    <w:rPr>
                      <w:rFonts w:hint="eastAsia"/>
                      <w:sz w:val="21"/>
                      <w:szCs w:val="21"/>
                    </w:rPr>
                    <w:t>秒，有行业要求的按相关规定执行。</w:t>
                  </w:r>
                </w:p>
              </w:tc>
              <w:tc>
                <w:tcPr>
                  <w:tcW w:w="1351" w:type="pct"/>
                  <w:vMerge w:val="continue"/>
                  <w:vAlign w:val="center"/>
                </w:tcPr>
                <w:p w14:paraId="6E2EDC64">
                  <w:pPr>
                    <w:widowControl/>
                    <w:spacing w:line="240" w:lineRule="auto"/>
                    <w:ind w:firstLine="0" w:firstLineChars="0"/>
                    <w:jc w:val="left"/>
                    <w:rPr>
                      <w:sz w:val="21"/>
                      <w:szCs w:val="21"/>
                    </w:rPr>
                  </w:pPr>
                </w:p>
              </w:tc>
              <w:tc>
                <w:tcPr>
                  <w:tcW w:w="582" w:type="pct"/>
                  <w:vAlign w:val="center"/>
                </w:tcPr>
                <w:p w14:paraId="6C2A54BD">
                  <w:pPr>
                    <w:spacing w:line="240" w:lineRule="auto"/>
                    <w:ind w:firstLine="0" w:firstLineChars="0"/>
                    <w:jc w:val="center"/>
                    <w:rPr>
                      <w:sz w:val="21"/>
                      <w:szCs w:val="21"/>
                    </w:rPr>
                  </w:pPr>
                  <w:r>
                    <w:rPr>
                      <w:rFonts w:hint="eastAsia"/>
                      <w:sz w:val="21"/>
                      <w:szCs w:val="21"/>
                    </w:rPr>
                    <w:t>符合</w:t>
                  </w:r>
                </w:p>
              </w:tc>
            </w:tr>
          </w:tbl>
          <w:p w14:paraId="37D98F5A">
            <w:pPr>
              <w:ind w:firstLine="480"/>
              <w:jc w:val="left"/>
            </w:pPr>
            <w:r>
              <w:rPr>
                <w:rFonts w:hint="eastAsia"/>
              </w:rPr>
              <w:t>综上所述，项目符合《云南省重点行业挥发性有机物综合治理实施方案》（云环通〔</w:t>
            </w:r>
            <w:r>
              <w:t>2019</w:t>
            </w:r>
            <w:r>
              <w:rPr>
                <w:rFonts w:hint="eastAsia"/>
              </w:rPr>
              <w:t>〕</w:t>
            </w:r>
            <w:r>
              <w:t>125</w:t>
            </w:r>
            <w:r>
              <w:rPr>
                <w:rFonts w:hint="eastAsia"/>
              </w:rPr>
              <w:t>号）中的相应要求。</w:t>
            </w:r>
          </w:p>
          <w:p w14:paraId="0EC26119">
            <w:pPr>
              <w:numPr>
                <w:ilvl w:val="0"/>
                <w:numId w:val="3"/>
              </w:numPr>
              <w:ind w:firstLine="0" w:firstLineChars="0"/>
              <w:rPr>
                <w:b/>
                <w:bCs/>
              </w:rPr>
            </w:pPr>
            <w:r>
              <w:rPr>
                <w:rFonts w:hint="eastAsia"/>
                <w:b/>
                <w:bCs/>
              </w:rPr>
              <w:t>与《昆明市大气污染防治条例》相符性分析</w:t>
            </w:r>
          </w:p>
          <w:p w14:paraId="2D040550">
            <w:pPr>
              <w:ind w:firstLine="480"/>
              <w:jc w:val="left"/>
            </w:pPr>
            <w:r>
              <w:rPr>
                <w:rFonts w:hint="eastAsia"/>
              </w:rPr>
              <w:t>项目与</w:t>
            </w:r>
            <w:r>
              <w:rPr>
                <w:rFonts w:hint="eastAsia" w:cs="宋体"/>
                <w:kern w:val="0"/>
              </w:rPr>
              <w:t>《</w:t>
            </w:r>
            <w:r>
              <w:rPr>
                <w:rFonts w:hint="eastAsia"/>
              </w:rPr>
              <w:t>昆明市</w:t>
            </w:r>
            <w:r>
              <w:rPr>
                <w:rFonts w:hint="eastAsia" w:cs="宋体"/>
                <w:kern w:val="0"/>
              </w:rPr>
              <w:t>大气污染防治条例》相符性分析</w:t>
            </w:r>
            <w:r>
              <w:rPr>
                <w:kern w:val="0"/>
              </w:rPr>
              <w:t>见表1-</w:t>
            </w:r>
            <w:r>
              <w:rPr>
                <w:rFonts w:hint="eastAsia"/>
                <w:kern w:val="0"/>
              </w:rPr>
              <w:t>11</w:t>
            </w:r>
            <w:r>
              <w:rPr>
                <w:kern w:val="0"/>
              </w:rPr>
              <w:t>。</w:t>
            </w:r>
          </w:p>
          <w:p w14:paraId="31480716">
            <w:pPr>
              <w:ind w:firstLine="0" w:firstLineChars="0"/>
              <w:jc w:val="center"/>
              <w:rPr>
                <w:rFonts w:cs="宋体"/>
                <w:b/>
                <w:bCs/>
                <w:kern w:val="0"/>
                <w:sz w:val="21"/>
                <w:szCs w:val="21"/>
              </w:rPr>
            </w:pPr>
            <w:r>
              <w:rPr>
                <w:rFonts w:hint="eastAsia"/>
                <w:b/>
                <w:bCs/>
                <w:sz w:val="21"/>
                <w:szCs w:val="21"/>
              </w:rPr>
              <w:t>表1-11  项目与</w:t>
            </w:r>
            <w:r>
              <w:rPr>
                <w:rFonts w:hint="eastAsia" w:cs="宋体"/>
                <w:b/>
                <w:bCs/>
                <w:kern w:val="0"/>
                <w:sz w:val="21"/>
                <w:szCs w:val="21"/>
              </w:rPr>
              <w:t>《</w:t>
            </w:r>
            <w:r>
              <w:rPr>
                <w:rFonts w:hint="eastAsia"/>
                <w:b/>
                <w:bCs/>
                <w:sz w:val="21"/>
                <w:szCs w:val="21"/>
              </w:rPr>
              <w:t>昆明市</w:t>
            </w:r>
            <w:r>
              <w:rPr>
                <w:rFonts w:hint="eastAsia" w:cs="宋体"/>
                <w:b/>
                <w:bCs/>
                <w:kern w:val="0"/>
                <w:sz w:val="21"/>
                <w:szCs w:val="21"/>
              </w:rPr>
              <w:t>大气污染防治条例》符合性分析</w:t>
            </w:r>
          </w:p>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3"/>
              <w:gridCol w:w="3925"/>
              <w:gridCol w:w="2432"/>
              <w:gridCol w:w="898"/>
            </w:tblGrid>
            <w:tr w14:paraId="14D19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0" w:type="pct"/>
                  <w:vAlign w:val="center"/>
                </w:tcPr>
                <w:p w14:paraId="1AA3AFA7">
                  <w:pPr>
                    <w:spacing w:line="240" w:lineRule="auto"/>
                    <w:ind w:firstLine="0" w:firstLineChars="0"/>
                    <w:jc w:val="center"/>
                    <w:rPr>
                      <w:b/>
                      <w:bCs/>
                      <w:sz w:val="21"/>
                      <w:szCs w:val="21"/>
                    </w:rPr>
                  </w:pPr>
                  <w:r>
                    <w:rPr>
                      <w:b/>
                      <w:bCs/>
                      <w:sz w:val="21"/>
                      <w:szCs w:val="21"/>
                    </w:rPr>
                    <w:t>序号</w:t>
                  </w:r>
                </w:p>
              </w:tc>
              <w:tc>
                <w:tcPr>
                  <w:tcW w:w="2542" w:type="pct"/>
                  <w:vAlign w:val="center"/>
                </w:tcPr>
                <w:p w14:paraId="1CDD28BD">
                  <w:pPr>
                    <w:spacing w:line="240" w:lineRule="auto"/>
                    <w:ind w:firstLine="0" w:firstLineChars="0"/>
                    <w:jc w:val="center"/>
                    <w:rPr>
                      <w:b/>
                      <w:bCs/>
                      <w:sz w:val="21"/>
                      <w:szCs w:val="21"/>
                    </w:rPr>
                  </w:pPr>
                  <w:r>
                    <w:rPr>
                      <w:rFonts w:hint="eastAsia"/>
                      <w:b/>
                      <w:bCs/>
                      <w:sz w:val="21"/>
                      <w:szCs w:val="21"/>
                    </w:rPr>
                    <w:t>《昆明市大气污染防治条例》</w:t>
                  </w:r>
                </w:p>
              </w:tc>
              <w:tc>
                <w:tcPr>
                  <w:tcW w:w="1575" w:type="pct"/>
                  <w:vAlign w:val="center"/>
                </w:tcPr>
                <w:p w14:paraId="16DF0F02">
                  <w:pPr>
                    <w:spacing w:line="240" w:lineRule="auto"/>
                    <w:ind w:firstLine="0" w:firstLineChars="0"/>
                    <w:jc w:val="center"/>
                    <w:rPr>
                      <w:b/>
                      <w:bCs/>
                      <w:sz w:val="21"/>
                      <w:szCs w:val="21"/>
                    </w:rPr>
                  </w:pPr>
                  <w:r>
                    <w:rPr>
                      <w:b/>
                      <w:bCs/>
                      <w:sz w:val="21"/>
                      <w:szCs w:val="21"/>
                    </w:rPr>
                    <w:t>本项目实际情况</w:t>
                  </w:r>
                </w:p>
              </w:tc>
              <w:tc>
                <w:tcPr>
                  <w:tcW w:w="581" w:type="pct"/>
                  <w:vAlign w:val="center"/>
                </w:tcPr>
                <w:p w14:paraId="177480DB">
                  <w:pPr>
                    <w:spacing w:line="240" w:lineRule="auto"/>
                    <w:ind w:firstLine="0" w:firstLineChars="0"/>
                    <w:jc w:val="center"/>
                    <w:rPr>
                      <w:b/>
                      <w:bCs/>
                      <w:sz w:val="21"/>
                      <w:szCs w:val="21"/>
                    </w:rPr>
                  </w:pPr>
                  <w:r>
                    <w:rPr>
                      <w:b/>
                      <w:bCs/>
                      <w:sz w:val="21"/>
                      <w:szCs w:val="21"/>
                    </w:rPr>
                    <w:t>符合性</w:t>
                  </w:r>
                </w:p>
              </w:tc>
            </w:tr>
            <w:tr w14:paraId="0E29E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0" w:type="pct"/>
                  <w:vAlign w:val="center"/>
                </w:tcPr>
                <w:p w14:paraId="600A5505">
                  <w:pPr>
                    <w:spacing w:line="240" w:lineRule="auto"/>
                    <w:ind w:firstLine="0" w:firstLineChars="0"/>
                    <w:jc w:val="center"/>
                    <w:rPr>
                      <w:sz w:val="21"/>
                      <w:szCs w:val="21"/>
                    </w:rPr>
                  </w:pPr>
                  <w:r>
                    <w:rPr>
                      <w:sz w:val="21"/>
                      <w:szCs w:val="21"/>
                    </w:rPr>
                    <w:t>1</w:t>
                  </w:r>
                </w:p>
              </w:tc>
              <w:tc>
                <w:tcPr>
                  <w:tcW w:w="2542" w:type="pct"/>
                  <w:vAlign w:val="center"/>
                </w:tcPr>
                <w:p w14:paraId="07D25E37">
                  <w:pPr>
                    <w:spacing w:line="240" w:lineRule="auto"/>
                    <w:ind w:firstLine="0" w:firstLineChars="0"/>
                    <w:rPr>
                      <w:sz w:val="21"/>
                      <w:szCs w:val="21"/>
                    </w:rPr>
                  </w:pPr>
                  <w:r>
                    <w:rPr>
                      <w:rFonts w:hint="eastAsia"/>
                      <w:sz w:val="21"/>
                      <w:szCs w:val="21"/>
                    </w:rPr>
                    <w:t>禁止排放超过排放标准或者超过重点大气污染物排放总量控制指标的大气污染物。排放大气污染物的企业事业单位和其他生产经营者应当加强精细化管理，严格按照有关规定，配套建设、使用和维护大气污染防治装备。大气排放污染物的企业事业单位和其他生产经营者，应当按照有关规定设置大气污染物排放口。禁止通过偷排、篡改或者伪造监测数据、以逃避现场检查为目的的临时停产、非紧急情况下开启应急排放通道、擅自拆除或者不正常运行大气污染防治设施等逃避监管的方式排放大气污染物。</w:t>
                  </w:r>
                </w:p>
              </w:tc>
              <w:tc>
                <w:tcPr>
                  <w:tcW w:w="1575" w:type="pct"/>
                  <w:vMerge w:val="restart"/>
                  <w:vAlign w:val="center"/>
                </w:tcPr>
                <w:p w14:paraId="70685659">
                  <w:pPr>
                    <w:spacing w:line="240" w:lineRule="auto"/>
                    <w:ind w:firstLine="0" w:firstLineChars="0"/>
                    <w:rPr>
                      <w:rFonts w:ascii="宋体" w:hAnsi="宋体" w:cs="宋体"/>
                      <w:spacing w:val="8"/>
                      <w:sz w:val="20"/>
                      <w:szCs w:val="20"/>
                    </w:rPr>
                  </w:pPr>
                  <w:r>
                    <w:rPr>
                      <w:rFonts w:hint="eastAsia"/>
                      <w:sz w:val="21"/>
                      <w:szCs w:val="21"/>
                    </w:rPr>
                    <w:t>本项目</w:t>
                  </w:r>
                  <w:r>
                    <w:rPr>
                      <w:rFonts w:ascii="宋体" w:hAnsi="宋体" w:cs="宋体"/>
                      <w:spacing w:val="8"/>
                      <w:sz w:val="20"/>
                      <w:szCs w:val="20"/>
                    </w:rPr>
                    <w:t>为沥青混凝土生产项目，</w:t>
                  </w:r>
                  <w:r>
                    <w:rPr>
                      <w:rFonts w:ascii="宋体" w:hAnsi="宋体" w:cs="宋体"/>
                      <w:spacing w:val="3"/>
                      <w:sz w:val="20"/>
                      <w:szCs w:val="20"/>
                    </w:rPr>
                    <w:t>主要废气污染物为颗粒物、</w:t>
                  </w:r>
                  <w:r>
                    <w:rPr>
                      <w:rFonts w:eastAsia="Times New Roman"/>
                      <w:sz w:val="20"/>
                      <w:szCs w:val="20"/>
                    </w:rPr>
                    <w:t>SO</w:t>
                  </w:r>
                  <w:r>
                    <w:rPr>
                      <w:rFonts w:eastAsia="Times New Roman"/>
                      <w:spacing w:val="3"/>
                      <w:position w:val="-1"/>
                      <w:sz w:val="13"/>
                      <w:szCs w:val="13"/>
                    </w:rPr>
                    <w:t>2</w:t>
                  </w:r>
                  <w:r>
                    <w:rPr>
                      <w:rFonts w:ascii="宋体" w:hAnsi="宋体" w:cs="宋体"/>
                      <w:spacing w:val="3"/>
                      <w:sz w:val="20"/>
                      <w:szCs w:val="20"/>
                    </w:rPr>
                    <w:t>、</w:t>
                  </w:r>
                  <w:r>
                    <w:rPr>
                      <w:rFonts w:eastAsia="Times New Roman"/>
                      <w:sz w:val="20"/>
                      <w:szCs w:val="20"/>
                    </w:rPr>
                    <w:t>NO</w:t>
                  </w:r>
                  <w:r>
                    <w:rPr>
                      <w:rFonts w:eastAsia="Times New Roman"/>
                      <w:position w:val="-1"/>
                      <w:sz w:val="13"/>
                      <w:szCs w:val="13"/>
                    </w:rPr>
                    <w:t>X</w:t>
                  </w:r>
                  <w:r>
                    <w:rPr>
                      <w:rFonts w:eastAsia="Times New Roman"/>
                      <w:spacing w:val="-4"/>
                      <w:position w:val="-1"/>
                      <w:sz w:val="13"/>
                      <w:szCs w:val="13"/>
                    </w:rPr>
                    <w:t xml:space="preserve"> </w:t>
                  </w:r>
                  <w:r>
                    <w:rPr>
                      <w:rFonts w:ascii="宋体" w:hAnsi="宋体" w:cs="宋体"/>
                      <w:spacing w:val="8"/>
                      <w:sz w:val="20"/>
                      <w:szCs w:val="20"/>
                    </w:rPr>
                    <w:t>、非甲烷总烃、沥青烟、苯</w:t>
                  </w:r>
                  <w:r>
                    <w:rPr>
                      <w:rFonts w:ascii="宋体" w:hAnsi="宋体" w:cs="宋体"/>
                      <w:spacing w:val="7"/>
                      <w:sz w:val="20"/>
                      <w:szCs w:val="20"/>
                    </w:rPr>
                    <w:t>并芘。项目</w:t>
                  </w:r>
                  <w:r>
                    <w:rPr>
                      <w:rFonts w:hint="eastAsia" w:ascii="宋体" w:hAnsi="宋体" w:cs="宋体"/>
                      <w:spacing w:val="7"/>
                      <w:sz w:val="20"/>
                      <w:szCs w:val="20"/>
                    </w:rPr>
                    <w:t>砂石骨料仓</w:t>
                  </w:r>
                  <w:r>
                    <w:rPr>
                      <w:rFonts w:ascii="宋体" w:hAnsi="宋体" w:cs="宋体"/>
                      <w:spacing w:val="7"/>
                      <w:sz w:val="20"/>
                      <w:szCs w:val="20"/>
                    </w:rPr>
                    <w:t>粉尘设置</w:t>
                  </w:r>
                  <w:r>
                    <w:rPr>
                      <w:rFonts w:hint="eastAsia" w:ascii="宋体" w:hAnsi="宋体" w:cs="宋体"/>
                      <w:spacing w:val="7"/>
                      <w:sz w:val="20"/>
                      <w:szCs w:val="20"/>
                    </w:rPr>
                    <w:t>半封闭厂房</w:t>
                  </w:r>
                  <w:r>
                    <w:rPr>
                      <w:rFonts w:hint="eastAsia" w:ascii="宋体" w:hAnsi="宋体" w:cs="宋体"/>
                      <w:spacing w:val="-1"/>
                      <w:sz w:val="20"/>
                      <w:szCs w:val="20"/>
                    </w:rPr>
                    <w:t>+</w:t>
                  </w:r>
                  <w:r>
                    <w:rPr>
                      <w:rFonts w:ascii="宋体" w:hAnsi="宋体" w:cs="宋体"/>
                      <w:spacing w:val="-1"/>
                      <w:sz w:val="20"/>
                      <w:szCs w:val="20"/>
                    </w:rPr>
                    <w:t>卷帘大</w:t>
                  </w:r>
                  <w:r>
                    <w:rPr>
                      <w:rFonts w:ascii="宋体" w:hAnsi="宋体" w:cs="宋体"/>
                      <w:spacing w:val="7"/>
                      <w:sz w:val="20"/>
                      <w:szCs w:val="20"/>
                    </w:rPr>
                    <w:t>门，卷帘大门除了物料、产品运输时打开，平时生产关闭，做到</w:t>
                  </w:r>
                  <w:r>
                    <w:rPr>
                      <w:rFonts w:ascii="宋体" w:hAnsi="宋体" w:cs="宋体"/>
                      <w:spacing w:val="9"/>
                      <w:sz w:val="20"/>
                      <w:szCs w:val="20"/>
                    </w:rPr>
                    <w:t>全密闭储料</w:t>
                  </w:r>
                  <w:r>
                    <w:rPr>
                      <w:rFonts w:hint="eastAsia" w:ascii="宋体" w:hAnsi="宋体" w:cs="宋体"/>
                      <w:spacing w:val="9"/>
                      <w:sz w:val="20"/>
                      <w:szCs w:val="20"/>
                    </w:rPr>
                    <w:t>，同时配套喷淋降尘设施。</w:t>
                  </w:r>
                </w:p>
                <w:p w14:paraId="3154C5AB">
                  <w:pPr>
                    <w:spacing w:line="240" w:lineRule="auto"/>
                    <w:ind w:firstLine="0" w:firstLineChars="0"/>
                    <w:rPr>
                      <w:sz w:val="21"/>
                      <w:szCs w:val="21"/>
                    </w:rPr>
                  </w:pPr>
                  <w:r>
                    <w:rPr>
                      <w:rFonts w:hint="eastAsia" w:cs="宋体"/>
                      <w:sz w:val="21"/>
                      <w:szCs w:val="21"/>
                    </w:rPr>
                    <w:t>本项目燃烧器燃烧，砂石骨料烘干、筛分、提升、计量等产生的废气经过密闭管道收集后由布袋除尘处理；沥青储罐呼吸废气、沥青混凝土搅拌和出料废气经收集后由“电捕焦油器+三级活性炭吸附装置”处理。</w:t>
                  </w:r>
                  <w:r>
                    <w:rPr>
                      <w:rFonts w:hint="eastAsia"/>
                      <w:sz w:val="21"/>
                      <w:szCs w:val="21"/>
                    </w:rPr>
                    <w:t>本项目废气均设置合理的处置措施处理达标后排放。</w:t>
                  </w:r>
                </w:p>
              </w:tc>
              <w:tc>
                <w:tcPr>
                  <w:tcW w:w="581" w:type="pct"/>
                  <w:vAlign w:val="center"/>
                </w:tcPr>
                <w:p w14:paraId="643B91F2">
                  <w:pPr>
                    <w:spacing w:line="240" w:lineRule="auto"/>
                    <w:ind w:firstLine="0" w:firstLineChars="0"/>
                    <w:jc w:val="center"/>
                    <w:rPr>
                      <w:sz w:val="21"/>
                      <w:szCs w:val="21"/>
                    </w:rPr>
                  </w:pPr>
                  <w:r>
                    <w:rPr>
                      <w:rFonts w:hint="eastAsia"/>
                      <w:sz w:val="21"/>
                      <w:szCs w:val="21"/>
                    </w:rPr>
                    <w:t>符合</w:t>
                  </w:r>
                </w:p>
              </w:tc>
            </w:tr>
            <w:tr w14:paraId="57128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0" w:type="pct"/>
                  <w:vAlign w:val="center"/>
                </w:tcPr>
                <w:p w14:paraId="4DD55962">
                  <w:pPr>
                    <w:spacing w:line="240" w:lineRule="auto"/>
                    <w:ind w:firstLine="0" w:firstLineChars="0"/>
                    <w:jc w:val="center"/>
                    <w:rPr>
                      <w:sz w:val="21"/>
                      <w:szCs w:val="21"/>
                    </w:rPr>
                  </w:pPr>
                  <w:r>
                    <w:rPr>
                      <w:rFonts w:hint="eastAsia"/>
                      <w:sz w:val="21"/>
                      <w:szCs w:val="21"/>
                    </w:rPr>
                    <w:t>2</w:t>
                  </w:r>
                </w:p>
              </w:tc>
              <w:tc>
                <w:tcPr>
                  <w:tcW w:w="2542" w:type="pct"/>
                  <w:vAlign w:val="center"/>
                </w:tcPr>
                <w:p w14:paraId="6BEC7F41">
                  <w:pPr>
                    <w:spacing w:line="240" w:lineRule="auto"/>
                    <w:ind w:firstLine="0" w:firstLineChars="0"/>
                    <w:rPr>
                      <w:sz w:val="21"/>
                      <w:szCs w:val="21"/>
                    </w:rPr>
                  </w:pPr>
                  <w:r>
                    <w:rPr>
                      <w:rFonts w:hint="eastAsia"/>
                      <w:sz w:val="21"/>
                      <w:szCs w:val="21"/>
                    </w:rPr>
                    <w:t>下列产生含挥发性有机物废气的生产和服务活动，应当在密闭空间或者设备中进行，并按照规定安装、使用污染防治设施；无法密闭的，应当采取高效处理措施减少废气排放：（一）石油炼制及有机化学品、合成树脂、合成纤维、合成橡胶等行业；（二）制药、农药、涂料、油墨、胶粘剂、橡胶和塑料加工等行业；（三）汽车、家具、集装箱、电子产品、工程机械等行业；（四）塑料软包装印刷、印铁制罐等行业；（五）其他产生挥发性有机物的生产和服务活动。</w:t>
                  </w:r>
                </w:p>
              </w:tc>
              <w:tc>
                <w:tcPr>
                  <w:tcW w:w="1575" w:type="pct"/>
                  <w:vMerge w:val="continue"/>
                  <w:vAlign w:val="center"/>
                </w:tcPr>
                <w:p w14:paraId="78A15E34">
                  <w:pPr>
                    <w:widowControl/>
                    <w:spacing w:line="240" w:lineRule="auto"/>
                    <w:ind w:firstLine="0" w:firstLineChars="0"/>
                    <w:jc w:val="left"/>
                    <w:rPr>
                      <w:sz w:val="21"/>
                      <w:szCs w:val="21"/>
                    </w:rPr>
                  </w:pPr>
                </w:p>
              </w:tc>
              <w:tc>
                <w:tcPr>
                  <w:tcW w:w="581" w:type="pct"/>
                  <w:vAlign w:val="center"/>
                </w:tcPr>
                <w:p w14:paraId="5A80DE50">
                  <w:pPr>
                    <w:spacing w:line="240" w:lineRule="auto"/>
                    <w:ind w:firstLine="0" w:firstLineChars="0"/>
                    <w:jc w:val="center"/>
                    <w:rPr>
                      <w:sz w:val="21"/>
                      <w:szCs w:val="21"/>
                    </w:rPr>
                  </w:pPr>
                  <w:r>
                    <w:rPr>
                      <w:rFonts w:hint="eastAsia"/>
                      <w:sz w:val="21"/>
                      <w:szCs w:val="21"/>
                    </w:rPr>
                    <w:t>符合</w:t>
                  </w:r>
                </w:p>
              </w:tc>
            </w:tr>
            <w:tr w14:paraId="3E222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0" w:type="pct"/>
                  <w:vAlign w:val="center"/>
                </w:tcPr>
                <w:p w14:paraId="154BFBB0">
                  <w:pPr>
                    <w:spacing w:line="240" w:lineRule="auto"/>
                    <w:ind w:firstLine="0" w:firstLineChars="0"/>
                    <w:jc w:val="center"/>
                    <w:rPr>
                      <w:sz w:val="21"/>
                      <w:szCs w:val="21"/>
                    </w:rPr>
                  </w:pPr>
                  <w:r>
                    <w:rPr>
                      <w:rFonts w:hint="eastAsia"/>
                      <w:sz w:val="21"/>
                      <w:szCs w:val="21"/>
                    </w:rPr>
                    <w:t>3</w:t>
                  </w:r>
                </w:p>
              </w:tc>
              <w:tc>
                <w:tcPr>
                  <w:tcW w:w="2542" w:type="pct"/>
                  <w:vAlign w:val="center"/>
                </w:tcPr>
                <w:p w14:paraId="5798EC5B">
                  <w:pPr>
                    <w:spacing w:line="240" w:lineRule="auto"/>
                    <w:ind w:firstLine="0" w:firstLineChars="0"/>
                    <w:rPr>
                      <w:sz w:val="21"/>
                      <w:szCs w:val="21"/>
                    </w:rPr>
                  </w:pPr>
                  <w:r>
                    <w:rPr>
                      <w:rFonts w:hint="eastAsia"/>
                      <w:sz w:val="21"/>
                      <w:szCs w:val="21"/>
                    </w:rPr>
                    <w:t>城市人民政府应当按照有关规定划定并公布高污染燃料禁燃区，并根据大气环境质量改善要求，逐步扩大高污染燃料禁燃区范围。</w:t>
                  </w:r>
                </w:p>
                <w:p w14:paraId="4588110E">
                  <w:pPr>
                    <w:spacing w:line="240" w:lineRule="auto"/>
                    <w:ind w:firstLine="0" w:firstLineChars="0"/>
                    <w:rPr>
                      <w:sz w:val="21"/>
                      <w:szCs w:val="21"/>
                    </w:rPr>
                  </w:pPr>
                  <w:r>
                    <w:rPr>
                      <w:rFonts w:hint="eastAsia"/>
                      <w:sz w:val="21"/>
                      <w:szCs w:val="21"/>
                    </w:rPr>
                    <w:t>在禁燃区内，禁止销售、燃用高污染燃料；禁止新建、扩建燃用高污染燃料的设施，已建成的，应当在规定的期限内改用天然气、液化石油气、电或者其他清洁能源。</w:t>
                  </w:r>
                </w:p>
              </w:tc>
              <w:tc>
                <w:tcPr>
                  <w:tcW w:w="1575" w:type="pct"/>
                  <w:vAlign w:val="center"/>
                </w:tcPr>
                <w:p w14:paraId="4A9855D0">
                  <w:pPr>
                    <w:spacing w:line="240" w:lineRule="auto"/>
                    <w:ind w:firstLine="0" w:firstLineChars="0"/>
                    <w:rPr>
                      <w:sz w:val="21"/>
                      <w:szCs w:val="21"/>
                    </w:rPr>
                  </w:pPr>
                  <w:r>
                    <w:rPr>
                      <w:rFonts w:hint="eastAsia"/>
                      <w:sz w:val="21"/>
                      <w:szCs w:val="21"/>
                    </w:rPr>
                    <w:t>本项目使用电能、柴油作为能源，不使用高污染燃料。</w:t>
                  </w:r>
                </w:p>
              </w:tc>
              <w:tc>
                <w:tcPr>
                  <w:tcW w:w="581" w:type="pct"/>
                  <w:vAlign w:val="center"/>
                </w:tcPr>
                <w:p w14:paraId="1776F464">
                  <w:pPr>
                    <w:spacing w:line="240" w:lineRule="auto"/>
                    <w:ind w:firstLine="0" w:firstLineChars="0"/>
                    <w:jc w:val="center"/>
                    <w:rPr>
                      <w:sz w:val="21"/>
                      <w:szCs w:val="21"/>
                    </w:rPr>
                  </w:pPr>
                  <w:r>
                    <w:rPr>
                      <w:rFonts w:hint="eastAsia"/>
                      <w:sz w:val="21"/>
                      <w:szCs w:val="21"/>
                    </w:rPr>
                    <w:t>符合</w:t>
                  </w:r>
                </w:p>
              </w:tc>
            </w:tr>
            <w:tr w14:paraId="72DDD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0" w:type="pct"/>
                  <w:vAlign w:val="center"/>
                </w:tcPr>
                <w:p w14:paraId="5E003D1E">
                  <w:pPr>
                    <w:spacing w:line="240" w:lineRule="auto"/>
                    <w:ind w:firstLine="0" w:firstLineChars="0"/>
                    <w:jc w:val="center"/>
                    <w:rPr>
                      <w:sz w:val="21"/>
                      <w:szCs w:val="21"/>
                    </w:rPr>
                  </w:pPr>
                  <w:r>
                    <w:rPr>
                      <w:rFonts w:hint="eastAsia"/>
                      <w:sz w:val="21"/>
                      <w:szCs w:val="21"/>
                    </w:rPr>
                    <w:t>4</w:t>
                  </w:r>
                </w:p>
              </w:tc>
              <w:tc>
                <w:tcPr>
                  <w:tcW w:w="2542" w:type="pct"/>
                  <w:vAlign w:val="center"/>
                </w:tcPr>
                <w:p w14:paraId="111ED5F7">
                  <w:pPr>
                    <w:spacing w:line="240" w:lineRule="auto"/>
                    <w:ind w:firstLine="0" w:firstLineChars="0"/>
                    <w:rPr>
                      <w:sz w:val="21"/>
                      <w:szCs w:val="21"/>
                    </w:rPr>
                  </w:pPr>
                  <w:r>
                    <w:rPr>
                      <w:rFonts w:hint="eastAsia"/>
                      <w:sz w:val="21"/>
                      <w:szCs w:val="21"/>
                    </w:rPr>
                    <w:t>下列产生含挥发性有机物废气的生产和服务活动，应当在密闭空间或者设备中进行，并按照规定安装、使用污染防治设施；无法密闭的，应当采取高效处理措施减少废气排放：</w:t>
                  </w:r>
                </w:p>
                <w:p w14:paraId="24EE20A7">
                  <w:pPr>
                    <w:spacing w:line="240" w:lineRule="auto"/>
                    <w:ind w:firstLine="0" w:firstLineChars="0"/>
                    <w:rPr>
                      <w:sz w:val="21"/>
                      <w:szCs w:val="21"/>
                    </w:rPr>
                  </w:pPr>
                  <w:r>
                    <w:rPr>
                      <w:rFonts w:hint="eastAsia"/>
                      <w:sz w:val="21"/>
                      <w:szCs w:val="21"/>
                    </w:rPr>
                    <w:t>（一）石油炼制及有机化学品、合成树脂、合成纤维、合成橡胶等行业；</w:t>
                  </w:r>
                </w:p>
                <w:p w14:paraId="2BF9C39A">
                  <w:pPr>
                    <w:spacing w:line="240" w:lineRule="auto"/>
                    <w:ind w:firstLine="0" w:firstLineChars="0"/>
                    <w:rPr>
                      <w:sz w:val="21"/>
                      <w:szCs w:val="21"/>
                    </w:rPr>
                  </w:pPr>
                  <w:r>
                    <w:rPr>
                      <w:rFonts w:hint="eastAsia"/>
                      <w:sz w:val="21"/>
                      <w:szCs w:val="21"/>
                    </w:rPr>
                    <w:t>（二）制药、农药、涂料、油墨、胶粘剂、橡胶和塑料加工等行业；</w:t>
                  </w:r>
                </w:p>
                <w:p w14:paraId="13EF4A9E">
                  <w:pPr>
                    <w:spacing w:line="240" w:lineRule="auto"/>
                    <w:ind w:firstLine="0" w:firstLineChars="0"/>
                    <w:rPr>
                      <w:sz w:val="21"/>
                      <w:szCs w:val="21"/>
                    </w:rPr>
                  </w:pPr>
                  <w:r>
                    <w:rPr>
                      <w:rFonts w:hint="eastAsia"/>
                      <w:sz w:val="21"/>
                      <w:szCs w:val="21"/>
                    </w:rPr>
                    <w:t>（三）汽车、家具、集装箱、电子产品、工程机械等行业；</w:t>
                  </w:r>
                </w:p>
                <w:p w14:paraId="2EEFCD69">
                  <w:pPr>
                    <w:spacing w:line="240" w:lineRule="auto"/>
                    <w:ind w:firstLine="0" w:firstLineChars="0"/>
                    <w:rPr>
                      <w:sz w:val="21"/>
                      <w:szCs w:val="21"/>
                    </w:rPr>
                  </w:pPr>
                  <w:r>
                    <w:rPr>
                      <w:rFonts w:hint="eastAsia"/>
                      <w:sz w:val="21"/>
                      <w:szCs w:val="21"/>
                    </w:rPr>
                    <w:t>（四）塑料软包装印刷、印铁制罐等行业；</w:t>
                  </w:r>
                </w:p>
                <w:p w14:paraId="2E8F90F5">
                  <w:pPr>
                    <w:spacing w:line="240" w:lineRule="auto"/>
                    <w:ind w:firstLine="0" w:firstLineChars="0"/>
                    <w:rPr>
                      <w:sz w:val="21"/>
                      <w:szCs w:val="21"/>
                    </w:rPr>
                  </w:pPr>
                  <w:r>
                    <w:rPr>
                      <w:rFonts w:hint="eastAsia"/>
                      <w:sz w:val="21"/>
                      <w:szCs w:val="21"/>
                    </w:rPr>
                    <w:t>（五）其他产生挥发性有机物的生产和服务活动。</w:t>
                  </w:r>
                </w:p>
              </w:tc>
              <w:tc>
                <w:tcPr>
                  <w:tcW w:w="1575" w:type="pct"/>
                  <w:vAlign w:val="center"/>
                </w:tcPr>
                <w:p w14:paraId="2FBA408E">
                  <w:pPr>
                    <w:spacing w:line="240" w:lineRule="auto"/>
                    <w:ind w:firstLine="0" w:firstLineChars="0"/>
                    <w:rPr>
                      <w:sz w:val="21"/>
                      <w:szCs w:val="21"/>
                    </w:rPr>
                  </w:pPr>
                  <w:r>
                    <w:rPr>
                      <w:rFonts w:hint="eastAsia"/>
                      <w:sz w:val="21"/>
                      <w:szCs w:val="21"/>
                    </w:rPr>
                    <w:t>项目沥青储存在储罐、密闭管道中，物料的转移、输送过程中均采用密闭设施；储油罐采用高效密封的卧式储罐，供油到燃烧设备采用密闭管道；沥青罐加热废气由管道收集，搅拌出料口废气经集气罩负压收集后，共同进入1套“电捕焦油器+三级活性炭吸附”装置处理后由1根15m高排气筒（DA003）排放，可有效控制VOCs无组织排放。</w:t>
                  </w:r>
                </w:p>
              </w:tc>
              <w:tc>
                <w:tcPr>
                  <w:tcW w:w="581" w:type="pct"/>
                  <w:vAlign w:val="center"/>
                </w:tcPr>
                <w:p w14:paraId="31918ED8">
                  <w:pPr>
                    <w:spacing w:line="240" w:lineRule="auto"/>
                    <w:ind w:firstLine="0" w:firstLineChars="0"/>
                    <w:jc w:val="center"/>
                    <w:rPr>
                      <w:sz w:val="21"/>
                      <w:szCs w:val="21"/>
                    </w:rPr>
                  </w:pPr>
                  <w:r>
                    <w:rPr>
                      <w:rFonts w:hint="eastAsia"/>
                      <w:sz w:val="21"/>
                      <w:szCs w:val="21"/>
                    </w:rPr>
                    <w:t>符合</w:t>
                  </w:r>
                </w:p>
              </w:tc>
            </w:tr>
          </w:tbl>
          <w:p w14:paraId="32C959C5">
            <w:pPr>
              <w:ind w:firstLine="480"/>
              <w:jc w:val="left"/>
              <w:rPr>
                <w:rFonts w:cs="宋体"/>
                <w:kern w:val="0"/>
              </w:rPr>
            </w:pPr>
            <w:r>
              <w:rPr>
                <w:rFonts w:hint="eastAsia"/>
              </w:rPr>
              <w:t>综上所述，项目符合</w:t>
            </w:r>
            <w:r>
              <w:rPr>
                <w:rFonts w:hint="eastAsia" w:cs="宋体"/>
                <w:kern w:val="0"/>
              </w:rPr>
              <w:t>《</w:t>
            </w:r>
            <w:r>
              <w:rPr>
                <w:rFonts w:hint="eastAsia"/>
              </w:rPr>
              <w:t>昆明市</w:t>
            </w:r>
            <w:r>
              <w:rPr>
                <w:rFonts w:hint="eastAsia" w:cs="宋体"/>
                <w:kern w:val="0"/>
              </w:rPr>
              <w:t>大气污染防治条例》中的相关要求。</w:t>
            </w:r>
          </w:p>
          <w:p w14:paraId="48001CC7">
            <w:pPr>
              <w:numPr>
                <w:ilvl w:val="0"/>
                <w:numId w:val="3"/>
              </w:numPr>
              <w:ind w:firstLine="0" w:firstLineChars="0"/>
              <w:rPr>
                <w:b/>
                <w:bCs/>
              </w:rPr>
            </w:pPr>
            <w:r>
              <w:rPr>
                <w:rFonts w:hint="eastAsia"/>
                <w:b/>
                <w:bCs/>
              </w:rPr>
              <w:t>与《挥发性有机物无组织排放控制标准》（GB37822-2019）符合性分析</w:t>
            </w:r>
          </w:p>
          <w:p w14:paraId="044EB9B2">
            <w:pPr>
              <w:ind w:firstLine="480"/>
            </w:pPr>
            <w:r>
              <w:rPr>
                <w:rFonts w:hint="eastAsia"/>
              </w:rPr>
              <w:t>根据《挥发性有机物无组织排放控制标准》（GB37822-2019）有关规定，本项目建设内容与该标准的相符性分析结果见下表。</w:t>
            </w:r>
          </w:p>
          <w:p w14:paraId="21F1C252">
            <w:pPr>
              <w:ind w:firstLine="0" w:firstLineChars="0"/>
              <w:jc w:val="center"/>
            </w:pPr>
            <w:r>
              <w:rPr>
                <w:rFonts w:hint="eastAsia"/>
                <w:b/>
                <w:bCs/>
                <w:sz w:val="21"/>
                <w:szCs w:val="21"/>
              </w:rPr>
              <w:t>表1-12  项目与</w:t>
            </w:r>
            <w:r>
              <w:rPr>
                <w:rFonts w:hint="eastAsia" w:cs="宋体"/>
                <w:b/>
                <w:bCs/>
                <w:kern w:val="0"/>
                <w:sz w:val="21"/>
                <w:szCs w:val="21"/>
              </w:rPr>
              <w:t>《挥发性有机物无组织排放控制标准》（GB37822-2019）符合性分析</w:t>
            </w:r>
          </w:p>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3"/>
              <w:gridCol w:w="3735"/>
              <w:gridCol w:w="2622"/>
              <w:gridCol w:w="898"/>
            </w:tblGrid>
            <w:tr w14:paraId="0401D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0" w:type="pct"/>
                  <w:vAlign w:val="center"/>
                </w:tcPr>
                <w:p w14:paraId="0F59EBD2">
                  <w:pPr>
                    <w:spacing w:line="240" w:lineRule="auto"/>
                    <w:ind w:firstLine="0" w:firstLineChars="0"/>
                    <w:jc w:val="center"/>
                    <w:rPr>
                      <w:b/>
                      <w:bCs/>
                      <w:sz w:val="21"/>
                      <w:szCs w:val="21"/>
                    </w:rPr>
                  </w:pPr>
                  <w:r>
                    <w:rPr>
                      <w:b/>
                      <w:bCs/>
                      <w:sz w:val="21"/>
                      <w:szCs w:val="21"/>
                    </w:rPr>
                    <w:t>序号</w:t>
                  </w:r>
                </w:p>
              </w:tc>
              <w:tc>
                <w:tcPr>
                  <w:tcW w:w="2419" w:type="pct"/>
                  <w:vAlign w:val="center"/>
                </w:tcPr>
                <w:p w14:paraId="4DC33B88">
                  <w:pPr>
                    <w:spacing w:line="240" w:lineRule="auto"/>
                    <w:ind w:firstLine="0" w:firstLineChars="0"/>
                    <w:jc w:val="center"/>
                    <w:rPr>
                      <w:b/>
                      <w:bCs/>
                      <w:sz w:val="21"/>
                      <w:szCs w:val="21"/>
                    </w:rPr>
                  </w:pPr>
                  <w:r>
                    <w:rPr>
                      <w:rFonts w:hint="eastAsia"/>
                      <w:b/>
                      <w:bCs/>
                      <w:sz w:val="21"/>
                      <w:szCs w:val="21"/>
                    </w:rPr>
                    <w:t>标准具体要求（摘录）</w:t>
                  </w:r>
                </w:p>
              </w:tc>
              <w:tc>
                <w:tcPr>
                  <w:tcW w:w="1698" w:type="pct"/>
                  <w:vAlign w:val="center"/>
                </w:tcPr>
                <w:p w14:paraId="3E3F889D">
                  <w:pPr>
                    <w:spacing w:line="240" w:lineRule="auto"/>
                    <w:ind w:firstLine="0" w:firstLineChars="0"/>
                    <w:jc w:val="center"/>
                    <w:rPr>
                      <w:b/>
                      <w:bCs/>
                      <w:sz w:val="21"/>
                      <w:szCs w:val="21"/>
                    </w:rPr>
                  </w:pPr>
                  <w:r>
                    <w:rPr>
                      <w:b/>
                      <w:bCs/>
                      <w:sz w:val="21"/>
                      <w:szCs w:val="21"/>
                    </w:rPr>
                    <w:t>本项目实际情况</w:t>
                  </w:r>
                </w:p>
              </w:tc>
              <w:tc>
                <w:tcPr>
                  <w:tcW w:w="581" w:type="pct"/>
                  <w:vAlign w:val="center"/>
                </w:tcPr>
                <w:p w14:paraId="37ECB5CF">
                  <w:pPr>
                    <w:spacing w:line="240" w:lineRule="auto"/>
                    <w:ind w:firstLine="0" w:firstLineChars="0"/>
                    <w:jc w:val="center"/>
                    <w:rPr>
                      <w:b/>
                      <w:bCs/>
                      <w:sz w:val="21"/>
                      <w:szCs w:val="21"/>
                    </w:rPr>
                  </w:pPr>
                  <w:r>
                    <w:rPr>
                      <w:b/>
                      <w:bCs/>
                      <w:sz w:val="21"/>
                      <w:szCs w:val="21"/>
                    </w:rPr>
                    <w:t>符合性</w:t>
                  </w:r>
                </w:p>
              </w:tc>
            </w:tr>
            <w:tr w14:paraId="66A26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0" w:type="pct"/>
                  <w:vAlign w:val="center"/>
                </w:tcPr>
                <w:p w14:paraId="0396AD73">
                  <w:pPr>
                    <w:spacing w:line="240" w:lineRule="auto"/>
                    <w:ind w:firstLine="0" w:firstLineChars="0"/>
                    <w:jc w:val="center"/>
                    <w:rPr>
                      <w:sz w:val="21"/>
                      <w:szCs w:val="21"/>
                    </w:rPr>
                  </w:pPr>
                  <w:r>
                    <w:rPr>
                      <w:sz w:val="21"/>
                      <w:szCs w:val="21"/>
                    </w:rPr>
                    <w:t>1</w:t>
                  </w:r>
                </w:p>
              </w:tc>
              <w:tc>
                <w:tcPr>
                  <w:tcW w:w="2419" w:type="pct"/>
                  <w:vAlign w:val="center"/>
                </w:tcPr>
                <w:p w14:paraId="741991B3">
                  <w:pPr>
                    <w:spacing w:line="240" w:lineRule="auto"/>
                    <w:ind w:firstLine="0" w:firstLineChars="0"/>
                    <w:rPr>
                      <w:sz w:val="21"/>
                      <w:szCs w:val="21"/>
                    </w:rPr>
                  </w:pPr>
                  <w:r>
                    <w:rPr>
                      <w:rFonts w:hint="eastAsia"/>
                      <w:sz w:val="21"/>
                      <w:szCs w:val="21"/>
                    </w:rPr>
                    <w:t>VOCs物料储存无组织排放控制要求：</w:t>
                  </w:r>
                </w:p>
                <w:p w14:paraId="097AF3E4">
                  <w:pPr>
                    <w:spacing w:line="240" w:lineRule="auto"/>
                    <w:ind w:firstLine="0" w:firstLineChars="0"/>
                    <w:rPr>
                      <w:sz w:val="21"/>
                      <w:szCs w:val="21"/>
                    </w:rPr>
                  </w:pPr>
                  <w:r>
                    <w:rPr>
                      <w:rFonts w:hint="eastAsia"/>
                      <w:sz w:val="21"/>
                      <w:szCs w:val="21"/>
                    </w:rPr>
                    <w:t>VOCs物料应储存于密闭的容器、包装袋、储罐、储库、仓库中。盛装VOCs物料的容器或包装袋应存放于室内，或存放于设置雨棚、遮阳和防渗设施的专用场地。</w:t>
                  </w:r>
                </w:p>
                <w:p w14:paraId="02DC8C7D">
                  <w:pPr>
                    <w:spacing w:line="240" w:lineRule="auto"/>
                    <w:ind w:firstLine="0" w:firstLineChars="0"/>
                    <w:rPr>
                      <w:sz w:val="21"/>
                      <w:szCs w:val="21"/>
                    </w:rPr>
                  </w:pPr>
                  <w:r>
                    <w:rPr>
                      <w:rFonts w:hint="eastAsia"/>
                      <w:sz w:val="21"/>
                      <w:szCs w:val="21"/>
                    </w:rPr>
                    <w:t>盛装VOCs物料的容器或包装袋在非取用状态时应加盖、封口，保持密闭。</w:t>
                  </w:r>
                </w:p>
                <w:p w14:paraId="7C40A69C">
                  <w:pPr>
                    <w:spacing w:line="240" w:lineRule="auto"/>
                    <w:ind w:firstLine="0" w:firstLineChars="0"/>
                    <w:rPr>
                      <w:sz w:val="21"/>
                      <w:szCs w:val="21"/>
                    </w:rPr>
                  </w:pPr>
                  <w:r>
                    <w:rPr>
                      <w:rFonts w:hint="eastAsia"/>
                      <w:sz w:val="21"/>
                      <w:szCs w:val="21"/>
                    </w:rPr>
                    <w:t>VOCs物料储罐应密封良好。</w:t>
                  </w:r>
                </w:p>
                <w:p w14:paraId="713B8532">
                  <w:pPr>
                    <w:spacing w:line="240" w:lineRule="auto"/>
                    <w:ind w:firstLine="0" w:firstLineChars="0"/>
                    <w:rPr>
                      <w:sz w:val="21"/>
                      <w:szCs w:val="21"/>
                    </w:rPr>
                  </w:pPr>
                  <w:r>
                    <w:rPr>
                      <w:rFonts w:hint="eastAsia"/>
                      <w:sz w:val="21"/>
                      <w:szCs w:val="21"/>
                    </w:rPr>
                    <w:t>VOCs物料储库、仓库应为封闭式建筑，除人员、车辆、设备、物料进出时以及依法设立的排气筒、通风口外，门窗及其他开口（孔）部位应随时保持关闭状态。</w:t>
                  </w:r>
                </w:p>
              </w:tc>
              <w:tc>
                <w:tcPr>
                  <w:tcW w:w="1698" w:type="pct"/>
                  <w:vAlign w:val="center"/>
                </w:tcPr>
                <w:p w14:paraId="6C7AE8F9">
                  <w:pPr>
                    <w:spacing w:line="240" w:lineRule="auto"/>
                    <w:ind w:firstLine="0" w:firstLineChars="0"/>
                    <w:rPr>
                      <w:sz w:val="21"/>
                      <w:szCs w:val="21"/>
                    </w:rPr>
                  </w:pPr>
                  <w:r>
                    <w:rPr>
                      <w:sz w:val="21"/>
                      <w:szCs w:val="21"/>
                    </w:rPr>
                    <w:t>项目对含VOCs物料（沥青）储存在储罐中，物料的转移、输送过程中均采用密闭设施，从源实施管控；通过对生产设备进行密闭。符合标准中对VOCs物料储存无组织排放控制要求。</w:t>
                  </w:r>
                </w:p>
              </w:tc>
              <w:tc>
                <w:tcPr>
                  <w:tcW w:w="581" w:type="pct"/>
                  <w:vAlign w:val="center"/>
                </w:tcPr>
                <w:p w14:paraId="3BF08E05">
                  <w:pPr>
                    <w:spacing w:line="240" w:lineRule="auto"/>
                    <w:ind w:firstLine="0" w:firstLineChars="0"/>
                    <w:jc w:val="center"/>
                    <w:rPr>
                      <w:sz w:val="21"/>
                      <w:szCs w:val="21"/>
                    </w:rPr>
                  </w:pPr>
                  <w:r>
                    <w:rPr>
                      <w:rFonts w:hint="eastAsia"/>
                      <w:sz w:val="21"/>
                      <w:szCs w:val="21"/>
                    </w:rPr>
                    <w:t>符合</w:t>
                  </w:r>
                </w:p>
              </w:tc>
            </w:tr>
            <w:tr w14:paraId="50E84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300" w:type="pct"/>
                  <w:vAlign w:val="center"/>
                </w:tcPr>
                <w:p w14:paraId="7B3C7393">
                  <w:pPr>
                    <w:spacing w:line="240" w:lineRule="auto"/>
                    <w:ind w:firstLine="0" w:firstLineChars="0"/>
                    <w:jc w:val="center"/>
                    <w:rPr>
                      <w:sz w:val="21"/>
                      <w:szCs w:val="21"/>
                    </w:rPr>
                  </w:pPr>
                  <w:r>
                    <w:rPr>
                      <w:rFonts w:hint="eastAsia"/>
                      <w:sz w:val="21"/>
                      <w:szCs w:val="21"/>
                    </w:rPr>
                    <w:t>2</w:t>
                  </w:r>
                </w:p>
              </w:tc>
              <w:tc>
                <w:tcPr>
                  <w:tcW w:w="2419" w:type="pct"/>
                  <w:vAlign w:val="center"/>
                </w:tcPr>
                <w:p w14:paraId="10B4B9CE">
                  <w:pPr>
                    <w:spacing w:line="240" w:lineRule="auto"/>
                    <w:ind w:firstLine="0" w:firstLineChars="0"/>
                    <w:rPr>
                      <w:sz w:val="21"/>
                      <w:szCs w:val="21"/>
                    </w:rPr>
                  </w:pPr>
                  <w:r>
                    <w:rPr>
                      <w:rFonts w:hint="eastAsia"/>
                      <w:sz w:val="21"/>
                      <w:szCs w:val="21"/>
                    </w:rPr>
                    <w:t>VOCs物料转移和输送无组织排放控制要求：</w:t>
                  </w:r>
                </w:p>
                <w:p w14:paraId="50049894">
                  <w:pPr>
                    <w:spacing w:line="240" w:lineRule="auto"/>
                    <w:ind w:firstLine="0" w:firstLineChars="0"/>
                    <w:rPr>
                      <w:sz w:val="21"/>
                      <w:szCs w:val="21"/>
                    </w:rPr>
                  </w:pPr>
                  <w:r>
                    <w:rPr>
                      <w:rFonts w:hint="eastAsia"/>
                      <w:sz w:val="21"/>
                      <w:szCs w:val="21"/>
                    </w:rPr>
                    <w:t>粉状、粒状VOCs物料应采用气力输送时设备、管状带式输送机、螺旋输送机等密闭输送方式，或采用密闭的包装袋、容器或者罐车进行物料转移。</w:t>
                  </w:r>
                </w:p>
              </w:tc>
              <w:tc>
                <w:tcPr>
                  <w:tcW w:w="1698" w:type="pct"/>
                  <w:vAlign w:val="center"/>
                </w:tcPr>
                <w:p w14:paraId="79ECC9B6">
                  <w:pPr>
                    <w:widowControl/>
                    <w:spacing w:line="240" w:lineRule="auto"/>
                    <w:ind w:firstLine="0" w:firstLineChars="0"/>
                    <w:jc w:val="left"/>
                    <w:rPr>
                      <w:sz w:val="21"/>
                      <w:szCs w:val="21"/>
                    </w:rPr>
                  </w:pPr>
                  <w:r>
                    <w:rPr>
                      <w:rFonts w:hint="eastAsia"/>
                      <w:sz w:val="21"/>
                      <w:szCs w:val="21"/>
                    </w:rPr>
                    <w:t>本项目涉VOCs基质沥青由密闭设施运送至生产设备，符合标准中对VOCs物料转移和输送无组织排放控制要求。</w:t>
                  </w:r>
                </w:p>
              </w:tc>
              <w:tc>
                <w:tcPr>
                  <w:tcW w:w="581" w:type="pct"/>
                  <w:vAlign w:val="center"/>
                </w:tcPr>
                <w:p w14:paraId="094BD782">
                  <w:pPr>
                    <w:spacing w:line="240" w:lineRule="auto"/>
                    <w:ind w:firstLine="0" w:firstLineChars="0"/>
                    <w:jc w:val="center"/>
                    <w:rPr>
                      <w:sz w:val="21"/>
                      <w:szCs w:val="21"/>
                    </w:rPr>
                  </w:pPr>
                  <w:r>
                    <w:rPr>
                      <w:rFonts w:hint="eastAsia"/>
                      <w:sz w:val="21"/>
                      <w:szCs w:val="21"/>
                    </w:rPr>
                    <w:t>符合</w:t>
                  </w:r>
                </w:p>
              </w:tc>
            </w:tr>
            <w:tr w14:paraId="2CE56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0" w:type="pct"/>
                  <w:vAlign w:val="center"/>
                </w:tcPr>
                <w:p w14:paraId="0F9E287F">
                  <w:pPr>
                    <w:spacing w:line="240" w:lineRule="auto"/>
                    <w:ind w:firstLine="0" w:firstLineChars="0"/>
                    <w:jc w:val="center"/>
                    <w:rPr>
                      <w:sz w:val="21"/>
                      <w:szCs w:val="21"/>
                    </w:rPr>
                  </w:pPr>
                  <w:r>
                    <w:rPr>
                      <w:rFonts w:hint="eastAsia"/>
                      <w:sz w:val="21"/>
                      <w:szCs w:val="21"/>
                    </w:rPr>
                    <w:t>3</w:t>
                  </w:r>
                </w:p>
              </w:tc>
              <w:tc>
                <w:tcPr>
                  <w:tcW w:w="2419" w:type="pct"/>
                  <w:vAlign w:val="center"/>
                </w:tcPr>
                <w:p w14:paraId="65980A9E">
                  <w:pPr>
                    <w:spacing w:line="240" w:lineRule="auto"/>
                    <w:ind w:firstLine="0" w:firstLineChars="0"/>
                    <w:rPr>
                      <w:sz w:val="21"/>
                      <w:szCs w:val="21"/>
                    </w:rPr>
                  </w:pPr>
                  <w:r>
                    <w:rPr>
                      <w:rFonts w:hint="eastAsia"/>
                      <w:sz w:val="21"/>
                      <w:szCs w:val="21"/>
                    </w:rPr>
                    <w:t>含VOCs产品的使用过程：</w:t>
                  </w:r>
                </w:p>
                <w:p w14:paraId="151E95DE">
                  <w:pPr>
                    <w:spacing w:line="240" w:lineRule="auto"/>
                    <w:ind w:firstLine="0" w:firstLineChars="0"/>
                    <w:rPr>
                      <w:sz w:val="21"/>
                      <w:szCs w:val="21"/>
                    </w:rPr>
                  </w:pPr>
                  <w:r>
                    <w:rPr>
                      <w:rFonts w:hint="eastAsia"/>
                      <w:sz w:val="21"/>
                      <w:szCs w:val="21"/>
                    </w:rPr>
                    <w:t>VOCs质量占比大于等于10%的含VOCs产品，其使用过程应采用密闭设备或在密闭空间内操作，废气应排至VOCs废气收集处理系统；无法封闭的，应采取局部气体收集措施，废气应排至VOCs废气收集处理系统。</w:t>
                  </w:r>
                </w:p>
              </w:tc>
              <w:tc>
                <w:tcPr>
                  <w:tcW w:w="1698" w:type="pct"/>
                  <w:vAlign w:val="center"/>
                </w:tcPr>
                <w:p w14:paraId="1F9EC4D0">
                  <w:pPr>
                    <w:widowControl/>
                    <w:spacing w:line="240" w:lineRule="auto"/>
                    <w:ind w:firstLine="0" w:firstLineChars="0"/>
                    <w:jc w:val="left"/>
                    <w:rPr>
                      <w:sz w:val="21"/>
                      <w:szCs w:val="21"/>
                    </w:rPr>
                  </w:pPr>
                  <w:r>
                    <w:rPr>
                      <w:rFonts w:hint="eastAsia"/>
                      <w:sz w:val="21"/>
                      <w:szCs w:val="21"/>
                    </w:rPr>
                    <w:t>本项目沥青罐加热废气由管道收集，搅拌卸料口废气经微负压收集后，共同进入 1套“电捕焦油器+活性炭吸附”装置处理后由1根15m高排气筒（DA003）排放。</w:t>
                  </w:r>
                </w:p>
              </w:tc>
              <w:tc>
                <w:tcPr>
                  <w:tcW w:w="581" w:type="pct"/>
                  <w:vAlign w:val="center"/>
                </w:tcPr>
                <w:p w14:paraId="087D75FB">
                  <w:pPr>
                    <w:spacing w:line="240" w:lineRule="auto"/>
                    <w:ind w:firstLine="0" w:firstLineChars="0"/>
                    <w:jc w:val="center"/>
                    <w:rPr>
                      <w:sz w:val="21"/>
                      <w:szCs w:val="21"/>
                    </w:rPr>
                  </w:pPr>
                  <w:r>
                    <w:rPr>
                      <w:rFonts w:hint="eastAsia"/>
                      <w:sz w:val="21"/>
                      <w:szCs w:val="21"/>
                    </w:rPr>
                    <w:t>符合</w:t>
                  </w:r>
                </w:p>
              </w:tc>
            </w:tr>
            <w:tr w14:paraId="45027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300" w:type="pct"/>
                  <w:vAlign w:val="center"/>
                </w:tcPr>
                <w:p w14:paraId="3B1EC2BF">
                  <w:pPr>
                    <w:spacing w:line="240" w:lineRule="auto"/>
                    <w:ind w:firstLine="0" w:firstLineChars="0"/>
                    <w:jc w:val="center"/>
                    <w:rPr>
                      <w:sz w:val="21"/>
                      <w:szCs w:val="21"/>
                    </w:rPr>
                  </w:pPr>
                  <w:r>
                    <w:rPr>
                      <w:rFonts w:hint="eastAsia"/>
                      <w:sz w:val="21"/>
                      <w:szCs w:val="21"/>
                    </w:rPr>
                    <w:t>4</w:t>
                  </w:r>
                </w:p>
              </w:tc>
              <w:tc>
                <w:tcPr>
                  <w:tcW w:w="2419" w:type="pct"/>
                  <w:vAlign w:val="center"/>
                </w:tcPr>
                <w:p w14:paraId="63EEC6C3">
                  <w:pPr>
                    <w:spacing w:line="240" w:lineRule="auto"/>
                    <w:ind w:firstLine="0" w:firstLineChars="0"/>
                    <w:rPr>
                      <w:sz w:val="21"/>
                      <w:szCs w:val="21"/>
                    </w:rPr>
                  </w:pPr>
                  <w:r>
                    <w:rPr>
                      <w:rFonts w:hint="eastAsia"/>
                      <w:sz w:val="21"/>
                      <w:szCs w:val="21"/>
                    </w:rPr>
                    <w:t>含VOCs产品的使用过程：</w:t>
                  </w:r>
                </w:p>
                <w:p w14:paraId="72114161">
                  <w:pPr>
                    <w:spacing w:line="240" w:lineRule="auto"/>
                    <w:ind w:firstLine="0" w:firstLineChars="0"/>
                    <w:rPr>
                      <w:sz w:val="21"/>
                      <w:szCs w:val="21"/>
                    </w:rPr>
                  </w:pPr>
                  <w:r>
                    <w:rPr>
                      <w:rFonts w:hint="eastAsia"/>
                      <w:sz w:val="21"/>
                      <w:szCs w:val="21"/>
                    </w:rPr>
                    <w:t>有机聚合物产品用于制品生产的过程，在混合/混炼、塑炼/塑化/熔化、加工成型（挤出、注射、压制、压延、发泡、纺丝等）等作业中应采用密闭设备或在密闭空间内操作，废气应排至 VOCs 废气收集处理系统；无法密闭的，应采取局部气体收集措施，废气应排至VOCs 废气收集处理系统。</w:t>
                  </w:r>
                </w:p>
              </w:tc>
              <w:tc>
                <w:tcPr>
                  <w:tcW w:w="1698" w:type="pct"/>
                  <w:vAlign w:val="center"/>
                </w:tcPr>
                <w:p w14:paraId="1E0C5EA4">
                  <w:pPr>
                    <w:widowControl/>
                    <w:spacing w:line="240" w:lineRule="auto"/>
                    <w:ind w:firstLine="0" w:firstLineChars="0"/>
                    <w:jc w:val="left"/>
                    <w:rPr>
                      <w:sz w:val="21"/>
                      <w:szCs w:val="21"/>
                    </w:rPr>
                  </w:pPr>
                  <w:r>
                    <w:rPr>
                      <w:rFonts w:hint="eastAsia"/>
                      <w:sz w:val="21"/>
                      <w:szCs w:val="21"/>
                    </w:rPr>
                    <w:t>沥青罐加热废气由管道收集，搅拌出料口废气经负压收集后，共同进入1套“电捕焦油器+活性炭吸附”装置处理后由1根15m高排气筒（DA003）排放。</w:t>
                  </w:r>
                </w:p>
              </w:tc>
              <w:tc>
                <w:tcPr>
                  <w:tcW w:w="581" w:type="pct"/>
                  <w:vAlign w:val="center"/>
                </w:tcPr>
                <w:p w14:paraId="046E5759">
                  <w:pPr>
                    <w:spacing w:line="240" w:lineRule="auto"/>
                    <w:ind w:firstLine="0" w:firstLineChars="0"/>
                    <w:jc w:val="center"/>
                    <w:rPr>
                      <w:sz w:val="21"/>
                      <w:szCs w:val="21"/>
                    </w:rPr>
                  </w:pPr>
                  <w:r>
                    <w:rPr>
                      <w:rFonts w:hint="eastAsia"/>
                      <w:sz w:val="21"/>
                      <w:szCs w:val="21"/>
                    </w:rPr>
                    <w:t>符合</w:t>
                  </w:r>
                </w:p>
              </w:tc>
            </w:tr>
            <w:tr w14:paraId="30BD1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0" w:type="pct"/>
                  <w:vAlign w:val="center"/>
                </w:tcPr>
                <w:p w14:paraId="45EC67D9">
                  <w:pPr>
                    <w:spacing w:line="240" w:lineRule="auto"/>
                    <w:ind w:firstLine="0" w:firstLineChars="0"/>
                    <w:jc w:val="center"/>
                    <w:rPr>
                      <w:sz w:val="21"/>
                      <w:szCs w:val="21"/>
                    </w:rPr>
                  </w:pPr>
                  <w:r>
                    <w:rPr>
                      <w:rFonts w:hint="eastAsia"/>
                      <w:sz w:val="21"/>
                      <w:szCs w:val="21"/>
                    </w:rPr>
                    <w:t>5</w:t>
                  </w:r>
                </w:p>
              </w:tc>
              <w:tc>
                <w:tcPr>
                  <w:tcW w:w="2419" w:type="pct"/>
                  <w:vAlign w:val="center"/>
                </w:tcPr>
                <w:p w14:paraId="2BA76F32">
                  <w:pPr>
                    <w:spacing w:line="240" w:lineRule="auto"/>
                    <w:ind w:firstLine="0" w:firstLineChars="0"/>
                    <w:rPr>
                      <w:sz w:val="21"/>
                      <w:szCs w:val="21"/>
                    </w:rPr>
                  </w:pPr>
                  <w:r>
                    <w:rPr>
                      <w:rFonts w:hint="eastAsia"/>
                      <w:sz w:val="21"/>
                      <w:szCs w:val="21"/>
                    </w:rPr>
                    <w:t>VOCs排放控制要求：</w:t>
                  </w:r>
                </w:p>
                <w:p w14:paraId="15351A47">
                  <w:pPr>
                    <w:spacing w:line="240" w:lineRule="auto"/>
                    <w:ind w:firstLine="0" w:firstLineChars="0"/>
                    <w:rPr>
                      <w:sz w:val="21"/>
                      <w:szCs w:val="21"/>
                    </w:rPr>
                  </w:pPr>
                  <w:r>
                    <w:rPr>
                      <w:rFonts w:hint="eastAsia"/>
                      <w:sz w:val="21"/>
                      <w:szCs w:val="21"/>
                    </w:rPr>
                    <w:t>收集的废气中NMHC初始排放速率大于等于3kg/h时，应配置VOCs处理设施，处理效率不应低于80%。</w:t>
                  </w:r>
                </w:p>
              </w:tc>
              <w:tc>
                <w:tcPr>
                  <w:tcW w:w="1698" w:type="pct"/>
                  <w:vAlign w:val="center"/>
                </w:tcPr>
                <w:p w14:paraId="0ACA1CB4">
                  <w:pPr>
                    <w:widowControl/>
                    <w:spacing w:line="240" w:lineRule="auto"/>
                    <w:ind w:firstLine="0" w:firstLineChars="0"/>
                    <w:jc w:val="left"/>
                    <w:rPr>
                      <w:sz w:val="21"/>
                      <w:szCs w:val="21"/>
                    </w:rPr>
                  </w:pPr>
                  <w:r>
                    <w:rPr>
                      <w:rFonts w:hint="eastAsia"/>
                      <w:sz w:val="21"/>
                      <w:szCs w:val="21"/>
                    </w:rPr>
                    <w:t>本项目VOCs（非甲烷总烃）初始排放速率0.055kg/h，拟建1套“电捕焦油器+活性炭吸附”装置处理沥青罐、搅拌出料产生的废气。</w:t>
                  </w:r>
                </w:p>
              </w:tc>
              <w:tc>
                <w:tcPr>
                  <w:tcW w:w="581" w:type="pct"/>
                  <w:vAlign w:val="center"/>
                </w:tcPr>
                <w:p w14:paraId="6BA306AB">
                  <w:pPr>
                    <w:spacing w:line="240" w:lineRule="auto"/>
                    <w:ind w:firstLine="0" w:firstLineChars="0"/>
                    <w:jc w:val="center"/>
                    <w:rPr>
                      <w:sz w:val="21"/>
                      <w:szCs w:val="21"/>
                    </w:rPr>
                  </w:pPr>
                  <w:r>
                    <w:rPr>
                      <w:rFonts w:hint="eastAsia"/>
                      <w:sz w:val="21"/>
                      <w:szCs w:val="21"/>
                    </w:rPr>
                    <w:t>符合</w:t>
                  </w:r>
                </w:p>
              </w:tc>
            </w:tr>
          </w:tbl>
          <w:p w14:paraId="4A8E6950">
            <w:pPr>
              <w:ind w:firstLine="480"/>
            </w:pPr>
            <w:r>
              <w:rPr>
                <w:rFonts w:hint="eastAsia"/>
              </w:rPr>
              <w:t>综上所述，项目符合《挥发性有机物无组织排放控制标准》（GB37822-2019）要求。</w:t>
            </w:r>
          </w:p>
          <w:p w14:paraId="2638652F">
            <w:pPr>
              <w:numPr>
                <w:ilvl w:val="0"/>
                <w:numId w:val="3"/>
              </w:numPr>
              <w:ind w:firstLine="0" w:firstLineChars="0"/>
              <w:rPr>
                <w:b/>
                <w:bCs/>
              </w:rPr>
            </w:pPr>
            <w:r>
              <w:rPr>
                <w:rFonts w:hint="eastAsia"/>
                <w:b/>
                <w:bCs/>
              </w:rPr>
              <w:t>与《云南省生态环境厅云南省交通运输厅关于加强高等级公路建设项目施工扬尘污染防治的通知》（云环发〔2021〕6号）符合性分析</w:t>
            </w:r>
          </w:p>
          <w:p w14:paraId="3D47445A">
            <w:pPr>
              <w:ind w:firstLine="480"/>
            </w:pPr>
            <w:r>
              <w:rPr>
                <w:rFonts w:hint="eastAsia"/>
              </w:rPr>
              <w:t>本项目与《云南省生态环境厅云南省交通运输厅关于加强高等级公路建设项目施工扬尘污染防治的通知》（云环发〔2021〕6号）中相关防尘抑尘措施内容的符合性分析见下表。</w:t>
            </w:r>
          </w:p>
          <w:p w14:paraId="182A6FCE">
            <w:pPr>
              <w:ind w:firstLine="0" w:firstLineChars="0"/>
              <w:jc w:val="center"/>
              <w:rPr>
                <w:rFonts w:cs="宋体"/>
                <w:b/>
                <w:bCs/>
                <w:kern w:val="0"/>
                <w:sz w:val="21"/>
                <w:szCs w:val="21"/>
              </w:rPr>
            </w:pPr>
            <w:r>
              <w:rPr>
                <w:rFonts w:hint="eastAsia"/>
                <w:b/>
                <w:bCs/>
                <w:sz w:val="21"/>
                <w:szCs w:val="21"/>
              </w:rPr>
              <w:t>表1-13  项目与</w:t>
            </w:r>
            <w:r>
              <w:rPr>
                <w:rFonts w:hint="eastAsia" w:cs="宋体"/>
                <w:b/>
                <w:bCs/>
                <w:kern w:val="0"/>
                <w:sz w:val="21"/>
                <w:szCs w:val="21"/>
              </w:rPr>
              <w:t>《云南省生态环境厅云南省交通运输厅关于加强高等级公路建设项目施工扬尘污染防治的通知》符合性分析</w:t>
            </w:r>
          </w:p>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3"/>
              <w:gridCol w:w="3229"/>
              <w:gridCol w:w="3129"/>
              <w:gridCol w:w="897"/>
            </w:tblGrid>
            <w:tr w14:paraId="11143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0" w:type="pct"/>
                  <w:vAlign w:val="center"/>
                </w:tcPr>
                <w:p w14:paraId="0564AB29">
                  <w:pPr>
                    <w:spacing w:line="240" w:lineRule="auto"/>
                    <w:ind w:firstLine="0" w:firstLineChars="0"/>
                    <w:jc w:val="center"/>
                    <w:rPr>
                      <w:b/>
                      <w:bCs/>
                      <w:sz w:val="21"/>
                      <w:szCs w:val="21"/>
                    </w:rPr>
                  </w:pPr>
                  <w:r>
                    <w:rPr>
                      <w:b/>
                      <w:bCs/>
                      <w:sz w:val="21"/>
                      <w:szCs w:val="21"/>
                    </w:rPr>
                    <w:t>序号</w:t>
                  </w:r>
                </w:p>
              </w:tc>
              <w:tc>
                <w:tcPr>
                  <w:tcW w:w="2091" w:type="pct"/>
                  <w:vAlign w:val="center"/>
                </w:tcPr>
                <w:p w14:paraId="3342856E">
                  <w:pPr>
                    <w:spacing w:line="240" w:lineRule="auto"/>
                    <w:ind w:firstLine="0" w:firstLineChars="0"/>
                    <w:jc w:val="center"/>
                    <w:rPr>
                      <w:b/>
                      <w:bCs/>
                      <w:sz w:val="21"/>
                      <w:szCs w:val="21"/>
                    </w:rPr>
                  </w:pPr>
                  <w:r>
                    <w:rPr>
                      <w:rFonts w:hint="eastAsia"/>
                      <w:b/>
                      <w:bCs/>
                      <w:sz w:val="21"/>
                      <w:szCs w:val="21"/>
                    </w:rPr>
                    <w:t>《通知》中防尘抑尘措施</w:t>
                  </w:r>
                </w:p>
              </w:tc>
              <w:tc>
                <w:tcPr>
                  <w:tcW w:w="2026" w:type="pct"/>
                  <w:vAlign w:val="center"/>
                </w:tcPr>
                <w:p w14:paraId="0BEFEBC9">
                  <w:pPr>
                    <w:spacing w:line="240" w:lineRule="auto"/>
                    <w:ind w:firstLine="0" w:firstLineChars="0"/>
                    <w:jc w:val="center"/>
                    <w:rPr>
                      <w:b/>
                      <w:bCs/>
                      <w:sz w:val="21"/>
                      <w:szCs w:val="21"/>
                    </w:rPr>
                  </w:pPr>
                  <w:r>
                    <w:rPr>
                      <w:b/>
                      <w:bCs/>
                      <w:sz w:val="21"/>
                      <w:szCs w:val="21"/>
                    </w:rPr>
                    <w:t>本项目实际情况</w:t>
                  </w:r>
                </w:p>
              </w:tc>
              <w:tc>
                <w:tcPr>
                  <w:tcW w:w="581" w:type="pct"/>
                  <w:vAlign w:val="center"/>
                </w:tcPr>
                <w:p w14:paraId="5E70581E">
                  <w:pPr>
                    <w:spacing w:line="240" w:lineRule="auto"/>
                    <w:ind w:firstLine="0" w:firstLineChars="0"/>
                    <w:jc w:val="center"/>
                    <w:rPr>
                      <w:b/>
                      <w:bCs/>
                      <w:sz w:val="21"/>
                      <w:szCs w:val="21"/>
                    </w:rPr>
                  </w:pPr>
                  <w:r>
                    <w:rPr>
                      <w:b/>
                      <w:bCs/>
                      <w:sz w:val="21"/>
                      <w:szCs w:val="21"/>
                    </w:rPr>
                    <w:t>符合性</w:t>
                  </w:r>
                </w:p>
              </w:tc>
            </w:tr>
            <w:tr w14:paraId="766EB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0" w:type="pct"/>
                  <w:vAlign w:val="center"/>
                </w:tcPr>
                <w:p w14:paraId="3FCC363C">
                  <w:pPr>
                    <w:spacing w:line="240" w:lineRule="auto"/>
                    <w:ind w:firstLine="0" w:firstLineChars="0"/>
                    <w:jc w:val="center"/>
                    <w:rPr>
                      <w:sz w:val="21"/>
                      <w:szCs w:val="21"/>
                    </w:rPr>
                  </w:pPr>
                  <w:r>
                    <w:rPr>
                      <w:sz w:val="21"/>
                      <w:szCs w:val="21"/>
                    </w:rPr>
                    <w:t>1</w:t>
                  </w:r>
                </w:p>
              </w:tc>
              <w:tc>
                <w:tcPr>
                  <w:tcW w:w="2091" w:type="pct"/>
                  <w:vAlign w:val="center"/>
                </w:tcPr>
                <w:p w14:paraId="3E99F991">
                  <w:pPr>
                    <w:spacing w:line="240" w:lineRule="auto"/>
                    <w:ind w:firstLine="0" w:firstLineChars="0"/>
                    <w:rPr>
                      <w:sz w:val="21"/>
                      <w:szCs w:val="21"/>
                    </w:rPr>
                  </w:pPr>
                  <w:r>
                    <w:rPr>
                      <w:rFonts w:hint="eastAsia"/>
                      <w:sz w:val="21"/>
                      <w:szCs w:val="21"/>
                    </w:rPr>
                    <w:t>（四）合理布置沥青搅拌、混合料拌和场站。沥青搅拌场站距村庄、学校、医院及人口密集区等环境敏感目标的距离不小于300米，混合料拌和站距环境敏感目标的距离不小于200米，并应设置在当地施工季节主导风向的下风向。</w:t>
                  </w:r>
                </w:p>
              </w:tc>
              <w:tc>
                <w:tcPr>
                  <w:tcW w:w="2026" w:type="pct"/>
                  <w:vAlign w:val="center"/>
                </w:tcPr>
                <w:p w14:paraId="3F05D88C">
                  <w:pPr>
                    <w:spacing w:line="240" w:lineRule="auto"/>
                    <w:ind w:firstLine="0" w:firstLineChars="0"/>
                    <w:rPr>
                      <w:sz w:val="21"/>
                      <w:szCs w:val="21"/>
                    </w:rPr>
                  </w:pPr>
                  <w:r>
                    <w:rPr>
                      <w:sz w:val="21"/>
                      <w:szCs w:val="21"/>
                    </w:rPr>
                    <w:t>本项目为沥青混凝土生产项目，最近村庄为项目南侧约</w:t>
                  </w:r>
                  <w:r>
                    <w:rPr>
                      <w:rFonts w:hint="eastAsia"/>
                      <w:sz w:val="21"/>
                      <w:szCs w:val="21"/>
                    </w:rPr>
                    <w:t>39</w:t>
                  </w:r>
                  <w:r>
                    <w:rPr>
                      <w:sz w:val="21"/>
                      <w:szCs w:val="21"/>
                    </w:rPr>
                    <w:t>0m处的</w:t>
                  </w:r>
                  <w:r>
                    <w:rPr>
                      <w:rFonts w:hint="eastAsia"/>
                      <w:sz w:val="21"/>
                      <w:szCs w:val="21"/>
                    </w:rPr>
                    <w:t>小法古</w:t>
                  </w:r>
                  <w:r>
                    <w:rPr>
                      <w:sz w:val="21"/>
                      <w:szCs w:val="21"/>
                    </w:rPr>
                    <w:t>村，距离大于300米，且位于项目区上风向</w:t>
                  </w:r>
                  <w:r>
                    <w:rPr>
                      <w:rFonts w:hint="eastAsia"/>
                      <w:sz w:val="21"/>
                      <w:szCs w:val="21"/>
                    </w:rPr>
                    <w:t>。</w:t>
                  </w:r>
                </w:p>
              </w:tc>
              <w:tc>
                <w:tcPr>
                  <w:tcW w:w="581" w:type="pct"/>
                  <w:vAlign w:val="center"/>
                </w:tcPr>
                <w:p w14:paraId="0AB10C5E">
                  <w:pPr>
                    <w:spacing w:line="240" w:lineRule="auto"/>
                    <w:ind w:firstLine="0" w:firstLineChars="0"/>
                    <w:jc w:val="center"/>
                    <w:rPr>
                      <w:sz w:val="21"/>
                      <w:szCs w:val="21"/>
                    </w:rPr>
                  </w:pPr>
                  <w:r>
                    <w:rPr>
                      <w:rFonts w:hint="eastAsia"/>
                      <w:sz w:val="21"/>
                      <w:szCs w:val="21"/>
                    </w:rPr>
                    <w:t>符合</w:t>
                  </w:r>
                </w:p>
              </w:tc>
            </w:tr>
          </w:tbl>
          <w:p w14:paraId="2CA29739">
            <w:pPr>
              <w:ind w:firstLine="480"/>
            </w:pPr>
            <w:r>
              <w:rPr>
                <w:rFonts w:hint="eastAsia"/>
              </w:rPr>
              <w:t>综上所述，项目符合《云南省生态环境厅云南省交通运输厅关于加强高等级公路建设项目施工扬尘污染防治的通知》要求。</w:t>
            </w:r>
          </w:p>
          <w:p w14:paraId="2185BE71">
            <w:pPr>
              <w:numPr>
                <w:ilvl w:val="0"/>
                <w:numId w:val="3"/>
              </w:numPr>
              <w:ind w:firstLine="0" w:firstLineChars="0"/>
              <w:rPr>
                <w:b/>
                <w:bCs/>
              </w:rPr>
            </w:pPr>
            <w:r>
              <w:rPr>
                <w:rFonts w:hint="eastAsia"/>
                <w:b/>
                <w:bCs/>
              </w:rPr>
              <w:t>选址合理性分析</w:t>
            </w:r>
          </w:p>
          <w:p w14:paraId="39B9B9FE">
            <w:pPr>
              <w:ind w:firstLine="480"/>
              <w:rPr>
                <w:rFonts w:hint="default"/>
                <w:kern w:val="0"/>
                <w:lang w:val="en-US" w:eastAsia="zh-CN"/>
              </w:rPr>
            </w:pPr>
            <w:r>
              <w:rPr>
                <w:rFonts w:hint="eastAsia"/>
                <w:kern w:val="0"/>
              </w:rPr>
              <w:t>项目为沥青搅拌站建设项目，位于</w:t>
            </w:r>
            <w:r>
              <w:rPr>
                <w:rFonts w:hint="eastAsia"/>
              </w:rPr>
              <w:t>云南省昆明市寻甸县仁德街道中桥社区</w:t>
            </w:r>
            <w:r>
              <w:rPr>
                <w:rFonts w:hint="eastAsia"/>
                <w:kern w:val="0"/>
              </w:rPr>
              <w:t>。</w:t>
            </w:r>
            <w:r>
              <w:rPr>
                <w:rFonts w:hint="eastAsia" w:ascii="Times New Roman" w:hAnsi="Times New Roman" w:eastAsia="宋体" w:cs="Times New Roman"/>
                <w:color w:val="0000FF"/>
                <w:kern w:val="2"/>
                <w:sz w:val="24"/>
                <w:szCs w:val="24"/>
                <w:lang w:val="en-US" w:eastAsia="zh-CN" w:bidi="ar-SA"/>
              </w:rPr>
              <w:t>根据</w:t>
            </w:r>
            <w:r>
              <w:rPr>
                <w:rFonts w:hint="eastAsia" w:cs="Times New Roman"/>
                <w:color w:val="0000FF"/>
                <w:kern w:val="2"/>
                <w:sz w:val="24"/>
                <w:szCs w:val="24"/>
                <w:lang w:val="en-US" w:eastAsia="zh-CN" w:bidi="ar-SA"/>
              </w:rPr>
              <w:t>寻甸回族彝族自治县自然资源局“关于</w:t>
            </w:r>
            <w:r>
              <w:rPr>
                <w:rFonts w:hint="eastAsia"/>
                <w:color w:val="0000FF"/>
              </w:rPr>
              <w:t>寻甸熠峰建设工程有限公司搅拌站项目</w:t>
            </w:r>
            <w:r>
              <w:rPr>
                <w:rFonts w:hint="eastAsia"/>
                <w:color w:val="0000FF"/>
                <w:lang w:val="en-US" w:eastAsia="zh-CN"/>
              </w:rPr>
              <w:t>选址意见的情况说明</w:t>
            </w:r>
            <w:r>
              <w:rPr>
                <w:rFonts w:hint="eastAsia" w:cs="Times New Roman"/>
                <w:color w:val="0000FF"/>
                <w:kern w:val="2"/>
                <w:sz w:val="24"/>
                <w:szCs w:val="24"/>
                <w:lang w:val="en-US" w:eastAsia="zh-CN" w:bidi="ar-SA"/>
              </w:rPr>
              <w:t>”</w:t>
            </w:r>
            <w:r>
              <w:rPr>
                <w:rFonts w:hint="eastAsia"/>
                <w:color w:val="0000FF"/>
              </w:rPr>
              <w:t>，项目用地范围不涉及</w:t>
            </w:r>
            <w:r>
              <w:rPr>
                <w:rFonts w:hint="eastAsia"/>
                <w:color w:val="0000FF"/>
                <w:lang w:val="en-US" w:eastAsia="zh-CN"/>
              </w:rPr>
              <w:t>占用</w:t>
            </w:r>
            <w:r>
              <w:rPr>
                <w:rFonts w:hint="eastAsia"/>
                <w:color w:val="0000FF"/>
              </w:rPr>
              <w:t>生态红线、永久基本农田，位于村庄建设边界内，规划</w:t>
            </w:r>
            <w:r>
              <w:rPr>
                <w:rFonts w:hint="eastAsia"/>
                <w:color w:val="0000FF"/>
                <w:lang w:val="en-US" w:eastAsia="zh-CN"/>
              </w:rPr>
              <w:t>用途</w:t>
            </w:r>
            <w:r>
              <w:rPr>
                <w:rFonts w:hint="eastAsia"/>
                <w:color w:val="0000FF"/>
              </w:rPr>
              <w:t>为工业用地，</w:t>
            </w:r>
            <w:r>
              <w:rPr>
                <w:rFonts w:hint="eastAsia"/>
                <w:color w:val="0000FF"/>
                <w:lang w:val="en-US" w:eastAsia="zh-CN"/>
              </w:rPr>
              <w:t>原则同意项目的选址</w:t>
            </w:r>
            <w:r>
              <w:rPr>
                <w:rFonts w:hint="eastAsia"/>
                <w:color w:val="0000FF"/>
                <w:kern w:val="0"/>
                <w:lang w:eastAsia="zh-CN"/>
              </w:rPr>
              <w:t>；</w:t>
            </w:r>
            <w:r>
              <w:rPr>
                <w:rFonts w:hint="eastAsia"/>
                <w:color w:val="0000FF"/>
                <w:kern w:val="0"/>
                <w:lang w:val="en-US" w:eastAsia="zh-CN"/>
              </w:rPr>
              <w:t>根据寻甸回族彝族自治县水务局“关于</w:t>
            </w:r>
            <w:r>
              <w:rPr>
                <w:rFonts w:hint="eastAsia"/>
                <w:color w:val="0000FF"/>
              </w:rPr>
              <w:t>寻甸熠峰建设工程有限公司搅拌站项目</w:t>
            </w:r>
            <w:r>
              <w:rPr>
                <w:rFonts w:hint="eastAsia"/>
                <w:color w:val="0000FF"/>
                <w:lang w:val="en-US" w:eastAsia="zh-CN"/>
              </w:rPr>
              <w:t>选址的回复意见</w:t>
            </w:r>
            <w:r>
              <w:rPr>
                <w:rFonts w:hint="eastAsia"/>
                <w:color w:val="0000FF"/>
                <w:kern w:val="0"/>
                <w:lang w:val="en-US" w:eastAsia="zh-CN"/>
              </w:rPr>
              <w:t>”，项目的选址不涉及水库保护管理范围、饮用水源地管理保护范围，同意项目选址。</w:t>
            </w:r>
          </w:p>
          <w:p w14:paraId="3F962401">
            <w:pPr>
              <w:ind w:firstLine="480"/>
              <w:rPr>
                <w:kern w:val="0"/>
              </w:rPr>
            </w:pPr>
            <w:r>
              <w:rPr>
                <w:rFonts w:hint="eastAsia"/>
                <w:kern w:val="0"/>
              </w:rPr>
              <w:t>项目用地范围内不涉及国家公园、自然保护区、森林公园、风景名胜区等各类自然保护地，根据寻甸县林业和草原局出具选址意见可知，项目不涉及使用林地和草地</w:t>
            </w:r>
            <w:r>
              <w:rPr>
                <w:rFonts w:hint="eastAsia"/>
                <w:kern w:val="0"/>
                <w:lang w:eastAsia="zh-CN"/>
              </w:rPr>
              <w:t>。</w:t>
            </w:r>
            <w:r>
              <w:rPr>
                <w:rFonts w:hint="eastAsia"/>
                <w:kern w:val="0"/>
              </w:rPr>
              <w:t>同时项目建设符合《云南省生态环境厅云南省交通运输厅关于加强高等级公路建设项目施工扬尘污染防治的通知》中的相关要求。</w:t>
            </w:r>
          </w:p>
          <w:p w14:paraId="7CAA61D1">
            <w:pPr>
              <w:ind w:firstLine="480"/>
              <w:rPr>
                <w:kern w:val="0"/>
              </w:rPr>
            </w:pPr>
            <w:r>
              <w:rPr>
                <w:rFonts w:hint="eastAsia"/>
                <w:kern w:val="0"/>
              </w:rPr>
              <w:t>本项目对生产中产生的废气均采取措施进行处理，做到达标排放；对产生的车轮清洗废水、初期雨水和员工生活污水等均采取措施处理后回用，不外排；噪声经过采取措施后可达标排放；固废处置率为100%。通过本次环境影响分析，项目运营过程产生的废气、废水、噪声及固体废物经环评提出的各项措施治理后，对区域环境影响可接受。</w:t>
            </w:r>
          </w:p>
          <w:p w14:paraId="0382E4F7">
            <w:pPr>
              <w:ind w:firstLine="480"/>
              <w:rPr>
                <w:kern w:val="0"/>
              </w:rPr>
            </w:pPr>
            <w:r>
              <w:rPr>
                <w:rFonts w:hint="eastAsia"/>
                <w:kern w:val="0"/>
              </w:rPr>
              <w:t>综上，项目选址合理。</w:t>
            </w:r>
          </w:p>
          <w:p w14:paraId="7A674678">
            <w:pPr>
              <w:numPr>
                <w:ilvl w:val="0"/>
                <w:numId w:val="3"/>
              </w:numPr>
              <w:ind w:firstLine="0" w:firstLineChars="0"/>
              <w:rPr>
                <w:b/>
                <w:bCs/>
              </w:rPr>
            </w:pPr>
            <w:r>
              <w:rPr>
                <w:rFonts w:hint="eastAsia"/>
                <w:b/>
                <w:bCs/>
              </w:rPr>
              <w:t>与周边环境相容性分析</w:t>
            </w:r>
          </w:p>
          <w:p w14:paraId="6C0B4CF4">
            <w:pPr>
              <w:ind w:firstLine="480"/>
              <w:jc w:val="left"/>
            </w:pPr>
            <w:r>
              <w:rPr>
                <w:rFonts w:hint="eastAsia"/>
              </w:rPr>
              <w:t>项目位于云南省昆明市寻甸县仁德街道中桥社区，根据现场调查，项目周围50m范围内无声环境保护目标；厂界外500m范围内无自然保护区、风景名胜区、文化区等；厂界外500m范围内无地下水集中式饮用水水源和热水、矿泉水、温泉等特殊地下水，最近村庄为南侧390m处的小法古村，项目周边500m</w:t>
            </w:r>
            <w:r>
              <w:rPr>
                <w:rFonts w:hint="eastAsia"/>
                <w:lang w:val="en-US" w:eastAsia="zh-CN"/>
              </w:rPr>
              <w:t>范围内</w:t>
            </w:r>
            <w:r>
              <w:rPr>
                <w:rFonts w:hint="eastAsia"/>
              </w:rPr>
              <w:t>无其他企业。建设单位在严格落实环评报告提出的污染防治措施做好生产管理的情况下，确保废气、噪声等污染物实现达标排放，确保废水全部回用不外排，固废处置率100%，项目的建设对区域环境影响较小。</w:t>
            </w:r>
          </w:p>
          <w:p w14:paraId="2A2FD695">
            <w:pPr>
              <w:ind w:firstLine="480"/>
              <w:jc w:val="left"/>
            </w:pPr>
            <w:r>
              <w:rPr>
                <w:rFonts w:hint="eastAsia"/>
              </w:rPr>
              <w:t>综上所述，项目的建设与周边环境是相容。</w:t>
            </w:r>
          </w:p>
          <w:p w14:paraId="30DCB6E8">
            <w:pPr>
              <w:ind w:firstLine="480"/>
              <w:jc w:val="left"/>
            </w:pPr>
          </w:p>
          <w:p w14:paraId="57AEB02B">
            <w:pPr>
              <w:ind w:firstLine="480"/>
              <w:jc w:val="left"/>
            </w:pPr>
          </w:p>
          <w:p w14:paraId="326FE278">
            <w:pPr>
              <w:ind w:firstLine="480"/>
              <w:jc w:val="left"/>
            </w:pPr>
          </w:p>
          <w:p w14:paraId="24255027">
            <w:pPr>
              <w:ind w:firstLine="0" w:firstLineChars="0"/>
              <w:jc w:val="left"/>
            </w:pPr>
          </w:p>
          <w:p w14:paraId="0763338E">
            <w:pPr>
              <w:ind w:firstLine="0" w:firstLineChars="0"/>
              <w:jc w:val="left"/>
            </w:pPr>
          </w:p>
          <w:p w14:paraId="24B4A0F4">
            <w:pPr>
              <w:ind w:firstLine="0" w:firstLineChars="0"/>
              <w:jc w:val="left"/>
            </w:pPr>
          </w:p>
        </w:tc>
      </w:tr>
    </w:tbl>
    <w:p w14:paraId="23F7065E">
      <w:pPr>
        <w:ind w:firstLine="480"/>
        <w:sectPr>
          <w:footerReference r:id="rId8" w:type="default"/>
          <w:pgSz w:w="11906" w:h="16838"/>
          <w:pgMar w:top="1440" w:right="1800" w:bottom="1440" w:left="1800" w:header="851" w:footer="992" w:gutter="0"/>
          <w:pgNumType w:start="1"/>
          <w:cols w:space="425" w:num="1"/>
          <w:docGrid w:type="lines" w:linePitch="312" w:charSpace="0"/>
        </w:sectPr>
      </w:pPr>
    </w:p>
    <w:p w14:paraId="5E3AB4EC">
      <w:pPr>
        <w:pStyle w:val="22"/>
        <w:ind w:firstLine="0" w:firstLineChars="0"/>
        <w:jc w:val="center"/>
        <w:outlineLvl w:val="0"/>
        <w:rPr>
          <w:rFonts w:ascii="Times New Roman" w:hAnsi="Times New Roman" w:eastAsia="黑体"/>
          <w:snapToGrid w:val="0"/>
          <w:sz w:val="30"/>
          <w:szCs w:val="30"/>
        </w:rPr>
      </w:pPr>
      <w:bookmarkStart w:id="9" w:name="_Toc11353"/>
      <w:bookmarkStart w:id="10" w:name="_Toc17414"/>
      <w:bookmarkStart w:id="11" w:name="_Toc11693"/>
      <w:r>
        <w:rPr>
          <w:rFonts w:hint="eastAsia" w:ascii="Times New Roman" w:hAnsi="Times New Roman" w:eastAsia="黑体" w:cs="黑体"/>
          <w:snapToGrid w:val="0"/>
          <w:sz w:val="30"/>
          <w:szCs w:val="30"/>
        </w:rPr>
        <w:t>二、建设项目工程分析</w:t>
      </w:r>
      <w:bookmarkEnd w:id="9"/>
      <w:bookmarkEnd w:id="10"/>
      <w:bookmarkEnd w:id="11"/>
    </w:p>
    <w:tbl>
      <w:tblPr>
        <w:tblStyle w:val="26"/>
        <w:tblW w:w="898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555"/>
        <w:gridCol w:w="8429"/>
      </w:tblGrid>
      <w:tr w14:paraId="3812D6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61" w:hRule="atLeast"/>
          <w:jc w:val="center"/>
        </w:trPr>
        <w:tc>
          <w:tcPr>
            <w:tcW w:w="601" w:type="dxa"/>
            <w:tcBorders>
              <w:top w:val="single" w:color="auto" w:sz="8" w:space="0"/>
              <w:left w:val="single" w:color="auto" w:sz="8" w:space="0"/>
              <w:bottom w:val="single" w:color="auto" w:sz="4" w:space="0"/>
              <w:right w:val="single" w:color="auto" w:sz="4" w:space="0"/>
            </w:tcBorders>
            <w:shd w:val="clear" w:color="auto" w:fill="auto"/>
            <w:vAlign w:val="center"/>
          </w:tcPr>
          <w:p w14:paraId="7101B2E8">
            <w:pPr>
              <w:pStyle w:val="22"/>
              <w:adjustRightInd w:val="0"/>
              <w:snapToGrid w:val="0"/>
              <w:spacing w:before="0" w:beforeAutospacing="0" w:after="0" w:afterAutospacing="0"/>
              <w:ind w:firstLine="0" w:firstLineChars="0"/>
              <w:jc w:val="center"/>
              <w:rPr>
                <w:rFonts w:ascii="Times New Roman" w:hAnsi="Times New Roman"/>
                <w:sz w:val="21"/>
                <w:szCs w:val="21"/>
              </w:rPr>
            </w:pPr>
            <w:r>
              <w:rPr>
                <w:rFonts w:ascii="Times New Roman" w:hAnsi="Times New Roman" w:cs="宋体"/>
                <w:sz w:val="21"/>
                <w:szCs w:val="21"/>
              </w:rPr>
              <w:t>建设内容</w:t>
            </w:r>
          </w:p>
        </w:tc>
        <w:tc>
          <w:tcPr>
            <w:tcW w:w="8383" w:type="dxa"/>
            <w:tcBorders>
              <w:top w:val="single" w:color="auto" w:sz="8" w:space="0"/>
              <w:left w:val="single" w:color="auto" w:sz="4" w:space="0"/>
              <w:bottom w:val="single" w:color="auto" w:sz="4" w:space="0"/>
              <w:right w:val="single" w:color="auto" w:sz="8" w:space="0"/>
            </w:tcBorders>
            <w:shd w:val="clear" w:color="auto" w:fill="auto"/>
          </w:tcPr>
          <w:p w14:paraId="3418F566">
            <w:pPr>
              <w:numPr>
                <w:ilvl w:val="0"/>
                <w:numId w:val="5"/>
              </w:numPr>
              <w:adjustRightInd w:val="0"/>
              <w:snapToGrid w:val="0"/>
              <w:ind w:firstLine="482"/>
              <w:rPr>
                <w:rFonts w:cs="宋体"/>
                <w:b/>
              </w:rPr>
            </w:pPr>
            <w:r>
              <w:rPr>
                <w:rFonts w:hint="eastAsia" w:cs="宋体"/>
                <w:b/>
              </w:rPr>
              <w:t>项目由来</w:t>
            </w:r>
          </w:p>
          <w:p w14:paraId="087F2923">
            <w:pPr>
              <w:adjustRightInd w:val="0"/>
              <w:snapToGrid w:val="0"/>
              <w:ind w:firstLine="480"/>
              <w:rPr>
                <w:rFonts w:cs="宋体"/>
                <w:bCs/>
              </w:rPr>
            </w:pPr>
            <w:r>
              <w:rPr>
                <w:rFonts w:hint="eastAsia" w:cs="宋体"/>
                <w:bCs/>
              </w:rPr>
              <w:t>根据《寻甸回族彝族自治县国土空间总体规划（2021-2035年）》中统筹构建总体发展格局，寻甸县仁德街道作为城市经济发展核心，在后续的道路打通及翻新过程中，需要大量的沥青混凝土。根据市场调研，仁德街道内目前建有的沥青混凝土搅拌站较少，沥青混凝土市场前景较好。</w:t>
            </w:r>
          </w:p>
          <w:p w14:paraId="39B79DDA">
            <w:pPr>
              <w:adjustRightInd w:val="0"/>
              <w:snapToGrid w:val="0"/>
              <w:ind w:firstLine="480"/>
              <w:rPr>
                <w:rFonts w:cs="宋体"/>
                <w:bCs/>
              </w:rPr>
            </w:pPr>
            <w:r>
              <w:rPr>
                <w:rFonts w:hint="eastAsia" w:cs="宋体"/>
                <w:bCs/>
              </w:rPr>
              <w:t>寻甸熠峰建设工程有限公司租用</w:t>
            </w:r>
            <w:r>
              <w:rPr>
                <w:rFonts w:hint="eastAsia"/>
              </w:rPr>
              <w:t>寻甸县仁德街道中桥社区</w:t>
            </w:r>
            <w:r>
              <w:rPr>
                <w:rFonts w:hint="eastAsia" w:cs="宋体"/>
                <w:bCs/>
              </w:rPr>
              <w:t>的农村集体建设用地建设“寻甸熠峰建设工程有限公司搅拌站项目”，本项目于</w:t>
            </w:r>
            <w:r>
              <w:t>202</w:t>
            </w:r>
            <w:r>
              <w:rPr>
                <w:rFonts w:hint="eastAsia"/>
              </w:rPr>
              <w:t>6</w:t>
            </w:r>
            <w:r>
              <w:t>年</w:t>
            </w:r>
            <w:r>
              <w:rPr>
                <w:rFonts w:hint="eastAsia"/>
              </w:rPr>
              <w:t>3</w:t>
            </w:r>
            <w:r>
              <w:t>月</w:t>
            </w:r>
            <w:r>
              <w:rPr>
                <w:rFonts w:hint="eastAsia"/>
              </w:rPr>
              <w:t>16</w:t>
            </w:r>
            <w:r>
              <w:t>日取得</w:t>
            </w:r>
            <w:r>
              <w:rPr>
                <w:rFonts w:hint="eastAsia"/>
              </w:rPr>
              <w:t>寻甸回族彝族自治县发展和改革局</w:t>
            </w:r>
            <w:r>
              <w:t>发放的投资备案证</w:t>
            </w:r>
            <w:r>
              <w:rPr>
                <w:rFonts w:hint="eastAsia" w:cs="宋体"/>
                <w:bCs/>
              </w:rPr>
              <w:t>，项目代码为：2504-530129-04-01-528969。</w:t>
            </w:r>
          </w:p>
          <w:p w14:paraId="3DFB6E03">
            <w:pPr>
              <w:adjustRightInd w:val="0"/>
              <w:snapToGrid w:val="0"/>
              <w:ind w:firstLine="480"/>
              <w:rPr>
                <w:rFonts w:cs="宋体"/>
                <w:bCs/>
              </w:rPr>
            </w:pPr>
            <w:r>
              <w:rPr>
                <w:rFonts w:hint="eastAsia" w:cs="宋体"/>
                <w:bCs/>
              </w:rPr>
              <w:t>根据《中华人民共和国环境保护法》、《中华人民共和国环境影响评价法》和《建设项目环境保护管理条例》的规定，本项目应开展环境影响评价工作。根据《国民经济行业分类》（GB/T4754-2017），本项目为“C3099其他非金属矿物制品制造”。根据国家《建设项目环境影响评价分类管理名录》（2021年版）规定，本项目属于“二十七、非金属矿物制品业  60 石墨及其他非金属矿物制品制造 309 ”中“其他”。按《名录》规定，本项目应当编制环境影响报告表。</w:t>
            </w:r>
          </w:p>
          <w:p w14:paraId="39CE40AC">
            <w:pPr>
              <w:adjustRightInd w:val="0"/>
              <w:snapToGrid w:val="0"/>
              <w:ind w:firstLine="480"/>
              <w:rPr>
                <w:rStyle w:val="30"/>
                <w:kern w:val="0"/>
                <w:sz w:val="24"/>
                <w:szCs w:val="24"/>
              </w:rPr>
            </w:pPr>
            <w:r>
              <w:rPr>
                <w:rStyle w:val="30"/>
                <w:rFonts w:hint="eastAsia"/>
                <w:kern w:val="0"/>
                <w:sz w:val="24"/>
                <w:szCs w:val="24"/>
              </w:rPr>
              <w:t>为此，</w:t>
            </w:r>
            <w:r>
              <w:rPr>
                <w:rFonts w:hint="eastAsia" w:cs="宋体"/>
                <w:bCs/>
              </w:rPr>
              <w:t>寻甸熠峰建设工程有限公司</w:t>
            </w:r>
            <w:r>
              <w:rPr>
                <w:rStyle w:val="30"/>
                <w:rFonts w:hint="eastAsia"/>
                <w:kern w:val="0"/>
                <w:sz w:val="24"/>
                <w:szCs w:val="24"/>
              </w:rPr>
              <w:t>委托云南旭蓝环境工程有限公司承担该项目的环境影响评价工作。我单位接受委托后进行了实地踏勘，收集有关资料，按照环境影响评价有关技术规范，编制了《寻甸熠峰建设工程有限公司搅拌站项目环境影响报告表》，供建设单位上报审批。</w:t>
            </w:r>
          </w:p>
          <w:p w14:paraId="0B631DD3">
            <w:pPr>
              <w:numPr>
                <w:ilvl w:val="0"/>
                <w:numId w:val="5"/>
              </w:numPr>
              <w:adjustRightInd w:val="0"/>
              <w:snapToGrid w:val="0"/>
              <w:ind w:firstLine="482"/>
              <w:rPr>
                <w:rFonts w:cs="宋体"/>
                <w:b/>
              </w:rPr>
            </w:pPr>
            <w:r>
              <w:rPr>
                <w:rFonts w:hint="eastAsia" w:cs="宋体"/>
                <w:b/>
              </w:rPr>
              <w:t>本项目情况</w:t>
            </w:r>
          </w:p>
          <w:p w14:paraId="0C5756A9">
            <w:pPr>
              <w:adjustRightInd w:val="0"/>
              <w:snapToGrid w:val="0"/>
              <w:ind w:firstLine="480"/>
              <w:rPr>
                <w:rFonts w:cs="宋体"/>
                <w:bCs/>
              </w:rPr>
            </w:pPr>
            <w:r>
              <w:rPr>
                <w:rFonts w:hint="eastAsia" w:cs="宋体"/>
                <w:bCs/>
              </w:rPr>
              <w:t>项目名称：</w:t>
            </w:r>
            <w:r>
              <w:rPr>
                <w:rStyle w:val="30"/>
                <w:rFonts w:hint="eastAsia"/>
                <w:kern w:val="0"/>
                <w:sz w:val="24"/>
                <w:szCs w:val="24"/>
              </w:rPr>
              <w:t>寻甸熠峰建设工程有限公司搅拌站项目</w:t>
            </w:r>
          </w:p>
          <w:p w14:paraId="4AE4C6C9">
            <w:pPr>
              <w:adjustRightInd w:val="0"/>
              <w:snapToGrid w:val="0"/>
              <w:ind w:firstLine="480"/>
              <w:rPr>
                <w:rFonts w:cs="宋体"/>
                <w:bCs/>
              </w:rPr>
            </w:pPr>
            <w:r>
              <w:rPr>
                <w:rFonts w:hint="eastAsia" w:cs="宋体"/>
                <w:bCs/>
              </w:rPr>
              <w:t>建设单位：</w:t>
            </w:r>
            <w:r>
              <w:rPr>
                <w:rStyle w:val="30"/>
                <w:rFonts w:hint="eastAsia"/>
                <w:kern w:val="0"/>
                <w:sz w:val="24"/>
                <w:szCs w:val="24"/>
              </w:rPr>
              <w:t>寻甸熠峰建设工程有限公司</w:t>
            </w:r>
          </w:p>
          <w:p w14:paraId="2B3C5C51">
            <w:pPr>
              <w:adjustRightInd w:val="0"/>
              <w:snapToGrid w:val="0"/>
              <w:ind w:firstLine="480"/>
              <w:rPr>
                <w:rFonts w:cs="宋体"/>
                <w:bCs/>
              </w:rPr>
            </w:pPr>
            <w:r>
              <w:rPr>
                <w:rFonts w:hint="eastAsia" w:cs="宋体"/>
                <w:bCs/>
              </w:rPr>
              <w:t>建设地点：云南省昆明市寻甸回族自治县仁德街道中桥社区</w:t>
            </w:r>
          </w:p>
          <w:p w14:paraId="51C3D493">
            <w:pPr>
              <w:adjustRightInd w:val="0"/>
              <w:snapToGrid w:val="0"/>
              <w:ind w:firstLine="480"/>
              <w:rPr>
                <w:rFonts w:cs="宋体"/>
                <w:bCs/>
              </w:rPr>
            </w:pPr>
            <w:r>
              <w:rPr>
                <w:rFonts w:hint="eastAsia" w:cs="宋体"/>
                <w:bCs/>
              </w:rPr>
              <w:t>建设性质：新建</w:t>
            </w:r>
          </w:p>
          <w:p w14:paraId="38E4CF3F">
            <w:pPr>
              <w:adjustRightInd w:val="0"/>
              <w:snapToGrid w:val="0"/>
              <w:ind w:firstLine="480"/>
              <w:rPr>
                <w:rFonts w:cs="宋体"/>
                <w:bCs/>
              </w:rPr>
            </w:pPr>
            <w:r>
              <w:rPr>
                <w:rFonts w:hint="eastAsia" w:cs="宋体"/>
                <w:bCs/>
              </w:rPr>
              <w:t>投资金额：1500万元</w:t>
            </w:r>
          </w:p>
          <w:p w14:paraId="5528BA4D">
            <w:pPr>
              <w:adjustRightInd w:val="0"/>
              <w:snapToGrid w:val="0"/>
              <w:ind w:firstLine="480"/>
              <w:rPr>
                <w:rFonts w:cs="宋体"/>
                <w:bCs/>
              </w:rPr>
            </w:pPr>
            <w:r>
              <w:rPr>
                <w:rFonts w:hint="eastAsia" w:cs="宋体"/>
                <w:bCs/>
              </w:rPr>
              <w:t>建设内容及规模：本项目总占地面积为4348m</w:t>
            </w:r>
            <w:r>
              <w:rPr>
                <w:rFonts w:hint="eastAsia" w:cs="宋体"/>
                <w:bCs/>
                <w:vertAlign w:val="superscript"/>
              </w:rPr>
              <w:t>2</w:t>
            </w:r>
            <w:r>
              <w:rPr>
                <w:rFonts w:hint="eastAsia" w:cs="宋体"/>
                <w:bCs/>
              </w:rPr>
              <w:t>。项目建设1条沥青混凝土生产线，生产规模为沥青混凝土20万t/a。同时，配套建设相关辅助设施、主体工程、公用工程、储运工程和环保工程。</w:t>
            </w:r>
          </w:p>
          <w:p w14:paraId="25B2DF37">
            <w:pPr>
              <w:adjustRightInd w:val="0"/>
              <w:snapToGrid w:val="0"/>
              <w:ind w:firstLine="480"/>
              <w:rPr>
                <w:bCs/>
              </w:rPr>
            </w:pPr>
            <w:r>
              <w:rPr>
                <w:rFonts w:hint="eastAsia" w:cs="宋体"/>
                <w:bCs/>
              </w:rPr>
              <w:t>项目工程组成情况见下表：</w:t>
            </w:r>
          </w:p>
          <w:p w14:paraId="3C3B4AE2">
            <w:pPr>
              <w:pStyle w:val="25"/>
              <w:widowControl/>
              <w:ind w:left="480" w:firstLine="422"/>
              <w:jc w:val="center"/>
              <w:rPr>
                <w:rFonts w:cs="宋体"/>
                <w:b/>
                <w:bCs/>
              </w:rPr>
            </w:pPr>
            <w:r>
              <w:rPr>
                <w:rFonts w:hint="eastAsia" w:cs="宋体"/>
                <w:b/>
                <w:bCs/>
                <w:sz w:val="21"/>
                <w:szCs w:val="21"/>
              </w:rPr>
              <w:t>表</w:t>
            </w:r>
            <w:r>
              <w:rPr>
                <w:b/>
                <w:bCs/>
                <w:sz w:val="21"/>
                <w:szCs w:val="21"/>
              </w:rPr>
              <w:t xml:space="preserve">2-1  </w:t>
            </w:r>
            <w:r>
              <w:rPr>
                <w:rFonts w:hint="eastAsia" w:cs="宋体"/>
                <w:b/>
                <w:bCs/>
                <w:sz w:val="21"/>
                <w:szCs w:val="21"/>
              </w:rPr>
              <w:t>项目工程组成一览表</w:t>
            </w:r>
          </w:p>
          <w:tbl>
            <w:tblPr>
              <w:tblStyle w:val="27"/>
              <w:tblW w:w="81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0"/>
              <w:gridCol w:w="493"/>
              <w:gridCol w:w="1213"/>
              <w:gridCol w:w="4125"/>
              <w:gridCol w:w="1150"/>
            </w:tblGrid>
            <w:tr w14:paraId="486AA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906" w:type="dxa"/>
                  <w:gridSpan w:val="3"/>
                  <w:vAlign w:val="center"/>
                </w:tcPr>
                <w:p w14:paraId="4D2A29BA">
                  <w:pPr>
                    <w:adjustRightInd w:val="0"/>
                    <w:snapToGrid w:val="0"/>
                    <w:spacing w:line="240" w:lineRule="auto"/>
                    <w:ind w:firstLine="0" w:firstLineChars="0"/>
                    <w:jc w:val="center"/>
                    <w:rPr>
                      <w:rFonts w:cs="宋体"/>
                      <w:bCs/>
                      <w:sz w:val="21"/>
                      <w:szCs w:val="21"/>
                    </w:rPr>
                  </w:pPr>
                  <w:r>
                    <w:rPr>
                      <w:rFonts w:hint="eastAsia" w:cs="宋体"/>
                      <w:b/>
                      <w:sz w:val="21"/>
                      <w:szCs w:val="21"/>
                    </w:rPr>
                    <w:t>项目组成</w:t>
                  </w:r>
                </w:p>
              </w:tc>
              <w:tc>
                <w:tcPr>
                  <w:tcW w:w="4125" w:type="dxa"/>
                  <w:vAlign w:val="center"/>
                </w:tcPr>
                <w:p w14:paraId="3173E548">
                  <w:pPr>
                    <w:adjustRightInd w:val="0"/>
                    <w:snapToGrid w:val="0"/>
                    <w:spacing w:line="240" w:lineRule="auto"/>
                    <w:ind w:firstLine="0" w:firstLineChars="0"/>
                    <w:jc w:val="center"/>
                    <w:rPr>
                      <w:rFonts w:cs="宋体"/>
                      <w:b/>
                      <w:sz w:val="21"/>
                      <w:szCs w:val="21"/>
                    </w:rPr>
                  </w:pPr>
                  <w:r>
                    <w:rPr>
                      <w:rFonts w:hint="eastAsia" w:cs="宋体"/>
                      <w:b/>
                      <w:sz w:val="21"/>
                      <w:szCs w:val="21"/>
                    </w:rPr>
                    <w:t>工程内容</w:t>
                  </w:r>
                </w:p>
              </w:tc>
              <w:tc>
                <w:tcPr>
                  <w:tcW w:w="1150" w:type="dxa"/>
                  <w:vAlign w:val="center"/>
                </w:tcPr>
                <w:p w14:paraId="357ED0A1">
                  <w:pPr>
                    <w:adjustRightInd w:val="0"/>
                    <w:snapToGrid w:val="0"/>
                    <w:spacing w:line="240" w:lineRule="auto"/>
                    <w:ind w:firstLine="0" w:firstLineChars="0"/>
                    <w:jc w:val="center"/>
                    <w:rPr>
                      <w:rFonts w:cs="宋体"/>
                      <w:b/>
                      <w:sz w:val="21"/>
                      <w:szCs w:val="21"/>
                    </w:rPr>
                  </w:pPr>
                  <w:r>
                    <w:rPr>
                      <w:rFonts w:hint="eastAsia" w:cs="宋体"/>
                      <w:b/>
                      <w:sz w:val="21"/>
                      <w:szCs w:val="21"/>
                    </w:rPr>
                    <w:t>备注</w:t>
                  </w:r>
                </w:p>
              </w:tc>
            </w:tr>
            <w:tr w14:paraId="7FD8B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00" w:type="dxa"/>
                  <w:vAlign w:val="center"/>
                </w:tcPr>
                <w:p w14:paraId="3E008A97">
                  <w:pPr>
                    <w:adjustRightInd w:val="0"/>
                    <w:snapToGrid w:val="0"/>
                    <w:spacing w:line="240" w:lineRule="auto"/>
                    <w:ind w:firstLine="0" w:firstLineChars="0"/>
                    <w:jc w:val="center"/>
                    <w:rPr>
                      <w:rFonts w:cs="宋体"/>
                      <w:bCs/>
                      <w:sz w:val="21"/>
                      <w:szCs w:val="21"/>
                    </w:rPr>
                  </w:pPr>
                  <w:r>
                    <w:rPr>
                      <w:rFonts w:hint="eastAsia" w:cs="宋体"/>
                      <w:bCs/>
                      <w:sz w:val="21"/>
                      <w:szCs w:val="21"/>
                    </w:rPr>
                    <w:t>主体工程</w:t>
                  </w:r>
                </w:p>
              </w:tc>
              <w:tc>
                <w:tcPr>
                  <w:tcW w:w="1706" w:type="dxa"/>
                  <w:gridSpan w:val="2"/>
                  <w:vAlign w:val="center"/>
                </w:tcPr>
                <w:p w14:paraId="5AF24B0B">
                  <w:pPr>
                    <w:adjustRightInd w:val="0"/>
                    <w:snapToGrid w:val="0"/>
                    <w:spacing w:line="240" w:lineRule="auto"/>
                    <w:ind w:firstLine="0" w:firstLineChars="0"/>
                    <w:jc w:val="center"/>
                    <w:rPr>
                      <w:rFonts w:cs="宋体"/>
                      <w:bCs/>
                      <w:sz w:val="21"/>
                      <w:szCs w:val="21"/>
                    </w:rPr>
                  </w:pPr>
                  <w:r>
                    <w:rPr>
                      <w:rFonts w:hint="eastAsia" w:cs="宋体"/>
                      <w:bCs/>
                      <w:sz w:val="21"/>
                      <w:szCs w:val="21"/>
                    </w:rPr>
                    <w:t>沥青混凝土生产线</w:t>
                  </w:r>
                </w:p>
              </w:tc>
              <w:tc>
                <w:tcPr>
                  <w:tcW w:w="4125" w:type="dxa"/>
                  <w:vAlign w:val="center"/>
                </w:tcPr>
                <w:p w14:paraId="5E95557F">
                  <w:pPr>
                    <w:adjustRightInd w:val="0"/>
                    <w:snapToGrid w:val="0"/>
                    <w:spacing w:line="240" w:lineRule="auto"/>
                    <w:ind w:firstLine="0" w:firstLineChars="0"/>
                    <w:rPr>
                      <w:rFonts w:cs="宋体"/>
                      <w:bCs/>
                      <w:sz w:val="21"/>
                      <w:szCs w:val="21"/>
                    </w:rPr>
                  </w:pPr>
                  <w:r>
                    <w:rPr>
                      <w:sz w:val="21"/>
                      <w:szCs w:val="21"/>
                    </w:rPr>
                    <w:t>布置于项目</w:t>
                  </w:r>
                  <w:r>
                    <w:rPr>
                      <w:rFonts w:hint="eastAsia"/>
                      <w:sz w:val="21"/>
                      <w:szCs w:val="21"/>
                    </w:rPr>
                    <w:t>地块中部</w:t>
                  </w:r>
                  <w:r>
                    <w:rPr>
                      <w:sz w:val="21"/>
                      <w:szCs w:val="21"/>
                    </w:rPr>
                    <w:t>，占地面</w:t>
                  </w:r>
                  <w:r>
                    <w:rPr>
                      <w:color w:val="000000" w:themeColor="text1"/>
                      <w:sz w:val="21"/>
                      <w:szCs w:val="21"/>
                      <w14:textFill>
                        <w14:solidFill>
                          <w14:schemeClr w14:val="tx1"/>
                        </w14:solidFill>
                      </w14:textFill>
                    </w:rPr>
                    <w:t>积</w:t>
                  </w:r>
                  <w:r>
                    <w:rPr>
                      <w:rFonts w:hint="eastAsia"/>
                      <w:color w:val="000000" w:themeColor="text1"/>
                      <w:sz w:val="21"/>
                      <w:szCs w:val="21"/>
                      <w14:textFill>
                        <w14:solidFill>
                          <w14:schemeClr w14:val="tx1"/>
                        </w14:solidFill>
                      </w14:textFill>
                    </w:rPr>
                    <w:t>900</w:t>
                  </w:r>
                  <w:r>
                    <w:rPr>
                      <w:color w:val="000000" w:themeColor="text1"/>
                      <w:sz w:val="21"/>
                      <w:szCs w:val="21"/>
                      <w14:textFill>
                        <w14:solidFill>
                          <w14:schemeClr w14:val="tx1"/>
                        </w14:solidFill>
                      </w14:textFill>
                    </w:rPr>
                    <w:t>m</w:t>
                  </w:r>
                  <w:r>
                    <w:rPr>
                      <w:color w:val="000000" w:themeColor="text1"/>
                      <w:sz w:val="21"/>
                      <w:szCs w:val="21"/>
                      <w:vertAlign w:val="superscript"/>
                      <w14:textFill>
                        <w14:solidFill>
                          <w14:schemeClr w14:val="tx1"/>
                        </w14:solidFill>
                      </w14:textFill>
                    </w:rPr>
                    <w:t>2</w:t>
                  </w:r>
                  <w:r>
                    <w:rPr>
                      <w:rFonts w:hint="eastAsia"/>
                      <w:color w:val="000000" w:themeColor="text1"/>
                      <w:sz w:val="21"/>
                      <w:szCs w:val="21"/>
                      <w14:textFill>
                        <w14:solidFill>
                          <w14:schemeClr w14:val="tx1"/>
                        </w14:solidFill>
                      </w14:textFill>
                    </w:rPr>
                    <w:t>，</w:t>
                  </w:r>
                  <w:r>
                    <w:rPr>
                      <w:rFonts w:hint="eastAsia"/>
                      <w:sz w:val="21"/>
                      <w:szCs w:val="21"/>
                    </w:rPr>
                    <w:t>露天设置1座沥青混凝土拌合楼，主要包括冷料烘干系统、供料系统、搅拌系统、计量系统和控制系统等。</w:t>
                  </w:r>
                </w:p>
              </w:tc>
              <w:tc>
                <w:tcPr>
                  <w:tcW w:w="1150" w:type="dxa"/>
                  <w:vAlign w:val="center"/>
                </w:tcPr>
                <w:p w14:paraId="56B7FE6C">
                  <w:pPr>
                    <w:adjustRightInd w:val="0"/>
                    <w:snapToGrid w:val="0"/>
                    <w:spacing w:line="240" w:lineRule="auto"/>
                    <w:ind w:firstLine="0" w:firstLineChars="0"/>
                    <w:jc w:val="center"/>
                    <w:rPr>
                      <w:rFonts w:cs="宋体"/>
                      <w:bCs/>
                      <w:sz w:val="21"/>
                      <w:szCs w:val="21"/>
                    </w:rPr>
                  </w:pPr>
                  <w:r>
                    <w:rPr>
                      <w:rFonts w:hint="eastAsia" w:cs="宋体"/>
                      <w:bCs/>
                      <w:sz w:val="21"/>
                      <w:szCs w:val="21"/>
                    </w:rPr>
                    <w:t>新建</w:t>
                  </w:r>
                </w:p>
              </w:tc>
            </w:tr>
            <w:tr w14:paraId="00C5B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00" w:type="dxa"/>
                  <w:vMerge w:val="restart"/>
                  <w:vAlign w:val="center"/>
                </w:tcPr>
                <w:p w14:paraId="7457EC64">
                  <w:pPr>
                    <w:adjustRightInd w:val="0"/>
                    <w:snapToGrid w:val="0"/>
                    <w:spacing w:line="240" w:lineRule="auto"/>
                    <w:ind w:firstLine="0" w:firstLineChars="0"/>
                    <w:jc w:val="center"/>
                    <w:rPr>
                      <w:rFonts w:cs="宋体"/>
                      <w:bCs/>
                      <w:sz w:val="21"/>
                      <w:szCs w:val="21"/>
                    </w:rPr>
                  </w:pPr>
                  <w:r>
                    <w:rPr>
                      <w:rFonts w:hint="eastAsia" w:cs="宋体"/>
                      <w:bCs/>
                      <w:sz w:val="21"/>
                      <w:szCs w:val="21"/>
                    </w:rPr>
                    <w:t>储运工程</w:t>
                  </w:r>
                </w:p>
              </w:tc>
              <w:tc>
                <w:tcPr>
                  <w:tcW w:w="1706" w:type="dxa"/>
                  <w:gridSpan w:val="2"/>
                  <w:vAlign w:val="center"/>
                </w:tcPr>
                <w:p w14:paraId="54364697">
                  <w:pPr>
                    <w:adjustRightInd w:val="0"/>
                    <w:snapToGrid w:val="0"/>
                    <w:spacing w:line="240" w:lineRule="auto"/>
                    <w:ind w:firstLine="0" w:firstLineChars="0"/>
                    <w:jc w:val="center"/>
                    <w:rPr>
                      <w:rFonts w:cs="宋体"/>
                      <w:bCs/>
                      <w:sz w:val="21"/>
                      <w:szCs w:val="21"/>
                    </w:rPr>
                  </w:pPr>
                  <w:r>
                    <w:rPr>
                      <w:rFonts w:hint="eastAsia" w:cs="宋体"/>
                      <w:bCs/>
                      <w:sz w:val="21"/>
                      <w:szCs w:val="21"/>
                    </w:rPr>
                    <w:t>砂石料仓</w:t>
                  </w:r>
                </w:p>
              </w:tc>
              <w:tc>
                <w:tcPr>
                  <w:tcW w:w="4125" w:type="dxa"/>
                  <w:vAlign w:val="center"/>
                </w:tcPr>
                <w:p w14:paraId="35E40D99">
                  <w:pPr>
                    <w:adjustRightInd w:val="0"/>
                    <w:snapToGrid w:val="0"/>
                    <w:spacing w:line="240" w:lineRule="auto"/>
                    <w:ind w:firstLine="0" w:firstLineChars="0"/>
                    <w:rPr>
                      <w:rFonts w:cs="宋体"/>
                      <w:bCs/>
                      <w:sz w:val="21"/>
                      <w:szCs w:val="21"/>
                    </w:rPr>
                  </w:pPr>
                  <w:r>
                    <w:rPr>
                      <w:rFonts w:hint="eastAsia"/>
                      <w:sz w:val="21"/>
                      <w:szCs w:val="21"/>
                    </w:rPr>
                    <w:t>位于地块北侧，占地面</w:t>
                  </w:r>
                  <w:r>
                    <w:rPr>
                      <w:rFonts w:hint="eastAsia"/>
                      <w:color w:val="000000" w:themeColor="text1"/>
                      <w:sz w:val="21"/>
                      <w:szCs w:val="21"/>
                      <w14:textFill>
                        <w14:solidFill>
                          <w14:schemeClr w14:val="tx1"/>
                        </w14:solidFill>
                      </w14:textFill>
                    </w:rPr>
                    <w:t>积1200</w:t>
                  </w:r>
                  <w:r>
                    <w:rPr>
                      <w:color w:val="000000" w:themeColor="text1"/>
                      <w:sz w:val="21"/>
                      <w:szCs w:val="21"/>
                      <w14:textFill>
                        <w14:solidFill>
                          <w14:schemeClr w14:val="tx1"/>
                        </w14:solidFill>
                      </w14:textFill>
                    </w:rPr>
                    <w:t>m</w:t>
                  </w:r>
                  <w:r>
                    <w:rPr>
                      <w:color w:val="000000" w:themeColor="text1"/>
                      <w:sz w:val="21"/>
                      <w:szCs w:val="21"/>
                      <w:vertAlign w:val="superscript"/>
                      <w14:textFill>
                        <w14:solidFill>
                          <w14:schemeClr w14:val="tx1"/>
                        </w14:solidFill>
                      </w14:textFill>
                    </w:rPr>
                    <w:t>2</w:t>
                  </w:r>
                  <w:r>
                    <w:rPr>
                      <w:rFonts w:hint="eastAsia"/>
                      <w:color w:val="000000" w:themeColor="text1"/>
                      <w:sz w:val="21"/>
                      <w:szCs w:val="21"/>
                      <w14:textFill>
                        <w14:solidFill>
                          <w14:schemeClr w14:val="tx1"/>
                        </w14:solidFill>
                      </w14:textFill>
                    </w:rPr>
                    <w:t>，</w:t>
                  </w:r>
                  <w:r>
                    <w:rPr>
                      <w:rFonts w:hint="eastAsia"/>
                      <w:sz w:val="21"/>
                      <w:szCs w:val="21"/>
                    </w:rPr>
                    <w:t>三面封闭式并设置顶棚，高7m，用于砂石料堆放和装载机输送物料。</w:t>
                  </w:r>
                </w:p>
              </w:tc>
              <w:tc>
                <w:tcPr>
                  <w:tcW w:w="1150" w:type="dxa"/>
                  <w:vAlign w:val="center"/>
                </w:tcPr>
                <w:p w14:paraId="49E3FCEA">
                  <w:pPr>
                    <w:adjustRightInd w:val="0"/>
                    <w:snapToGrid w:val="0"/>
                    <w:spacing w:line="240" w:lineRule="auto"/>
                    <w:ind w:firstLine="0" w:firstLineChars="0"/>
                    <w:jc w:val="center"/>
                    <w:rPr>
                      <w:rFonts w:cs="宋体"/>
                      <w:bCs/>
                      <w:sz w:val="21"/>
                      <w:szCs w:val="21"/>
                    </w:rPr>
                  </w:pPr>
                  <w:r>
                    <w:rPr>
                      <w:rFonts w:hint="eastAsia" w:cs="宋体"/>
                      <w:bCs/>
                      <w:sz w:val="21"/>
                      <w:szCs w:val="21"/>
                    </w:rPr>
                    <w:t>新建</w:t>
                  </w:r>
                </w:p>
              </w:tc>
            </w:tr>
            <w:tr w14:paraId="21C82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00" w:type="dxa"/>
                  <w:vMerge w:val="continue"/>
                  <w:vAlign w:val="center"/>
                </w:tcPr>
                <w:p w14:paraId="1702F31B">
                  <w:pPr>
                    <w:adjustRightInd w:val="0"/>
                    <w:snapToGrid w:val="0"/>
                    <w:spacing w:line="240" w:lineRule="auto"/>
                    <w:ind w:firstLine="0" w:firstLineChars="0"/>
                    <w:jc w:val="center"/>
                    <w:rPr>
                      <w:rFonts w:cs="宋体"/>
                      <w:bCs/>
                      <w:sz w:val="21"/>
                      <w:szCs w:val="21"/>
                    </w:rPr>
                  </w:pPr>
                </w:p>
              </w:tc>
              <w:tc>
                <w:tcPr>
                  <w:tcW w:w="1706" w:type="dxa"/>
                  <w:gridSpan w:val="2"/>
                  <w:vAlign w:val="center"/>
                </w:tcPr>
                <w:p w14:paraId="4BB6320F">
                  <w:pPr>
                    <w:adjustRightInd w:val="0"/>
                    <w:snapToGrid w:val="0"/>
                    <w:spacing w:line="240" w:lineRule="auto"/>
                    <w:ind w:firstLine="0" w:firstLineChars="0"/>
                    <w:jc w:val="center"/>
                    <w:rPr>
                      <w:rFonts w:cs="宋体"/>
                      <w:bCs/>
                      <w:sz w:val="21"/>
                      <w:szCs w:val="21"/>
                    </w:rPr>
                  </w:pPr>
                  <w:r>
                    <w:rPr>
                      <w:rFonts w:hint="eastAsia" w:cs="宋体"/>
                      <w:bCs/>
                      <w:sz w:val="21"/>
                      <w:szCs w:val="21"/>
                    </w:rPr>
                    <w:t>矿粉仓库</w:t>
                  </w:r>
                </w:p>
              </w:tc>
              <w:tc>
                <w:tcPr>
                  <w:tcW w:w="4125" w:type="dxa"/>
                  <w:vAlign w:val="center"/>
                </w:tcPr>
                <w:p w14:paraId="5FEDD65F">
                  <w:pPr>
                    <w:adjustRightInd w:val="0"/>
                    <w:snapToGrid w:val="0"/>
                    <w:spacing w:line="240" w:lineRule="auto"/>
                    <w:ind w:firstLine="0" w:firstLineChars="0"/>
                    <w:rPr>
                      <w:rFonts w:cs="宋体"/>
                      <w:bCs/>
                      <w:sz w:val="21"/>
                      <w:szCs w:val="21"/>
                    </w:rPr>
                  </w:pPr>
                  <w:r>
                    <w:rPr>
                      <w:rFonts w:hint="eastAsia" w:cs="宋体"/>
                      <w:bCs/>
                      <w:sz w:val="21"/>
                      <w:szCs w:val="21"/>
                    </w:rPr>
                    <w:t>设置1个矿粉筒仓，位于砂石料仓内，容积100m³。</w:t>
                  </w:r>
                </w:p>
              </w:tc>
              <w:tc>
                <w:tcPr>
                  <w:tcW w:w="1150" w:type="dxa"/>
                  <w:vAlign w:val="center"/>
                </w:tcPr>
                <w:p w14:paraId="256F5623">
                  <w:pPr>
                    <w:adjustRightInd w:val="0"/>
                    <w:snapToGrid w:val="0"/>
                    <w:spacing w:line="240" w:lineRule="auto"/>
                    <w:ind w:firstLine="0" w:firstLineChars="0"/>
                    <w:jc w:val="center"/>
                    <w:rPr>
                      <w:rFonts w:cs="宋体"/>
                      <w:bCs/>
                      <w:sz w:val="21"/>
                      <w:szCs w:val="21"/>
                    </w:rPr>
                  </w:pPr>
                  <w:r>
                    <w:rPr>
                      <w:rFonts w:hint="eastAsia" w:cs="宋体"/>
                      <w:bCs/>
                      <w:sz w:val="21"/>
                      <w:szCs w:val="21"/>
                    </w:rPr>
                    <w:t>新建</w:t>
                  </w:r>
                </w:p>
              </w:tc>
            </w:tr>
            <w:tr w14:paraId="3AF6A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00" w:type="dxa"/>
                  <w:vMerge w:val="continue"/>
                  <w:vAlign w:val="center"/>
                </w:tcPr>
                <w:p w14:paraId="1E5B4FF6">
                  <w:pPr>
                    <w:adjustRightInd w:val="0"/>
                    <w:snapToGrid w:val="0"/>
                    <w:spacing w:line="240" w:lineRule="auto"/>
                    <w:ind w:firstLine="0" w:firstLineChars="0"/>
                    <w:jc w:val="center"/>
                    <w:rPr>
                      <w:rFonts w:cs="宋体"/>
                      <w:bCs/>
                      <w:sz w:val="21"/>
                      <w:szCs w:val="21"/>
                    </w:rPr>
                  </w:pPr>
                </w:p>
              </w:tc>
              <w:tc>
                <w:tcPr>
                  <w:tcW w:w="1706" w:type="dxa"/>
                  <w:gridSpan w:val="2"/>
                  <w:vAlign w:val="center"/>
                </w:tcPr>
                <w:p w14:paraId="4F7B128F">
                  <w:pPr>
                    <w:adjustRightInd w:val="0"/>
                    <w:snapToGrid w:val="0"/>
                    <w:spacing w:line="240" w:lineRule="auto"/>
                    <w:ind w:firstLine="0" w:firstLineChars="0"/>
                    <w:jc w:val="center"/>
                    <w:rPr>
                      <w:rFonts w:cs="宋体"/>
                      <w:bCs/>
                      <w:sz w:val="21"/>
                      <w:szCs w:val="21"/>
                    </w:rPr>
                  </w:pPr>
                  <w:r>
                    <w:rPr>
                      <w:rFonts w:hint="eastAsia" w:cs="宋体"/>
                      <w:bCs/>
                      <w:sz w:val="21"/>
                      <w:szCs w:val="21"/>
                    </w:rPr>
                    <w:t>沥青储罐</w:t>
                  </w:r>
                </w:p>
              </w:tc>
              <w:tc>
                <w:tcPr>
                  <w:tcW w:w="4125" w:type="dxa"/>
                  <w:vAlign w:val="center"/>
                </w:tcPr>
                <w:p w14:paraId="6ABE14BF">
                  <w:pPr>
                    <w:adjustRightInd w:val="0"/>
                    <w:snapToGrid w:val="0"/>
                    <w:spacing w:line="240" w:lineRule="auto"/>
                    <w:ind w:firstLine="0" w:firstLineChars="0"/>
                    <w:rPr>
                      <w:rFonts w:cs="宋体"/>
                      <w:bCs/>
                      <w:sz w:val="21"/>
                      <w:szCs w:val="21"/>
                    </w:rPr>
                  </w:pPr>
                  <w:r>
                    <w:rPr>
                      <w:rFonts w:hint="eastAsia" w:cs="宋体"/>
                      <w:bCs/>
                      <w:sz w:val="21"/>
                      <w:szCs w:val="21"/>
                    </w:rPr>
                    <w:t>项目共设置3个沥青储罐，每个容积50m³，位于生产线东侧，密闭储存。每个储罐顶部均有1个呼吸口。储罐设置围堰，并进行重点防渗。</w:t>
                  </w:r>
                </w:p>
              </w:tc>
              <w:tc>
                <w:tcPr>
                  <w:tcW w:w="1150" w:type="dxa"/>
                  <w:vAlign w:val="center"/>
                </w:tcPr>
                <w:p w14:paraId="2BDB06DC">
                  <w:pPr>
                    <w:adjustRightInd w:val="0"/>
                    <w:snapToGrid w:val="0"/>
                    <w:spacing w:line="240" w:lineRule="auto"/>
                    <w:ind w:firstLine="0" w:firstLineChars="0"/>
                    <w:jc w:val="center"/>
                    <w:rPr>
                      <w:rFonts w:cs="宋体"/>
                      <w:bCs/>
                      <w:sz w:val="21"/>
                      <w:szCs w:val="21"/>
                    </w:rPr>
                  </w:pPr>
                  <w:r>
                    <w:rPr>
                      <w:rFonts w:hint="eastAsia" w:cs="宋体"/>
                      <w:bCs/>
                      <w:sz w:val="21"/>
                      <w:szCs w:val="21"/>
                    </w:rPr>
                    <w:t>新建</w:t>
                  </w:r>
                </w:p>
              </w:tc>
            </w:tr>
            <w:tr w14:paraId="704CD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00" w:type="dxa"/>
                  <w:vMerge w:val="continue"/>
                  <w:vAlign w:val="center"/>
                </w:tcPr>
                <w:p w14:paraId="5C0D72F6">
                  <w:pPr>
                    <w:adjustRightInd w:val="0"/>
                    <w:snapToGrid w:val="0"/>
                    <w:spacing w:line="240" w:lineRule="auto"/>
                    <w:ind w:firstLine="0" w:firstLineChars="0"/>
                    <w:jc w:val="center"/>
                    <w:rPr>
                      <w:rFonts w:cs="宋体"/>
                      <w:bCs/>
                      <w:sz w:val="21"/>
                      <w:szCs w:val="21"/>
                    </w:rPr>
                  </w:pPr>
                </w:p>
              </w:tc>
              <w:tc>
                <w:tcPr>
                  <w:tcW w:w="1706" w:type="dxa"/>
                  <w:gridSpan w:val="2"/>
                  <w:vAlign w:val="center"/>
                </w:tcPr>
                <w:p w14:paraId="35AAA4B7">
                  <w:pPr>
                    <w:adjustRightInd w:val="0"/>
                    <w:snapToGrid w:val="0"/>
                    <w:spacing w:line="240" w:lineRule="auto"/>
                    <w:ind w:firstLine="0" w:firstLineChars="0"/>
                    <w:jc w:val="center"/>
                    <w:rPr>
                      <w:rFonts w:cs="宋体"/>
                      <w:bCs/>
                      <w:sz w:val="21"/>
                      <w:szCs w:val="21"/>
                    </w:rPr>
                  </w:pPr>
                  <w:r>
                    <w:rPr>
                      <w:rFonts w:ascii="宋体" w:hAnsi="宋体" w:cs="宋体"/>
                      <w:spacing w:val="7"/>
                      <w:sz w:val="21"/>
                      <w:szCs w:val="21"/>
                    </w:rPr>
                    <w:t>柴油储罐</w:t>
                  </w:r>
                </w:p>
              </w:tc>
              <w:tc>
                <w:tcPr>
                  <w:tcW w:w="4125" w:type="dxa"/>
                  <w:vAlign w:val="center"/>
                </w:tcPr>
                <w:p w14:paraId="04341C40">
                  <w:pPr>
                    <w:adjustRightInd w:val="0"/>
                    <w:snapToGrid w:val="0"/>
                    <w:spacing w:line="240" w:lineRule="auto"/>
                    <w:ind w:firstLine="0" w:firstLineChars="0"/>
                    <w:rPr>
                      <w:rFonts w:cs="宋体"/>
                      <w:bCs/>
                      <w:sz w:val="21"/>
                      <w:szCs w:val="21"/>
                    </w:rPr>
                  </w:pPr>
                  <w:r>
                    <w:rPr>
                      <w:rFonts w:hint="eastAsia" w:cs="宋体"/>
                      <w:bCs/>
                      <w:sz w:val="21"/>
                      <w:szCs w:val="21"/>
                    </w:rPr>
                    <w:t>设置1个柴油储罐，容积约为50m</w:t>
                  </w:r>
                  <w:r>
                    <w:rPr>
                      <w:rFonts w:hint="eastAsia" w:cs="宋体"/>
                      <w:bCs/>
                      <w:sz w:val="21"/>
                      <w:szCs w:val="21"/>
                      <w:vertAlign w:val="superscript"/>
                    </w:rPr>
                    <w:t>3</w:t>
                  </w:r>
                  <w:r>
                    <w:rPr>
                      <w:rFonts w:hint="eastAsia" w:cs="宋体"/>
                      <w:bCs/>
                      <w:sz w:val="21"/>
                      <w:szCs w:val="21"/>
                    </w:rPr>
                    <w:t>，密闭储存，用于烘干滚筒和导热油炉加热，位于沥青罐北侧。</w:t>
                  </w:r>
                </w:p>
              </w:tc>
              <w:tc>
                <w:tcPr>
                  <w:tcW w:w="1150" w:type="dxa"/>
                  <w:vAlign w:val="center"/>
                </w:tcPr>
                <w:p w14:paraId="1AB07C29">
                  <w:pPr>
                    <w:adjustRightInd w:val="0"/>
                    <w:snapToGrid w:val="0"/>
                    <w:spacing w:line="240" w:lineRule="auto"/>
                    <w:ind w:firstLine="0" w:firstLineChars="0"/>
                    <w:jc w:val="center"/>
                    <w:rPr>
                      <w:rFonts w:cs="宋体"/>
                      <w:bCs/>
                      <w:sz w:val="21"/>
                      <w:szCs w:val="21"/>
                    </w:rPr>
                  </w:pPr>
                  <w:r>
                    <w:rPr>
                      <w:rFonts w:hint="eastAsia" w:cs="宋体"/>
                      <w:bCs/>
                      <w:sz w:val="21"/>
                      <w:szCs w:val="21"/>
                    </w:rPr>
                    <w:t>新建</w:t>
                  </w:r>
                </w:p>
              </w:tc>
            </w:tr>
            <w:tr w14:paraId="7D38C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00" w:type="dxa"/>
                  <w:vMerge w:val="restart"/>
                  <w:vAlign w:val="center"/>
                </w:tcPr>
                <w:p w14:paraId="20A75705">
                  <w:pPr>
                    <w:adjustRightInd w:val="0"/>
                    <w:snapToGrid w:val="0"/>
                    <w:spacing w:line="240" w:lineRule="auto"/>
                    <w:ind w:firstLine="0" w:firstLineChars="0"/>
                    <w:jc w:val="center"/>
                    <w:rPr>
                      <w:rFonts w:cs="宋体"/>
                      <w:bCs/>
                      <w:sz w:val="21"/>
                      <w:szCs w:val="21"/>
                    </w:rPr>
                  </w:pPr>
                  <w:r>
                    <w:rPr>
                      <w:rFonts w:hint="eastAsia" w:cs="宋体"/>
                      <w:bCs/>
                      <w:sz w:val="21"/>
                      <w:szCs w:val="21"/>
                    </w:rPr>
                    <w:t>辅助工程</w:t>
                  </w:r>
                </w:p>
              </w:tc>
              <w:tc>
                <w:tcPr>
                  <w:tcW w:w="1706" w:type="dxa"/>
                  <w:gridSpan w:val="2"/>
                  <w:vAlign w:val="center"/>
                </w:tcPr>
                <w:p w14:paraId="37EA3C37">
                  <w:pPr>
                    <w:adjustRightInd w:val="0"/>
                    <w:snapToGrid w:val="0"/>
                    <w:spacing w:line="240" w:lineRule="auto"/>
                    <w:ind w:firstLine="0" w:firstLineChars="0"/>
                    <w:jc w:val="center"/>
                    <w:rPr>
                      <w:rFonts w:cs="宋体"/>
                      <w:bCs/>
                      <w:sz w:val="21"/>
                      <w:szCs w:val="21"/>
                    </w:rPr>
                  </w:pPr>
                  <w:r>
                    <w:rPr>
                      <w:rFonts w:hint="eastAsia" w:ascii="宋体" w:hAnsi="宋体" w:cs="宋体"/>
                      <w:spacing w:val="7"/>
                      <w:sz w:val="21"/>
                      <w:szCs w:val="21"/>
                    </w:rPr>
                    <w:t>办公区</w:t>
                  </w:r>
                </w:p>
              </w:tc>
              <w:tc>
                <w:tcPr>
                  <w:tcW w:w="4125" w:type="dxa"/>
                  <w:vAlign w:val="center"/>
                </w:tcPr>
                <w:p w14:paraId="2247F61C">
                  <w:pPr>
                    <w:adjustRightInd w:val="0"/>
                    <w:snapToGrid w:val="0"/>
                    <w:spacing w:line="240" w:lineRule="auto"/>
                    <w:ind w:firstLine="0" w:firstLineChars="0"/>
                    <w:rPr>
                      <w:rFonts w:cs="宋体"/>
                      <w:bCs/>
                      <w:sz w:val="21"/>
                      <w:szCs w:val="21"/>
                    </w:rPr>
                  </w:pPr>
                  <w:r>
                    <w:rPr>
                      <w:rFonts w:hint="eastAsia" w:cs="宋体"/>
                      <w:bCs/>
                      <w:sz w:val="21"/>
                      <w:szCs w:val="21"/>
                    </w:rPr>
                    <w:t>建筑面积400m</w:t>
                  </w:r>
                  <w:r>
                    <w:rPr>
                      <w:rFonts w:hint="eastAsia" w:cs="宋体"/>
                      <w:bCs/>
                      <w:sz w:val="21"/>
                      <w:szCs w:val="21"/>
                      <w:vertAlign w:val="superscript"/>
                    </w:rPr>
                    <w:t>2</w:t>
                  </w:r>
                  <w:r>
                    <w:rPr>
                      <w:rFonts w:hint="eastAsia" w:cs="宋体"/>
                      <w:bCs/>
                      <w:sz w:val="21"/>
                      <w:szCs w:val="21"/>
                    </w:rPr>
                    <w:t>，位于项目区南侧，用于日常办公生活，为双层钢混结构。</w:t>
                  </w:r>
                </w:p>
              </w:tc>
              <w:tc>
                <w:tcPr>
                  <w:tcW w:w="1150" w:type="dxa"/>
                  <w:vAlign w:val="center"/>
                </w:tcPr>
                <w:p w14:paraId="02E9E4FA">
                  <w:pPr>
                    <w:adjustRightInd w:val="0"/>
                    <w:snapToGrid w:val="0"/>
                    <w:spacing w:line="240" w:lineRule="auto"/>
                    <w:ind w:firstLine="0" w:firstLineChars="0"/>
                    <w:jc w:val="center"/>
                    <w:rPr>
                      <w:rFonts w:cs="宋体"/>
                      <w:bCs/>
                      <w:sz w:val="21"/>
                      <w:szCs w:val="21"/>
                    </w:rPr>
                  </w:pPr>
                  <w:r>
                    <w:rPr>
                      <w:rFonts w:hint="eastAsia" w:cs="宋体"/>
                      <w:bCs/>
                      <w:sz w:val="21"/>
                      <w:szCs w:val="21"/>
                    </w:rPr>
                    <w:t>新建</w:t>
                  </w:r>
                </w:p>
              </w:tc>
            </w:tr>
            <w:tr w14:paraId="66D27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00" w:type="dxa"/>
                  <w:vMerge w:val="continue"/>
                  <w:vAlign w:val="center"/>
                </w:tcPr>
                <w:p w14:paraId="3317B976">
                  <w:pPr>
                    <w:adjustRightInd w:val="0"/>
                    <w:snapToGrid w:val="0"/>
                    <w:spacing w:line="240" w:lineRule="auto"/>
                    <w:ind w:firstLine="0" w:firstLineChars="0"/>
                    <w:jc w:val="center"/>
                    <w:rPr>
                      <w:rFonts w:cs="宋体"/>
                      <w:bCs/>
                      <w:sz w:val="21"/>
                      <w:szCs w:val="21"/>
                    </w:rPr>
                  </w:pPr>
                </w:p>
              </w:tc>
              <w:tc>
                <w:tcPr>
                  <w:tcW w:w="1706" w:type="dxa"/>
                  <w:gridSpan w:val="2"/>
                  <w:vAlign w:val="center"/>
                </w:tcPr>
                <w:p w14:paraId="094F1B1B">
                  <w:pPr>
                    <w:adjustRightInd w:val="0"/>
                    <w:snapToGrid w:val="0"/>
                    <w:spacing w:line="240" w:lineRule="auto"/>
                    <w:ind w:firstLine="0" w:firstLineChars="0"/>
                    <w:jc w:val="center"/>
                    <w:rPr>
                      <w:rFonts w:cs="宋体"/>
                      <w:bCs/>
                      <w:sz w:val="21"/>
                      <w:szCs w:val="21"/>
                    </w:rPr>
                  </w:pPr>
                  <w:r>
                    <w:rPr>
                      <w:rFonts w:hint="eastAsia" w:ascii="宋体" w:hAnsi="宋体" w:cs="宋体"/>
                      <w:spacing w:val="6"/>
                      <w:sz w:val="21"/>
                      <w:szCs w:val="21"/>
                    </w:rPr>
                    <w:t>地磅秤</w:t>
                  </w:r>
                </w:p>
              </w:tc>
              <w:tc>
                <w:tcPr>
                  <w:tcW w:w="4125" w:type="dxa"/>
                  <w:vAlign w:val="center"/>
                </w:tcPr>
                <w:p w14:paraId="2AFE7126">
                  <w:pPr>
                    <w:adjustRightInd w:val="0"/>
                    <w:snapToGrid w:val="0"/>
                    <w:spacing w:line="240" w:lineRule="auto"/>
                    <w:ind w:firstLine="0" w:firstLineChars="0"/>
                    <w:rPr>
                      <w:rFonts w:cs="宋体"/>
                      <w:bCs/>
                      <w:sz w:val="21"/>
                      <w:szCs w:val="21"/>
                    </w:rPr>
                  </w:pPr>
                  <w:r>
                    <w:rPr>
                      <w:rFonts w:hint="eastAsia" w:cs="宋体"/>
                      <w:bCs/>
                      <w:sz w:val="21"/>
                      <w:szCs w:val="21"/>
                    </w:rPr>
                    <w:t>建筑面积30m</w:t>
                  </w:r>
                  <w:r>
                    <w:rPr>
                      <w:rFonts w:hint="eastAsia" w:cs="宋体"/>
                      <w:bCs/>
                      <w:sz w:val="21"/>
                      <w:szCs w:val="21"/>
                      <w:vertAlign w:val="superscript"/>
                    </w:rPr>
                    <w:t>2</w:t>
                  </w:r>
                  <w:r>
                    <w:rPr>
                      <w:rFonts w:hint="eastAsia" w:cs="宋体"/>
                      <w:bCs/>
                      <w:sz w:val="21"/>
                      <w:szCs w:val="21"/>
                    </w:rPr>
                    <w:t>，位于项目办公区北侧。</w:t>
                  </w:r>
                </w:p>
              </w:tc>
              <w:tc>
                <w:tcPr>
                  <w:tcW w:w="1150" w:type="dxa"/>
                  <w:vAlign w:val="center"/>
                </w:tcPr>
                <w:p w14:paraId="2DC8ED6B">
                  <w:pPr>
                    <w:adjustRightInd w:val="0"/>
                    <w:snapToGrid w:val="0"/>
                    <w:spacing w:line="240" w:lineRule="auto"/>
                    <w:ind w:firstLine="0" w:firstLineChars="0"/>
                    <w:jc w:val="center"/>
                    <w:rPr>
                      <w:rFonts w:cs="宋体"/>
                      <w:bCs/>
                      <w:sz w:val="21"/>
                      <w:szCs w:val="21"/>
                    </w:rPr>
                  </w:pPr>
                  <w:r>
                    <w:rPr>
                      <w:rFonts w:hint="eastAsia" w:cs="宋体"/>
                      <w:bCs/>
                      <w:sz w:val="21"/>
                      <w:szCs w:val="21"/>
                    </w:rPr>
                    <w:t>新建</w:t>
                  </w:r>
                </w:p>
              </w:tc>
            </w:tr>
            <w:tr w14:paraId="4D087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00" w:type="dxa"/>
                  <w:vMerge w:val="continue"/>
                  <w:vAlign w:val="center"/>
                </w:tcPr>
                <w:p w14:paraId="439FC48D">
                  <w:pPr>
                    <w:adjustRightInd w:val="0"/>
                    <w:snapToGrid w:val="0"/>
                    <w:spacing w:line="240" w:lineRule="auto"/>
                    <w:ind w:firstLine="0" w:firstLineChars="0"/>
                    <w:jc w:val="center"/>
                    <w:rPr>
                      <w:rFonts w:cs="宋体"/>
                      <w:bCs/>
                      <w:sz w:val="21"/>
                      <w:szCs w:val="21"/>
                    </w:rPr>
                  </w:pPr>
                </w:p>
              </w:tc>
              <w:tc>
                <w:tcPr>
                  <w:tcW w:w="1706" w:type="dxa"/>
                  <w:gridSpan w:val="2"/>
                  <w:vAlign w:val="center"/>
                </w:tcPr>
                <w:p w14:paraId="721B69C7">
                  <w:pPr>
                    <w:adjustRightInd w:val="0"/>
                    <w:snapToGrid w:val="0"/>
                    <w:spacing w:line="240" w:lineRule="auto"/>
                    <w:ind w:firstLine="0" w:firstLineChars="0"/>
                    <w:jc w:val="center"/>
                    <w:rPr>
                      <w:rFonts w:cs="宋体"/>
                      <w:bCs/>
                      <w:sz w:val="21"/>
                      <w:szCs w:val="21"/>
                    </w:rPr>
                  </w:pPr>
                  <w:r>
                    <w:rPr>
                      <w:rFonts w:hint="eastAsia" w:cs="宋体"/>
                      <w:bCs/>
                      <w:sz w:val="21"/>
                      <w:szCs w:val="21"/>
                    </w:rPr>
                    <w:t>保安室</w:t>
                  </w:r>
                </w:p>
              </w:tc>
              <w:tc>
                <w:tcPr>
                  <w:tcW w:w="4125" w:type="dxa"/>
                  <w:vAlign w:val="center"/>
                </w:tcPr>
                <w:p w14:paraId="2AE4C18A">
                  <w:pPr>
                    <w:adjustRightInd w:val="0"/>
                    <w:snapToGrid w:val="0"/>
                    <w:spacing w:line="240" w:lineRule="auto"/>
                    <w:ind w:firstLine="0" w:firstLineChars="0"/>
                    <w:rPr>
                      <w:rFonts w:cs="宋体"/>
                      <w:bCs/>
                      <w:sz w:val="21"/>
                      <w:szCs w:val="21"/>
                    </w:rPr>
                  </w:pPr>
                  <w:r>
                    <w:rPr>
                      <w:rFonts w:hint="eastAsia" w:cs="宋体"/>
                      <w:bCs/>
                      <w:sz w:val="21"/>
                      <w:szCs w:val="21"/>
                    </w:rPr>
                    <w:t>建筑面积100m</w:t>
                  </w:r>
                  <w:r>
                    <w:rPr>
                      <w:rFonts w:hint="eastAsia" w:cs="宋体"/>
                      <w:bCs/>
                      <w:sz w:val="21"/>
                      <w:szCs w:val="21"/>
                      <w:vertAlign w:val="superscript"/>
                    </w:rPr>
                    <w:t>2</w:t>
                  </w:r>
                  <w:r>
                    <w:rPr>
                      <w:rFonts w:hint="eastAsia" w:cs="宋体"/>
                      <w:bCs/>
                      <w:sz w:val="21"/>
                      <w:szCs w:val="21"/>
                    </w:rPr>
                    <w:t>，位于项目区东南侧，用于值班，为单层钢混结构。</w:t>
                  </w:r>
                </w:p>
              </w:tc>
              <w:tc>
                <w:tcPr>
                  <w:tcW w:w="1150" w:type="dxa"/>
                  <w:vAlign w:val="center"/>
                </w:tcPr>
                <w:p w14:paraId="6EC07BEB">
                  <w:pPr>
                    <w:adjustRightInd w:val="0"/>
                    <w:snapToGrid w:val="0"/>
                    <w:spacing w:line="240" w:lineRule="auto"/>
                    <w:ind w:firstLine="0" w:firstLineChars="0"/>
                    <w:jc w:val="center"/>
                    <w:rPr>
                      <w:rFonts w:cs="宋体"/>
                      <w:bCs/>
                      <w:sz w:val="21"/>
                      <w:szCs w:val="21"/>
                    </w:rPr>
                  </w:pPr>
                  <w:r>
                    <w:rPr>
                      <w:rFonts w:hint="eastAsia" w:cs="宋体"/>
                      <w:bCs/>
                      <w:sz w:val="21"/>
                      <w:szCs w:val="21"/>
                    </w:rPr>
                    <w:t>新建</w:t>
                  </w:r>
                </w:p>
              </w:tc>
            </w:tr>
            <w:tr w14:paraId="76A5D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00" w:type="dxa"/>
                  <w:vMerge w:val="restart"/>
                  <w:vAlign w:val="center"/>
                </w:tcPr>
                <w:p w14:paraId="2B82242E">
                  <w:pPr>
                    <w:adjustRightInd w:val="0"/>
                    <w:snapToGrid w:val="0"/>
                    <w:spacing w:line="240" w:lineRule="auto"/>
                    <w:ind w:firstLine="0" w:firstLineChars="0"/>
                    <w:jc w:val="center"/>
                    <w:rPr>
                      <w:rFonts w:cs="宋体"/>
                      <w:bCs/>
                      <w:sz w:val="21"/>
                      <w:szCs w:val="21"/>
                    </w:rPr>
                  </w:pPr>
                  <w:r>
                    <w:rPr>
                      <w:rFonts w:ascii="宋体" w:hAnsi="宋体" w:cs="宋体"/>
                      <w:spacing w:val="1"/>
                      <w:sz w:val="20"/>
                      <w:szCs w:val="20"/>
                    </w:rPr>
                    <w:t>公用</w:t>
                  </w:r>
                  <w:r>
                    <w:rPr>
                      <w:rFonts w:ascii="宋体" w:hAnsi="宋体" w:cs="宋体"/>
                      <w:spacing w:val="3"/>
                      <w:sz w:val="20"/>
                      <w:szCs w:val="20"/>
                    </w:rPr>
                    <w:t>工程</w:t>
                  </w:r>
                </w:p>
              </w:tc>
              <w:tc>
                <w:tcPr>
                  <w:tcW w:w="1706" w:type="dxa"/>
                  <w:gridSpan w:val="2"/>
                  <w:vAlign w:val="center"/>
                </w:tcPr>
                <w:p w14:paraId="374FE074">
                  <w:pPr>
                    <w:adjustRightInd w:val="0"/>
                    <w:snapToGrid w:val="0"/>
                    <w:spacing w:line="240" w:lineRule="auto"/>
                    <w:ind w:firstLine="0" w:firstLineChars="0"/>
                    <w:jc w:val="center"/>
                    <w:rPr>
                      <w:rFonts w:cs="宋体"/>
                      <w:bCs/>
                      <w:sz w:val="21"/>
                      <w:szCs w:val="21"/>
                    </w:rPr>
                  </w:pPr>
                  <w:r>
                    <w:rPr>
                      <w:rFonts w:hint="eastAsia" w:cs="宋体"/>
                      <w:bCs/>
                      <w:sz w:val="21"/>
                      <w:szCs w:val="21"/>
                    </w:rPr>
                    <w:t>给水系统</w:t>
                  </w:r>
                </w:p>
              </w:tc>
              <w:tc>
                <w:tcPr>
                  <w:tcW w:w="4125" w:type="dxa"/>
                  <w:vAlign w:val="center"/>
                </w:tcPr>
                <w:p w14:paraId="2FD667BB">
                  <w:pPr>
                    <w:adjustRightInd w:val="0"/>
                    <w:snapToGrid w:val="0"/>
                    <w:spacing w:line="240" w:lineRule="auto"/>
                    <w:ind w:firstLine="0" w:firstLineChars="0"/>
                    <w:jc w:val="center"/>
                    <w:rPr>
                      <w:rFonts w:cs="宋体"/>
                      <w:bCs/>
                      <w:sz w:val="21"/>
                      <w:szCs w:val="21"/>
                    </w:rPr>
                  </w:pPr>
                  <w:r>
                    <w:rPr>
                      <w:rFonts w:hint="eastAsia" w:cs="宋体"/>
                      <w:bCs/>
                      <w:sz w:val="21"/>
                      <w:szCs w:val="21"/>
                    </w:rPr>
                    <w:t>项目给水由市政自来水管网进行供给。</w:t>
                  </w:r>
                </w:p>
              </w:tc>
              <w:tc>
                <w:tcPr>
                  <w:tcW w:w="1150" w:type="dxa"/>
                  <w:vAlign w:val="center"/>
                </w:tcPr>
                <w:p w14:paraId="4CDA901E">
                  <w:pPr>
                    <w:adjustRightInd w:val="0"/>
                    <w:snapToGrid w:val="0"/>
                    <w:spacing w:line="240" w:lineRule="auto"/>
                    <w:ind w:firstLine="0" w:firstLineChars="0"/>
                    <w:jc w:val="center"/>
                    <w:rPr>
                      <w:rFonts w:cs="宋体"/>
                      <w:bCs/>
                      <w:sz w:val="21"/>
                      <w:szCs w:val="21"/>
                    </w:rPr>
                  </w:pPr>
                  <w:r>
                    <w:rPr>
                      <w:rFonts w:hint="eastAsia" w:cs="宋体"/>
                      <w:bCs/>
                      <w:sz w:val="21"/>
                      <w:szCs w:val="21"/>
                    </w:rPr>
                    <w:t>依托</w:t>
                  </w:r>
                </w:p>
              </w:tc>
            </w:tr>
            <w:tr w14:paraId="0CFB8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00" w:type="dxa"/>
                  <w:vMerge w:val="continue"/>
                  <w:vAlign w:val="center"/>
                </w:tcPr>
                <w:p w14:paraId="5B0E2696">
                  <w:pPr>
                    <w:adjustRightInd w:val="0"/>
                    <w:snapToGrid w:val="0"/>
                    <w:spacing w:line="240" w:lineRule="auto"/>
                    <w:ind w:firstLine="0" w:firstLineChars="0"/>
                    <w:jc w:val="center"/>
                    <w:rPr>
                      <w:rFonts w:cs="宋体"/>
                      <w:bCs/>
                      <w:sz w:val="21"/>
                      <w:szCs w:val="21"/>
                    </w:rPr>
                  </w:pPr>
                </w:p>
              </w:tc>
              <w:tc>
                <w:tcPr>
                  <w:tcW w:w="1706" w:type="dxa"/>
                  <w:gridSpan w:val="2"/>
                  <w:vAlign w:val="center"/>
                </w:tcPr>
                <w:p w14:paraId="2320C452">
                  <w:pPr>
                    <w:adjustRightInd w:val="0"/>
                    <w:snapToGrid w:val="0"/>
                    <w:spacing w:line="240" w:lineRule="auto"/>
                    <w:ind w:firstLine="0" w:firstLineChars="0"/>
                    <w:jc w:val="center"/>
                    <w:rPr>
                      <w:rFonts w:cs="宋体"/>
                      <w:bCs/>
                      <w:sz w:val="21"/>
                      <w:szCs w:val="21"/>
                    </w:rPr>
                  </w:pPr>
                  <w:r>
                    <w:rPr>
                      <w:rFonts w:hint="eastAsia" w:cs="宋体"/>
                      <w:bCs/>
                      <w:sz w:val="21"/>
                      <w:szCs w:val="21"/>
                    </w:rPr>
                    <w:t>排水系统</w:t>
                  </w:r>
                </w:p>
              </w:tc>
              <w:tc>
                <w:tcPr>
                  <w:tcW w:w="4125" w:type="dxa"/>
                  <w:vAlign w:val="center"/>
                </w:tcPr>
                <w:p w14:paraId="129CBE10">
                  <w:pPr>
                    <w:adjustRightInd w:val="0"/>
                    <w:snapToGrid w:val="0"/>
                    <w:spacing w:line="240" w:lineRule="auto"/>
                    <w:ind w:firstLine="0" w:firstLineChars="0"/>
                    <w:rPr>
                      <w:rFonts w:cs="宋体"/>
                      <w:bCs/>
                      <w:sz w:val="21"/>
                      <w:szCs w:val="21"/>
                    </w:rPr>
                  </w:pPr>
                  <w:r>
                    <w:rPr>
                      <w:rFonts w:hint="eastAsia" w:cs="宋体"/>
                      <w:bCs/>
                      <w:sz w:val="21"/>
                      <w:szCs w:val="21"/>
                    </w:rPr>
                    <w:t>项目雨污分流，车轮清洗废水拟建2个容积为1m³的洗车池循环使用不外排，初期雨水拟建1座15m³的收集池处理后回用于厂内洒水降尘及绿化；生活污水拟建1套处理能力为1m³/d的一体化污水处理设施处理后回用于绿化和降尘，不外排。</w:t>
                  </w:r>
                </w:p>
              </w:tc>
              <w:tc>
                <w:tcPr>
                  <w:tcW w:w="1150" w:type="dxa"/>
                  <w:vAlign w:val="center"/>
                </w:tcPr>
                <w:p w14:paraId="21442A20">
                  <w:pPr>
                    <w:adjustRightInd w:val="0"/>
                    <w:snapToGrid w:val="0"/>
                    <w:spacing w:line="240" w:lineRule="auto"/>
                    <w:ind w:firstLine="0" w:firstLineChars="0"/>
                    <w:jc w:val="center"/>
                    <w:rPr>
                      <w:rFonts w:cs="宋体"/>
                      <w:bCs/>
                      <w:sz w:val="21"/>
                      <w:szCs w:val="21"/>
                    </w:rPr>
                  </w:pPr>
                  <w:r>
                    <w:rPr>
                      <w:rFonts w:hint="eastAsia" w:cs="宋体"/>
                      <w:bCs/>
                      <w:sz w:val="21"/>
                      <w:szCs w:val="21"/>
                    </w:rPr>
                    <w:t>新建</w:t>
                  </w:r>
                </w:p>
              </w:tc>
            </w:tr>
            <w:tr w14:paraId="179BF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00" w:type="dxa"/>
                  <w:vMerge w:val="continue"/>
                  <w:vAlign w:val="center"/>
                </w:tcPr>
                <w:p w14:paraId="4AC40668">
                  <w:pPr>
                    <w:adjustRightInd w:val="0"/>
                    <w:snapToGrid w:val="0"/>
                    <w:spacing w:line="240" w:lineRule="auto"/>
                    <w:ind w:firstLine="0" w:firstLineChars="0"/>
                    <w:jc w:val="center"/>
                    <w:rPr>
                      <w:rFonts w:cs="宋体"/>
                      <w:bCs/>
                      <w:sz w:val="21"/>
                      <w:szCs w:val="21"/>
                    </w:rPr>
                  </w:pPr>
                </w:p>
              </w:tc>
              <w:tc>
                <w:tcPr>
                  <w:tcW w:w="1706" w:type="dxa"/>
                  <w:gridSpan w:val="2"/>
                  <w:vAlign w:val="center"/>
                </w:tcPr>
                <w:p w14:paraId="017AD6E9">
                  <w:pPr>
                    <w:adjustRightInd w:val="0"/>
                    <w:snapToGrid w:val="0"/>
                    <w:spacing w:line="240" w:lineRule="auto"/>
                    <w:ind w:firstLine="0" w:firstLineChars="0"/>
                    <w:jc w:val="center"/>
                    <w:rPr>
                      <w:rFonts w:cs="宋体"/>
                      <w:bCs/>
                      <w:sz w:val="21"/>
                      <w:szCs w:val="21"/>
                    </w:rPr>
                  </w:pPr>
                  <w:r>
                    <w:rPr>
                      <w:rFonts w:hint="eastAsia" w:cs="宋体"/>
                      <w:bCs/>
                      <w:sz w:val="21"/>
                      <w:szCs w:val="21"/>
                    </w:rPr>
                    <w:t>供电系统</w:t>
                  </w:r>
                </w:p>
              </w:tc>
              <w:tc>
                <w:tcPr>
                  <w:tcW w:w="4125" w:type="dxa"/>
                  <w:vAlign w:val="center"/>
                </w:tcPr>
                <w:p w14:paraId="411EEF04">
                  <w:pPr>
                    <w:adjustRightInd w:val="0"/>
                    <w:snapToGrid w:val="0"/>
                    <w:spacing w:line="240" w:lineRule="auto"/>
                    <w:ind w:firstLine="0" w:firstLineChars="0"/>
                    <w:jc w:val="center"/>
                    <w:rPr>
                      <w:rFonts w:cs="宋体"/>
                      <w:bCs/>
                      <w:sz w:val="21"/>
                      <w:szCs w:val="21"/>
                    </w:rPr>
                  </w:pPr>
                  <w:r>
                    <w:rPr>
                      <w:rFonts w:hint="eastAsia" w:cs="宋体"/>
                      <w:bCs/>
                      <w:sz w:val="21"/>
                      <w:szCs w:val="21"/>
                    </w:rPr>
                    <w:t>由寻甸县仁德镇公共电网供应。</w:t>
                  </w:r>
                </w:p>
              </w:tc>
              <w:tc>
                <w:tcPr>
                  <w:tcW w:w="1150" w:type="dxa"/>
                  <w:vAlign w:val="center"/>
                </w:tcPr>
                <w:p w14:paraId="6F0B0C1A">
                  <w:pPr>
                    <w:adjustRightInd w:val="0"/>
                    <w:snapToGrid w:val="0"/>
                    <w:spacing w:line="240" w:lineRule="auto"/>
                    <w:ind w:firstLine="0" w:firstLineChars="0"/>
                    <w:jc w:val="center"/>
                    <w:rPr>
                      <w:rFonts w:cs="宋体"/>
                      <w:bCs/>
                      <w:sz w:val="21"/>
                      <w:szCs w:val="21"/>
                    </w:rPr>
                  </w:pPr>
                  <w:r>
                    <w:rPr>
                      <w:rFonts w:hint="eastAsia" w:cs="宋体"/>
                      <w:bCs/>
                      <w:sz w:val="21"/>
                      <w:szCs w:val="21"/>
                    </w:rPr>
                    <w:t>依托</w:t>
                  </w:r>
                </w:p>
              </w:tc>
            </w:tr>
            <w:tr w14:paraId="0C080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00" w:type="dxa"/>
                  <w:vMerge w:val="continue"/>
                  <w:vAlign w:val="center"/>
                </w:tcPr>
                <w:p w14:paraId="184D994A">
                  <w:pPr>
                    <w:adjustRightInd w:val="0"/>
                    <w:snapToGrid w:val="0"/>
                    <w:spacing w:line="240" w:lineRule="auto"/>
                    <w:ind w:firstLine="0" w:firstLineChars="0"/>
                    <w:jc w:val="center"/>
                    <w:rPr>
                      <w:rFonts w:cs="宋体"/>
                      <w:bCs/>
                      <w:sz w:val="21"/>
                      <w:szCs w:val="21"/>
                    </w:rPr>
                  </w:pPr>
                </w:p>
              </w:tc>
              <w:tc>
                <w:tcPr>
                  <w:tcW w:w="1706" w:type="dxa"/>
                  <w:gridSpan w:val="2"/>
                  <w:vAlign w:val="center"/>
                </w:tcPr>
                <w:p w14:paraId="33072A6F">
                  <w:pPr>
                    <w:adjustRightInd w:val="0"/>
                    <w:snapToGrid w:val="0"/>
                    <w:spacing w:line="240" w:lineRule="auto"/>
                    <w:ind w:firstLine="0" w:firstLineChars="0"/>
                    <w:jc w:val="center"/>
                    <w:rPr>
                      <w:rFonts w:cs="宋体"/>
                      <w:bCs/>
                      <w:sz w:val="21"/>
                      <w:szCs w:val="21"/>
                    </w:rPr>
                  </w:pPr>
                  <w:r>
                    <w:rPr>
                      <w:rFonts w:hint="eastAsia" w:cs="宋体"/>
                      <w:bCs/>
                      <w:sz w:val="21"/>
                      <w:szCs w:val="21"/>
                    </w:rPr>
                    <w:t>供热</w:t>
                  </w:r>
                </w:p>
              </w:tc>
              <w:tc>
                <w:tcPr>
                  <w:tcW w:w="4125" w:type="dxa"/>
                  <w:vAlign w:val="center"/>
                </w:tcPr>
                <w:p w14:paraId="6A141079">
                  <w:pPr>
                    <w:adjustRightInd w:val="0"/>
                    <w:snapToGrid w:val="0"/>
                    <w:spacing w:line="240" w:lineRule="auto"/>
                    <w:ind w:firstLine="0" w:firstLineChars="0"/>
                    <w:rPr>
                      <w:rFonts w:cs="宋体"/>
                      <w:bCs/>
                      <w:sz w:val="21"/>
                      <w:szCs w:val="21"/>
                    </w:rPr>
                  </w:pPr>
                  <w:r>
                    <w:rPr>
                      <w:rFonts w:hint="eastAsia" w:cs="宋体"/>
                      <w:bCs/>
                      <w:sz w:val="21"/>
                      <w:szCs w:val="21"/>
                    </w:rPr>
                    <w:t>拟建1台50万大卡的导热油炉，以柴油为燃料加热导热油后再间接对沥青加热保温。</w:t>
                  </w:r>
                </w:p>
              </w:tc>
              <w:tc>
                <w:tcPr>
                  <w:tcW w:w="1150" w:type="dxa"/>
                  <w:vAlign w:val="center"/>
                </w:tcPr>
                <w:p w14:paraId="2513894A">
                  <w:pPr>
                    <w:adjustRightInd w:val="0"/>
                    <w:snapToGrid w:val="0"/>
                    <w:spacing w:line="240" w:lineRule="auto"/>
                    <w:ind w:firstLine="0" w:firstLineChars="0"/>
                    <w:jc w:val="center"/>
                    <w:rPr>
                      <w:rFonts w:cs="宋体"/>
                      <w:bCs/>
                      <w:sz w:val="21"/>
                      <w:szCs w:val="21"/>
                    </w:rPr>
                  </w:pPr>
                  <w:r>
                    <w:rPr>
                      <w:rFonts w:hint="eastAsia" w:cs="宋体"/>
                      <w:bCs/>
                      <w:sz w:val="21"/>
                      <w:szCs w:val="21"/>
                    </w:rPr>
                    <w:t>新建</w:t>
                  </w:r>
                </w:p>
              </w:tc>
            </w:tr>
            <w:tr w14:paraId="6272C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00" w:type="dxa"/>
                  <w:vMerge w:val="restart"/>
                  <w:vAlign w:val="center"/>
                </w:tcPr>
                <w:p w14:paraId="6B847E03">
                  <w:pPr>
                    <w:adjustRightInd w:val="0"/>
                    <w:snapToGrid w:val="0"/>
                    <w:spacing w:line="240" w:lineRule="auto"/>
                    <w:ind w:firstLine="0" w:firstLineChars="0"/>
                    <w:jc w:val="center"/>
                    <w:rPr>
                      <w:rFonts w:cs="宋体"/>
                      <w:bCs/>
                      <w:sz w:val="21"/>
                      <w:szCs w:val="21"/>
                    </w:rPr>
                  </w:pPr>
                  <w:r>
                    <w:rPr>
                      <w:rFonts w:hint="eastAsia" w:cs="宋体"/>
                      <w:bCs/>
                      <w:sz w:val="21"/>
                      <w:szCs w:val="21"/>
                    </w:rPr>
                    <w:t>环保工程</w:t>
                  </w:r>
                </w:p>
              </w:tc>
              <w:tc>
                <w:tcPr>
                  <w:tcW w:w="493" w:type="dxa"/>
                  <w:vMerge w:val="restart"/>
                  <w:vAlign w:val="center"/>
                </w:tcPr>
                <w:p w14:paraId="5933BA31">
                  <w:pPr>
                    <w:adjustRightInd w:val="0"/>
                    <w:snapToGrid w:val="0"/>
                    <w:spacing w:line="240" w:lineRule="auto"/>
                    <w:ind w:firstLine="0" w:firstLineChars="0"/>
                    <w:jc w:val="center"/>
                    <w:rPr>
                      <w:rFonts w:cs="宋体"/>
                      <w:bCs/>
                      <w:sz w:val="21"/>
                      <w:szCs w:val="21"/>
                    </w:rPr>
                  </w:pPr>
                </w:p>
                <w:p w14:paraId="31D03955">
                  <w:pPr>
                    <w:adjustRightInd w:val="0"/>
                    <w:snapToGrid w:val="0"/>
                    <w:spacing w:line="240" w:lineRule="auto"/>
                    <w:ind w:firstLine="0" w:firstLineChars="0"/>
                    <w:jc w:val="center"/>
                    <w:rPr>
                      <w:rFonts w:cs="宋体"/>
                      <w:bCs/>
                      <w:sz w:val="21"/>
                      <w:szCs w:val="21"/>
                    </w:rPr>
                  </w:pPr>
                </w:p>
                <w:p w14:paraId="1A6F21E5">
                  <w:pPr>
                    <w:adjustRightInd w:val="0"/>
                    <w:snapToGrid w:val="0"/>
                    <w:spacing w:line="240" w:lineRule="auto"/>
                    <w:ind w:firstLine="0" w:firstLineChars="0"/>
                    <w:jc w:val="center"/>
                    <w:rPr>
                      <w:rFonts w:cs="宋体"/>
                      <w:bCs/>
                      <w:sz w:val="21"/>
                      <w:szCs w:val="21"/>
                    </w:rPr>
                  </w:pPr>
                </w:p>
                <w:p w14:paraId="7A60D4E6">
                  <w:pPr>
                    <w:adjustRightInd w:val="0"/>
                    <w:snapToGrid w:val="0"/>
                    <w:spacing w:line="240" w:lineRule="auto"/>
                    <w:ind w:firstLine="0" w:firstLineChars="0"/>
                    <w:jc w:val="center"/>
                    <w:rPr>
                      <w:rFonts w:cs="宋体"/>
                      <w:bCs/>
                      <w:sz w:val="21"/>
                      <w:szCs w:val="21"/>
                    </w:rPr>
                  </w:pPr>
                </w:p>
                <w:p w14:paraId="0303CF0F">
                  <w:pPr>
                    <w:adjustRightInd w:val="0"/>
                    <w:snapToGrid w:val="0"/>
                    <w:spacing w:line="240" w:lineRule="auto"/>
                    <w:ind w:firstLine="0" w:firstLineChars="0"/>
                    <w:jc w:val="center"/>
                    <w:rPr>
                      <w:rFonts w:cs="宋体"/>
                      <w:bCs/>
                      <w:sz w:val="21"/>
                      <w:szCs w:val="21"/>
                    </w:rPr>
                  </w:pPr>
                </w:p>
                <w:p w14:paraId="24FBEF2C">
                  <w:pPr>
                    <w:adjustRightInd w:val="0"/>
                    <w:snapToGrid w:val="0"/>
                    <w:spacing w:line="240" w:lineRule="auto"/>
                    <w:ind w:firstLine="0" w:firstLineChars="0"/>
                    <w:jc w:val="center"/>
                    <w:rPr>
                      <w:rFonts w:cs="宋体"/>
                      <w:bCs/>
                      <w:sz w:val="21"/>
                      <w:szCs w:val="21"/>
                    </w:rPr>
                  </w:pPr>
                </w:p>
                <w:p w14:paraId="5CC066C8">
                  <w:pPr>
                    <w:adjustRightInd w:val="0"/>
                    <w:snapToGrid w:val="0"/>
                    <w:spacing w:line="240" w:lineRule="auto"/>
                    <w:ind w:firstLine="0" w:firstLineChars="0"/>
                    <w:jc w:val="center"/>
                    <w:rPr>
                      <w:rFonts w:cs="宋体"/>
                      <w:bCs/>
                      <w:sz w:val="21"/>
                      <w:szCs w:val="21"/>
                    </w:rPr>
                  </w:pPr>
                </w:p>
                <w:p w14:paraId="174BB9E3">
                  <w:pPr>
                    <w:adjustRightInd w:val="0"/>
                    <w:snapToGrid w:val="0"/>
                    <w:spacing w:line="240" w:lineRule="auto"/>
                    <w:ind w:firstLine="0" w:firstLineChars="0"/>
                    <w:jc w:val="center"/>
                    <w:rPr>
                      <w:rFonts w:cs="宋体"/>
                      <w:bCs/>
                      <w:sz w:val="21"/>
                      <w:szCs w:val="21"/>
                    </w:rPr>
                  </w:pPr>
                </w:p>
                <w:p w14:paraId="48970DE8">
                  <w:pPr>
                    <w:adjustRightInd w:val="0"/>
                    <w:snapToGrid w:val="0"/>
                    <w:spacing w:line="240" w:lineRule="auto"/>
                    <w:ind w:firstLine="0" w:firstLineChars="0"/>
                    <w:jc w:val="center"/>
                    <w:rPr>
                      <w:rFonts w:cs="宋体"/>
                      <w:bCs/>
                      <w:sz w:val="21"/>
                      <w:szCs w:val="21"/>
                    </w:rPr>
                  </w:pPr>
                  <w:r>
                    <w:rPr>
                      <w:rFonts w:hint="eastAsia" w:cs="宋体"/>
                      <w:bCs/>
                      <w:sz w:val="21"/>
                      <w:szCs w:val="21"/>
                    </w:rPr>
                    <w:t>废</w:t>
                  </w:r>
                </w:p>
                <w:p w14:paraId="6B1BF213">
                  <w:pPr>
                    <w:adjustRightInd w:val="0"/>
                    <w:snapToGrid w:val="0"/>
                    <w:spacing w:line="240" w:lineRule="auto"/>
                    <w:ind w:firstLine="0" w:firstLineChars="0"/>
                    <w:jc w:val="center"/>
                    <w:rPr>
                      <w:rFonts w:cs="宋体"/>
                      <w:bCs/>
                      <w:sz w:val="21"/>
                      <w:szCs w:val="21"/>
                    </w:rPr>
                  </w:pPr>
                  <w:r>
                    <w:rPr>
                      <w:rFonts w:hint="eastAsia" w:cs="宋体"/>
                      <w:bCs/>
                      <w:sz w:val="21"/>
                      <w:szCs w:val="21"/>
                    </w:rPr>
                    <w:t>气</w:t>
                  </w:r>
                </w:p>
              </w:tc>
              <w:tc>
                <w:tcPr>
                  <w:tcW w:w="1213" w:type="dxa"/>
                  <w:vAlign w:val="center"/>
                </w:tcPr>
                <w:p w14:paraId="20520785">
                  <w:pPr>
                    <w:adjustRightInd w:val="0"/>
                    <w:snapToGrid w:val="0"/>
                    <w:spacing w:line="240" w:lineRule="auto"/>
                    <w:ind w:firstLine="0" w:firstLineChars="0"/>
                    <w:rPr>
                      <w:rFonts w:cs="宋体"/>
                      <w:bCs/>
                      <w:sz w:val="21"/>
                      <w:szCs w:val="21"/>
                    </w:rPr>
                  </w:pPr>
                  <w:r>
                    <w:rPr>
                      <w:rFonts w:hint="eastAsia"/>
                      <w:sz w:val="21"/>
                    </w:rPr>
                    <w:t>砂石料卸料、上料</w:t>
                  </w:r>
                </w:p>
              </w:tc>
              <w:tc>
                <w:tcPr>
                  <w:tcW w:w="4125" w:type="dxa"/>
                  <w:vAlign w:val="center"/>
                </w:tcPr>
                <w:p w14:paraId="7E9F0AB9">
                  <w:pPr>
                    <w:adjustRightInd w:val="0"/>
                    <w:snapToGrid w:val="0"/>
                    <w:spacing w:line="240" w:lineRule="auto"/>
                    <w:ind w:firstLine="0" w:firstLineChars="0"/>
                    <w:rPr>
                      <w:rFonts w:cs="宋体"/>
                      <w:bCs/>
                      <w:sz w:val="21"/>
                      <w:szCs w:val="21"/>
                    </w:rPr>
                  </w:pPr>
                  <w:r>
                    <w:rPr>
                      <w:rFonts w:hint="eastAsia" w:eastAsia="Times New Roman"/>
                      <w:sz w:val="21"/>
                      <w:szCs w:val="21"/>
                    </w:rPr>
                    <w:t>砂石料仓三面封闭并设置顶棚，仓内设有水喷淋装置，在卸料、物料转移和上料过程进行喷淋降尘，保持物料表面薇湿。</w:t>
                  </w:r>
                </w:p>
              </w:tc>
              <w:tc>
                <w:tcPr>
                  <w:tcW w:w="1150" w:type="dxa"/>
                  <w:vAlign w:val="center"/>
                </w:tcPr>
                <w:p w14:paraId="32497BD0">
                  <w:pPr>
                    <w:adjustRightInd w:val="0"/>
                    <w:snapToGrid w:val="0"/>
                    <w:spacing w:line="240" w:lineRule="auto"/>
                    <w:ind w:firstLine="0" w:firstLineChars="0"/>
                    <w:jc w:val="center"/>
                    <w:rPr>
                      <w:rFonts w:cs="宋体"/>
                      <w:bCs/>
                      <w:sz w:val="21"/>
                      <w:szCs w:val="21"/>
                    </w:rPr>
                  </w:pPr>
                  <w:r>
                    <w:rPr>
                      <w:rFonts w:hint="eastAsia" w:cs="宋体"/>
                      <w:bCs/>
                      <w:sz w:val="21"/>
                      <w:szCs w:val="21"/>
                    </w:rPr>
                    <w:t>新建</w:t>
                  </w:r>
                </w:p>
              </w:tc>
            </w:tr>
            <w:tr w14:paraId="772C9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00" w:type="dxa"/>
                  <w:vMerge w:val="continue"/>
                  <w:vAlign w:val="center"/>
                </w:tcPr>
                <w:p w14:paraId="4534D929">
                  <w:pPr>
                    <w:adjustRightInd w:val="0"/>
                    <w:snapToGrid w:val="0"/>
                    <w:spacing w:line="240" w:lineRule="auto"/>
                    <w:ind w:firstLine="0" w:firstLineChars="0"/>
                    <w:jc w:val="center"/>
                    <w:rPr>
                      <w:rFonts w:cs="宋体"/>
                      <w:bCs/>
                      <w:sz w:val="21"/>
                      <w:szCs w:val="21"/>
                    </w:rPr>
                  </w:pPr>
                </w:p>
              </w:tc>
              <w:tc>
                <w:tcPr>
                  <w:tcW w:w="493" w:type="dxa"/>
                  <w:vMerge w:val="continue"/>
                  <w:vAlign w:val="center"/>
                </w:tcPr>
                <w:p w14:paraId="0905AC5B">
                  <w:pPr>
                    <w:adjustRightInd w:val="0"/>
                    <w:snapToGrid w:val="0"/>
                    <w:spacing w:line="240" w:lineRule="auto"/>
                    <w:ind w:firstLine="0" w:firstLineChars="0"/>
                    <w:jc w:val="center"/>
                    <w:rPr>
                      <w:rFonts w:cs="宋体"/>
                      <w:bCs/>
                      <w:sz w:val="21"/>
                      <w:szCs w:val="21"/>
                    </w:rPr>
                  </w:pPr>
                </w:p>
              </w:tc>
              <w:tc>
                <w:tcPr>
                  <w:tcW w:w="1213" w:type="dxa"/>
                  <w:vAlign w:val="center"/>
                </w:tcPr>
                <w:p w14:paraId="43E5FB84">
                  <w:pPr>
                    <w:adjustRightInd w:val="0"/>
                    <w:snapToGrid w:val="0"/>
                    <w:spacing w:line="240" w:lineRule="auto"/>
                    <w:ind w:firstLine="0" w:firstLineChars="0"/>
                    <w:jc w:val="center"/>
                    <w:rPr>
                      <w:rFonts w:cs="宋体"/>
                      <w:bCs/>
                      <w:color w:val="FF0000"/>
                      <w:sz w:val="21"/>
                      <w:szCs w:val="21"/>
                    </w:rPr>
                  </w:pPr>
                  <w:r>
                    <w:rPr>
                      <w:rFonts w:hint="eastAsia" w:cs="宋体"/>
                      <w:bCs/>
                      <w:sz w:val="21"/>
                      <w:szCs w:val="21"/>
                    </w:rPr>
                    <w:t>燃烧器燃烧，砂石骨料烘干、筛分等</w:t>
                  </w:r>
                </w:p>
              </w:tc>
              <w:tc>
                <w:tcPr>
                  <w:tcW w:w="4125" w:type="dxa"/>
                  <w:vAlign w:val="center"/>
                </w:tcPr>
                <w:p w14:paraId="00BC95BD">
                  <w:pPr>
                    <w:adjustRightInd w:val="0"/>
                    <w:snapToGrid w:val="0"/>
                    <w:spacing w:line="240" w:lineRule="auto"/>
                    <w:ind w:firstLine="0" w:firstLineChars="0"/>
                    <w:jc w:val="center"/>
                    <w:rPr>
                      <w:rFonts w:cs="宋体"/>
                      <w:bCs/>
                      <w:color w:val="FF0000"/>
                      <w:sz w:val="21"/>
                      <w:szCs w:val="21"/>
                    </w:rPr>
                  </w:pPr>
                  <w:r>
                    <w:rPr>
                      <w:rFonts w:hint="eastAsia" w:cs="宋体"/>
                      <w:bCs/>
                      <w:sz w:val="21"/>
                      <w:szCs w:val="21"/>
                    </w:rPr>
                    <w:t>密闭管道收集后进入</w:t>
                  </w:r>
                  <w:r>
                    <w:rPr>
                      <w:rFonts w:cs="宋体"/>
                      <w:bCs/>
                      <w:sz w:val="21"/>
                      <w:szCs w:val="21"/>
                    </w:rPr>
                    <w:t>布袋除尘器处理</w:t>
                  </w:r>
                  <w:r>
                    <w:rPr>
                      <w:rStyle w:val="73"/>
                      <w:rFonts w:hint="default" w:ascii="Times New Roman" w:hAnsi="Times New Roman" w:cs="Times New Roman"/>
                      <w:color w:val="auto"/>
                    </w:rPr>
                    <w:t>后由15m排气筒排放（DA001）</w:t>
                  </w:r>
                  <w:r>
                    <w:rPr>
                      <w:rStyle w:val="73"/>
                      <w:rFonts w:hint="default" w:cs="Times New Roman"/>
                      <w:color w:val="auto"/>
                    </w:rPr>
                    <w:t>，布袋除尘器处理效率</w:t>
                  </w:r>
                  <w:r>
                    <w:rPr>
                      <w:rStyle w:val="73"/>
                      <w:rFonts w:hint="default" w:ascii="Times New Roman" w:hAnsi="Times New Roman" w:cs="Times New Roman"/>
                      <w:color w:val="auto"/>
                    </w:rPr>
                    <w:t>不低于98%，风机风量为75000m³/h。</w:t>
                  </w:r>
                </w:p>
              </w:tc>
              <w:tc>
                <w:tcPr>
                  <w:tcW w:w="1150" w:type="dxa"/>
                  <w:vAlign w:val="center"/>
                </w:tcPr>
                <w:p w14:paraId="3DD9C1DD">
                  <w:pPr>
                    <w:adjustRightInd w:val="0"/>
                    <w:snapToGrid w:val="0"/>
                    <w:spacing w:line="240" w:lineRule="auto"/>
                    <w:ind w:firstLine="0" w:firstLineChars="0"/>
                    <w:jc w:val="center"/>
                    <w:rPr>
                      <w:rFonts w:cs="宋体"/>
                      <w:bCs/>
                      <w:sz w:val="21"/>
                      <w:szCs w:val="21"/>
                    </w:rPr>
                  </w:pPr>
                  <w:r>
                    <w:rPr>
                      <w:rFonts w:hint="eastAsia" w:cs="宋体"/>
                      <w:bCs/>
                      <w:sz w:val="21"/>
                      <w:szCs w:val="21"/>
                    </w:rPr>
                    <w:t>新建</w:t>
                  </w:r>
                </w:p>
              </w:tc>
            </w:tr>
            <w:tr w14:paraId="71CD9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00" w:type="dxa"/>
                  <w:vMerge w:val="continue"/>
                  <w:vAlign w:val="center"/>
                </w:tcPr>
                <w:p w14:paraId="5B982688">
                  <w:pPr>
                    <w:adjustRightInd w:val="0"/>
                    <w:snapToGrid w:val="0"/>
                    <w:spacing w:line="240" w:lineRule="auto"/>
                    <w:ind w:firstLine="0" w:firstLineChars="0"/>
                    <w:jc w:val="center"/>
                    <w:rPr>
                      <w:rFonts w:cs="宋体"/>
                      <w:bCs/>
                      <w:sz w:val="21"/>
                      <w:szCs w:val="21"/>
                    </w:rPr>
                  </w:pPr>
                </w:p>
              </w:tc>
              <w:tc>
                <w:tcPr>
                  <w:tcW w:w="493" w:type="dxa"/>
                  <w:vMerge w:val="continue"/>
                  <w:vAlign w:val="center"/>
                </w:tcPr>
                <w:p w14:paraId="5D087C9E">
                  <w:pPr>
                    <w:adjustRightInd w:val="0"/>
                    <w:snapToGrid w:val="0"/>
                    <w:spacing w:line="240" w:lineRule="auto"/>
                    <w:ind w:firstLine="0" w:firstLineChars="0"/>
                    <w:jc w:val="center"/>
                    <w:rPr>
                      <w:rFonts w:cs="宋体"/>
                      <w:bCs/>
                      <w:sz w:val="21"/>
                      <w:szCs w:val="21"/>
                    </w:rPr>
                  </w:pPr>
                </w:p>
              </w:tc>
              <w:tc>
                <w:tcPr>
                  <w:tcW w:w="1213" w:type="dxa"/>
                  <w:vAlign w:val="center"/>
                </w:tcPr>
                <w:p w14:paraId="427C2849">
                  <w:pPr>
                    <w:adjustRightInd w:val="0"/>
                    <w:snapToGrid w:val="0"/>
                    <w:spacing w:line="240" w:lineRule="auto"/>
                    <w:ind w:firstLine="0" w:firstLineChars="0"/>
                    <w:jc w:val="center"/>
                    <w:rPr>
                      <w:rFonts w:cs="宋体"/>
                      <w:bCs/>
                      <w:sz w:val="21"/>
                      <w:szCs w:val="21"/>
                    </w:rPr>
                  </w:pPr>
                  <w:r>
                    <w:rPr>
                      <w:rFonts w:hint="eastAsia" w:cs="宋体"/>
                      <w:bCs/>
                      <w:sz w:val="21"/>
                      <w:szCs w:val="21"/>
                    </w:rPr>
                    <w:t>导热油炉烟气</w:t>
                  </w:r>
                </w:p>
              </w:tc>
              <w:tc>
                <w:tcPr>
                  <w:tcW w:w="4125" w:type="dxa"/>
                  <w:vAlign w:val="center"/>
                </w:tcPr>
                <w:p w14:paraId="7FB2B333">
                  <w:pPr>
                    <w:adjustRightInd w:val="0"/>
                    <w:snapToGrid w:val="0"/>
                    <w:spacing w:line="240" w:lineRule="auto"/>
                    <w:ind w:firstLine="0" w:firstLineChars="0"/>
                    <w:jc w:val="center"/>
                    <w:rPr>
                      <w:rFonts w:cs="宋体"/>
                      <w:bCs/>
                      <w:sz w:val="21"/>
                      <w:szCs w:val="21"/>
                    </w:rPr>
                  </w:pPr>
                  <w:r>
                    <w:rPr>
                      <w:rFonts w:hint="eastAsia" w:cs="宋体"/>
                      <w:bCs/>
                      <w:color w:val="000000" w:themeColor="text1"/>
                      <w:sz w:val="21"/>
                      <w:szCs w:val="21"/>
                      <w14:textFill>
                        <w14:solidFill>
                          <w14:schemeClr w14:val="tx1"/>
                        </w14:solidFill>
                      </w14:textFill>
                    </w:rPr>
                    <w:t>经1根15m排</w:t>
                  </w:r>
                  <w:r>
                    <w:rPr>
                      <w:rFonts w:hint="eastAsia" w:cs="宋体"/>
                      <w:bCs/>
                      <w:sz w:val="21"/>
                      <w:szCs w:val="21"/>
                    </w:rPr>
                    <w:t>气筒收集排放（DA002）</w:t>
                  </w:r>
                </w:p>
              </w:tc>
              <w:tc>
                <w:tcPr>
                  <w:tcW w:w="1150" w:type="dxa"/>
                  <w:shd w:val="clear" w:color="auto" w:fill="auto"/>
                  <w:vAlign w:val="center"/>
                </w:tcPr>
                <w:p w14:paraId="1C3E953A">
                  <w:pPr>
                    <w:adjustRightInd w:val="0"/>
                    <w:snapToGrid w:val="0"/>
                    <w:spacing w:line="240" w:lineRule="auto"/>
                    <w:ind w:firstLine="0" w:firstLineChars="0"/>
                    <w:jc w:val="center"/>
                    <w:rPr>
                      <w:rFonts w:cs="宋体"/>
                      <w:bCs/>
                      <w:sz w:val="21"/>
                      <w:szCs w:val="21"/>
                    </w:rPr>
                  </w:pPr>
                  <w:r>
                    <w:rPr>
                      <w:rFonts w:hint="eastAsia" w:cs="宋体"/>
                      <w:bCs/>
                      <w:sz w:val="21"/>
                      <w:szCs w:val="21"/>
                    </w:rPr>
                    <w:t>新建</w:t>
                  </w:r>
                </w:p>
              </w:tc>
            </w:tr>
            <w:tr w14:paraId="6486D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00" w:type="dxa"/>
                  <w:vMerge w:val="continue"/>
                  <w:vAlign w:val="center"/>
                </w:tcPr>
                <w:p w14:paraId="343E9EAD">
                  <w:pPr>
                    <w:adjustRightInd w:val="0"/>
                    <w:snapToGrid w:val="0"/>
                    <w:spacing w:line="240" w:lineRule="auto"/>
                    <w:ind w:firstLine="0" w:firstLineChars="0"/>
                    <w:jc w:val="center"/>
                    <w:rPr>
                      <w:rFonts w:cs="宋体"/>
                      <w:bCs/>
                      <w:sz w:val="21"/>
                      <w:szCs w:val="21"/>
                    </w:rPr>
                  </w:pPr>
                </w:p>
              </w:tc>
              <w:tc>
                <w:tcPr>
                  <w:tcW w:w="493" w:type="dxa"/>
                  <w:vMerge w:val="continue"/>
                  <w:vAlign w:val="center"/>
                </w:tcPr>
                <w:p w14:paraId="1E1425F9">
                  <w:pPr>
                    <w:adjustRightInd w:val="0"/>
                    <w:snapToGrid w:val="0"/>
                    <w:spacing w:line="240" w:lineRule="auto"/>
                    <w:ind w:firstLine="0" w:firstLineChars="0"/>
                    <w:jc w:val="center"/>
                    <w:rPr>
                      <w:rFonts w:cs="宋体"/>
                      <w:bCs/>
                      <w:sz w:val="21"/>
                      <w:szCs w:val="21"/>
                    </w:rPr>
                  </w:pPr>
                </w:p>
              </w:tc>
              <w:tc>
                <w:tcPr>
                  <w:tcW w:w="1213" w:type="dxa"/>
                  <w:vAlign w:val="center"/>
                </w:tcPr>
                <w:p w14:paraId="5ADDCC97">
                  <w:pPr>
                    <w:adjustRightInd w:val="0"/>
                    <w:snapToGrid w:val="0"/>
                    <w:spacing w:line="240" w:lineRule="auto"/>
                    <w:ind w:firstLine="0" w:firstLineChars="0"/>
                    <w:jc w:val="center"/>
                    <w:rPr>
                      <w:rFonts w:cs="宋体"/>
                      <w:bCs/>
                      <w:sz w:val="21"/>
                      <w:szCs w:val="21"/>
                    </w:rPr>
                  </w:pPr>
                  <w:r>
                    <w:rPr>
                      <w:rFonts w:hint="eastAsia" w:cs="宋体"/>
                      <w:bCs/>
                      <w:sz w:val="21"/>
                      <w:szCs w:val="21"/>
                    </w:rPr>
                    <w:t>沥青加热、搅拌、出料废气</w:t>
                  </w:r>
                </w:p>
              </w:tc>
              <w:tc>
                <w:tcPr>
                  <w:tcW w:w="4125" w:type="dxa"/>
                  <w:vAlign w:val="center"/>
                </w:tcPr>
                <w:p w14:paraId="6467FAC0">
                  <w:pPr>
                    <w:adjustRightInd w:val="0"/>
                    <w:snapToGrid w:val="0"/>
                    <w:spacing w:line="240" w:lineRule="auto"/>
                    <w:ind w:firstLine="0" w:firstLineChars="0"/>
                    <w:jc w:val="center"/>
                    <w:rPr>
                      <w:rFonts w:cs="宋体"/>
                      <w:bCs/>
                      <w:sz w:val="21"/>
                      <w:szCs w:val="21"/>
                    </w:rPr>
                  </w:pPr>
                  <w:r>
                    <w:rPr>
                      <w:rFonts w:hint="eastAsia" w:cs="宋体"/>
                      <w:bCs/>
                      <w:sz w:val="21"/>
                      <w:szCs w:val="21"/>
                    </w:rPr>
                    <w:t>沥青罐加热废气通过管道负压收集、搅拌出料废气设置感应式卷帘门，成品出料时全封闭作业，微负压收集出料废气，进入电捕焦油器+三级活性炭吸附装置处理后由1根15m排气筒排放（DA003），</w:t>
                  </w:r>
                  <w:r>
                    <w:rPr>
                      <w:rStyle w:val="73"/>
                      <w:rFonts w:hint="default" w:ascii="Times New Roman" w:hAnsi="Times New Roman" w:cs="Times New Roman"/>
                      <w:color w:val="auto"/>
                    </w:rPr>
                    <w:t>风机风量为10000m³/h。</w:t>
                  </w:r>
                </w:p>
              </w:tc>
              <w:tc>
                <w:tcPr>
                  <w:tcW w:w="1150" w:type="dxa"/>
                  <w:shd w:val="clear" w:color="auto" w:fill="auto"/>
                  <w:vAlign w:val="center"/>
                </w:tcPr>
                <w:p w14:paraId="31CA628A">
                  <w:pPr>
                    <w:adjustRightInd w:val="0"/>
                    <w:snapToGrid w:val="0"/>
                    <w:spacing w:line="240" w:lineRule="auto"/>
                    <w:ind w:firstLine="0" w:firstLineChars="0"/>
                    <w:jc w:val="center"/>
                    <w:rPr>
                      <w:rFonts w:cs="宋体"/>
                      <w:bCs/>
                      <w:sz w:val="21"/>
                      <w:szCs w:val="21"/>
                    </w:rPr>
                  </w:pPr>
                  <w:r>
                    <w:rPr>
                      <w:rFonts w:hint="eastAsia" w:cs="宋体"/>
                      <w:bCs/>
                      <w:sz w:val="21"/>
                      <w:szCs w:val="21"/>
                    </w:rPr>
                    <w:t>新建</w:t>
                  </w:r>
                </w:p>
              </w:tc>
            </w:tr>
            <w:tr w14:paraId="6DBAF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00" w:type="dxa"/>
                  <w:vMerge w:val="continue"/>
                  <w:vAlign w:val="center"/>
                </w:tcPr>
                <w:p w14:paraId="6055CFCE">
                  <w:pPr>
                    <w:adjustRightInd w:val="0"/>
                    <w:snapToGrid w:val="0"/>
                    <w:spacing w:line="240" w:lineRule="auto"/>
                    <w:ind w:firstLine="0" w:firstLineChars="0"/>
                    <w:jc w:val="center"/>
                    <w:rPr>
                      <w:rFonts w:cs="宋体"/>
                      <w:bCs/>
                      <w:sz w:val="21"/>
                      <w:szCs w:val="21"/>
                    </w:rPr>
                  </w:pPr>
                </w:p>
              </w:tc>
              <w:tc>
                <w:tcPr>
                  <w:tcW w:w="493" w:type="dxa"/>
                  <w:vMerge w:val="continue"/>
                  <w:vAlign w:val="center"/>
                </w:tcPr>
                <w:p w14:paraId="0EAABF08">
                  <w:pPr>
                    <w:adjustRightInd w:val="0"/>
                    <w:snapToGrid w:val="0"/>
                    <w:spacing w:line="240" w:lineRule="auto"/>
                    <w:ind w:firstLine="0" w:firstLineChars="0"/>
                    <w:jc w:val="center"/>
                    <w:rPr>
                      <w:rFonts w:cs="宋体"/>
                      <w:bCs/>
                      <w:sz w:val="21"/>
                      <w:szCs w:val="21"/>
                    </w:rPr>
                  </w:pPr>
                </w:p>
              </w:tc>
              <w:tc>
                <w:tcPr>
                  <w:tcW w:w="1213" w:type="dxa"/>
                  <w:vAlign w:val="center"/>
                </w:tcPr>
                <w:p w14:paraId="04420B29">
                  <w:pPr>
                    <w:adjustRightInd w:val="0"/>
                    <w:snapToGrid w:val="0"/>
                    <w:spacing w:line="240" w:lineRule="auto"/>
                    <w:ind w:firstLine="0" w:firstLineChars="0"/>
                    <w:jc w:val="center"/>
                    <w:rPr>
                      <w:rFonts w:cs="宋体"/>
                      <w:bCs/>
                      <w:sz w:val="21"/>
                      <w:szCs w:val="21"/>
                    </w:rPr>
                  </w:pPr>
                  <w:r>
                    <w:rPr>
                      <w:rFonts w:hint="eastAsia" w:cs="宋体"/>
                      <w:bCs/>
                      <w:sz w:val="21"/>
                      <w:szCs w:val="21"/>
                    </w:rPr>
                    <w:t>运输扬尘</w:t>
                  </w:r>
                </w:p>
              </w:tc>
              <w:tc>
                <w:tcPr>
                  <w:tcW w:w="4125" w:type="dxa"/>
                  <w:vAlign w:val="center"/>
                </w:tcPr>
                <w:p w14:paraId="7857739F">
                  <w:pPr>
                    <w:adjustRightInd w:val="0"/>
                    <w:snapToGrid w:val="0"/>
                    <w:spacing w:line="240" w:lineRule="auto"/>
                    <w:ind w:firstLine="0" w:firstLineChars="0"/>
                    <w:rPr>
                      <w:rFonts w:cs="宋体"/>
                      <w:bCs/>
                      <w:sz w:val="21"/>
                      <w:szCs w:val="21"/>
                    </w:rPr>
                  </w:pPr>
                  <w:r>
                    <w:rPr>
                      <w:rFonts w:hint="eastAsia"/>
                      <w:bCs/>
                      <w:sz w:val="21"/>
                      <w:szCs w:val="21"/>
                    </w:rPr>
                    <w:t>厂区进行水泥道路地面硬化，每天2次定期清扫路面及洒水降尘。</w:t>
                  </w:r>
                </w:p>
              </w:tc>
              <w:tc>
                <w:tcPr>
                  <w:tcW w:w="1150" w:type="dxa"/>
                  <w:vAlign w:val="center"/>
                </w:tcPr>
                <w:p w14:paraId="4DA0E7CD">
                  <w:pPr>
                    <w:adjustRightInd w:val="0"/>
                    <w:snapToGrid w:val="0"/>
                    <w:spacing w:line="240" w:lineRule="auto"/>
                    <w:ind w:firstLine="0" w:firstLineChars="0"/>
                    <w:jc w:val="center"/>
                    <w:rPr>
                      <w:rFonts w:cs="宋体"/>
                      <w:bCs/>
                      <w:sz w:val="21"/>
                      <w:szCs w:val="21"/>
                    </w:rPr>
                  </w:pPr>
                  <w:r>
                    <w:rPr>
                      <w:rFonts w:hint="eastAsia" w:cs="宋体"/>
                      <w:bCs/>
                      <w:sz w:val="21"/>
                      <w:szCs w:val="21"/>
                    </w:rPr>
                    <w:t>新建</w:t>
                  </w:r>
                </w:p>
              </w:tc>
            </w:tr>
            <w:tr w14:paraId="7D398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00" w:type="dxa"/>
                  <w:vMerge w:val="continue"/>
                  <w:vAlign w:val="center"/>
                </w:tcPr>
                <w:p w14:paraId="5EC39D8E">
                  <w:pPr>
                    <w:adjustRightInd w:val="0"/>
                    <w:snapToGrid w:val="0"/>
                    <w:spacing w:line="240" w:lineRule="auto"/>
                    <w:ind w:firstLine="0" w:firstLineChars="0"/>
                    <w:jc w:val="center"/>
                    <w:rPr>
                      <w:rFonts w:cs="宋体"/>
                      <w:bCs/>
                      <w:sz w:val="21"/>
                      <w:szCs w:val="21"/>
                    </w:rPr>
                  </w:pPr>
                </w:p>
              </w:tc>
              <w:tc>
                <w:tcPr>
                  <w:tcW w:w="493" w:type="dxa"/>
                  <w:vMerge w:val="restart"/>
                  <w:vAlign w:val="center"/>
                </w:tcPr>
                <w:p w14:paraId="30A375FC">
                  <w:pPr>
                    <w:adjustRightInd w:val="0"/>
                    <w:snapToGrid w:val="0"/>
                    <w:spacing w:line="240" w:lineRule="auto"/>
                    <w:ind w:firstLine="0" w:firstLineChars="0"/>
                    <w:jc w:val="center"/>
                    <w:rPr>
                      <w:rFonts w:cs="宋体"/>
                      <w:bCs/>
                      <w:sz w:val="21"/>
                      <w:szCs w:val="21"/>
                    </w:rPr>
                  </w:pPr>
                  <w:r>
                    <w:rPr>
                      <w:rFonts w:hint="eastAsia" w:cs="宋体"/>
                      <w:bCs/>
                      <w:sz w:val="21"/>
                      <w:szCs w:val="21"/>
                    </w:rPr>
                    <w:t>废</w:t>
                  </w:r>
                </w:p>
                <w:p w14:paraId="14D5A046">
                  <w:pPr>
                    <w:adjustRightInd w:val="0"/>
                    <w:snapToGrid w:val="0"/>
                    <w:spacing w:line="240" w:lineRule="auto"/>
                    <w:ind w:firstLine="0" w:firstLineChars="0"/>
                    <w:jc w:val="center"/>
                    <w:rPr>
                      <w:rFonts w:cs="宋体"/>
                      <w:bCs/>
                      <w:sz w:val="21"/>
                      <w:szCs w:val="21"/>
                    </w:rPr>
                  </w:pPr>
                  <w:r>
                    <w:rPr>
                      <w:rFonts w:hint="eastAsia" w:cs="宋体"/>
                      <w:bCs/>
                      <w:sz w:val="21"/>
                      <w:szCs w:val="21"/>
                    </w:rPr>
                    <w:t>水</w:t>
                  </w:r>
                </w:p>
              </w:tc>
              <w:tc>
                <w:tcPr>
                  <w:tcW w:w="1213" w:type="dxa"/>
                  <w:vAlign w:val="center"/>
                </w:tcPr>
                <w:p w14:paraId="652868A0">
                  <w:pPr>
                    <w:adjustRightInd w:val="0"/>
                    <w:snapToGrid w:val="0"/>
                    <w:spacing w:line="240" w:lineRule="auto"/>
                    <w:ind w:firstLine="0" w:firstLineChars="0"/>
                    <w:rPr>
                      <w:rFonts w:cs="宋体"/>
                      <w:bCs/>
                      <w:sz w:val="21"/>
                      <w:szCs w:val="21"/>
                    </w:rPr>
                  </w:pPr>
                  <w:r>
                    <w:rPr>
                      <w:rFonts w:hint="eastAsia" w:cs="宋体"/>
                      <w:bCs/>
                      <w:sz w:val="21"/>
                      <w:szCs w:val="21"/>
                    </w:rPr>
                    <w:t>运输车辆轮胎清洗废水</w:t>
                  </w:r>
                </w:p>
              </w:tc>
              <w:tc>
                <w:tcPr>
                  <w:tcW w:w="4125" w:type="dxa"/>
                  <w:vAlign w:val="center"/>
                </w:tcPr>
                <w:p w14:paraId="31454966">
                  <w:pPr>
                    <w:adjustRightInd w:val="0"/>
                    <w:snapToGrid w:val="0"/>
                    <w:spacing w:line="240" w:lineRule="auto"/>
                    <w:ind w:firstLine="0" w:firstLineChars="0"/>
                    <w:rPr>
                      <w:rFonts w:cs="宋体"/>
                      <w:bCs/>
                      <w:sz w:val="21"/>
                      <w:szCs w:val="21"/>
                    </w:rPr>
                  </w:pPr>
                  <w:r>
                    <w:rPr>
                      <w:rFonts w:hint="eastAsia" w:cs="宋体"/>
                      <w:bCs/>
                      <w:sz w:val="21"/>
                      <w:szCs w:val="21"/>
                    </w:rPr>
                    <w:t>两个进出口处各设置1个容积为1m</w:t>
                  </w:r>
                  <w:r>
                    <w:rPr>
                      <w:rFonts w:hint="eastAsia" w:cs="宋体"/>
                      <w:bCs/>
                      <w:sz w:val="21"/>
                      <w:szCs w:val="21"/>
                      <w:vertAlign w:val="superscript"/>
                    </w:rPr>
                    <w:t>3</w:t>
                  </w:r>
                  <w:r>
                    <w:rPr>
                      <w:rFonts w:hint="eastAsia" w:cs="宋体"/>
                      <w:bCs/>
                      <w:sz w:val="21"/>
                      <w:szCs w:val="21"/>
                    </w:rPr>
                    <w:t>车辆轮胎清洗池，清洗水循环使用定期补充，不外排。</w:t>
                  </w:r>
                </w:p>
              </w:tc>
              <w:tc>
                <w:tcPr>
                  <w:tcW w:w="1150" w:type="dxa"/>
                  <w:vAlign w:val="center"/>
                </w:tcPr>
                <w:p w14:paraId="3203351C">
                  <w:pPr>
                    <w:adjustRightInd w:val="0"/>
                    <w:snapToGrid w:val="0"/>
                    <w:spacing w:line="240" w:lineRule="auto"/>
                    <w:ind w:firstLine="0" w:firstLineChars="0"/>
                    <w:jc w:val="center"/>
                    <w:rPr>
                      <w:rFonts w:cs="宋体"/>
                      <w:bCs/>
                      <w:sz w:val="21"/>
                      <w:szCs w:val="21"/>
                    </w:rPr>
                  </w:pPr>
                  <w:r>
                    <w:rPr>
                      <w:rFonts w:hint="eastAsia" w:cs="宋体"/>
                      <w:bCs/>
                      <w:sz w:val="21"/>
                      <w:szCs w:val="21"/>
                    </w:rPr>
                    <w:t>新建</w:t>
                  </w:r>
                </w:p>
              </w:tc>
            </w:tr>
            <w:tr w14:paraId="1D433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00" w:type="dxa"/>
                  <w:vMerge w:val="continue"/>
                  <w:vAlign w:val="center"/>
                </w:tcPr>
                <w:p w14:paraId="6CFA4E54">
                  <w:pPr>
                    <w:adjustRightInd w:val="0"/>
                    <w:snapToGrid w:val="0"/>
                    <w:spacing w:line="240" w:lineRule="auto"/>
                    <w:ind w:firstLine="0" w:firstLineChars="0"/>
                    <w:jc w:val="center"/>
                    <w:rPr>
                      <w:rFonts w:cs="宋体"/>
                      <w:bCs/>
                      <w:sz w:val="21"/>
                      <w:szCs w:val="21"/>
                    </w:rPr>
                  </w:pPr>
                </w:p>
              </w:tc>
              <w:tc>
                <w:tcPr>
                  <w:tcW w:w="493" w:type="dxa"/>
                  <w:vMerge w:val="continue"/>
                  <w:vAlign w:val="center"/>
                </w:tcPr>
                <w:p w14:paraId="436EC589">
                  <w:pPr>
                    <w:adjustRightInd w:val="0"/>
                    <w:snapToGrid w:val="0"/>
                    <w:spacing w:line="240" w:lineRule="auto"/>
                    <w:ind w:firstLine="0" w:firstLineChars="0"/>
                    <w:jc w:val="center"/>
                    <w:rPr>
                      <w:rFonts w:cs="宋体"/>
                      <w:bCs/>
                      <w:sz w:val="21"/>
                      <w:szCs w:val="21"/>
                    </w:rPr>
                  </w:pPr>
                </w:p>
              </w:tc>
              <w:tc>
                <w:tcPr>
                  <w:tcW w:w="1213" w:type="dxa"/>
                  <w:vAlign w:val="center"/>
                </w:tcPr>
                <w:p w14:paraId="594F19A5">
                  <w:pPr>
                    <w:adjustRightInd w:val="0"/>
                    <w:snapToGrid w:val="0"/>
                    <w:spacing w:line="240" w:lineRule="auto"/>
                    <w:ind w:firstLine="0" w:firstLineChars="0"/>
                    <w:jc w:val="center"/>
                    <w:rPr>
                      <w:rFonts w:cs="宋体"/>
                      <w:bCs/>
                      <w:sz w:val="21"/>
                      <w:szCs w:val="21"/>
                    </w:rPr>
                  </w:pPr>
                  <w:r>
                    <w:rPr>
                      <w:rFonts w:hint="eastAsia" w:cs="宋体"/>
                      <w:bCs/>
                      <w:sz w:val="21"/>
                      <w:szCs w:val="21"/>
                    </w:rPr>
                    <w:t>初期雨水</w:t>
                  </w:r>
                </w:p>
              </w:tc>
              <w:tc>
                <w:tcPr>
                  <w:tcW w:w="4125" w:type="dxa"/>
                  <w:vAlign w:val="center"/>
                </w:tcPr>
                <w:p w14:paraId="196E2A4B">
                  <w:pPr>
                    <w:adjustRightInd w:val="0"/>
                    <w:snapToGrid w:val="0"/>
                    <w:spacing w:line="240" w:lineRule="auto"/>
                    <w:ind w:firstLine="0" w:firstLineChars="0"/>
                    <w:rPr>
                      <w:rFonts w:cs="宋体"/>
                      <w:bCs/>
                      <w:sz w:val="21"/>
                      <w:szCs w:val="21"/>
                    </w:rPr>
                  </w:pPr>
                  <w:r>
                    <w:rPr>
                      <w:rFonts w:hint="eastAsia" w:cs="宋体"/>
                      <w:bCs/>
                      <w:sz w:val="21"/>
                      <w:szCs w:val="21"/>
                    </w:rPr>
                    <w:t>拟建1个容积为15m</w:t>
                  </w:r>
                  <w:r>
                    <w:rPr>
                      <w:rFonts w:hint="eastAsia" w:cs="宋体"/>
                      <w:bCs/>
                      <w:sz w:val="21"/>
                      <w:szCs w:val="21"/>
                      <w:vertAlign w:val="superscript"/>
                    </w:rPr>
                    <w:t>3</w:t>
                  </w:r>
                  <w:r>
                    <w:rPr>
                      <w:rFonts w:hint="eastAsia" w:cs="宋体"/>
                      <w:bCs/>
                      <w:sz w:val="21"/>
                      <w:szCs w:val="21"/>
                    </w:rPr>
                    <w:t>的初期雨水收集池，初期雨水沉淀处理后用于厂区绿化和洒水降尘。</w:t>
                  </w:r>
                </w:p>
              </w:tc>
              <w:tc>
                <w:tcPr>
                  <w:tcW w:w="1150" w:type="dxa"/>
                  <w:vAlign w:val="center"/>
                </w:tcPr>
                <w:p w14:paraId="206305CC">
                  <w:pPr>
                    <w:adjustRightInd w:val="0"/>
                    <w:snapToGrid w:val="0"/>
                    <w:spacing w:line="240" w:lineRule="auto"/>
                    <w:ind w:firstLine="0" w:firstLineChars="0"/>
                    <w:jc w:val="center"/>
                    <w:rPr>
                      <w:rFonts w:cs="宋体"/>
                      <w:bCs/>
                      <w:sz w:val="21"/>
                      <w:szCs w:val="21"/>
                    </w:rPr>
                  </w:pPr>
                  <w:r>
                    <w:rPr>
                      <w:rFonts w:hint="eastAsia" w:cs="宋体"/>
                      <w:bCs/>
                      <w:sz w:val="21"/>
                      <w:szCs w:val="21"/>
                    </w:rPr>
                    <w:t>新建</w:t>
                  </w:r>
                </w:p>
              </w:tc>
            </w:tr>
            <w:tr w14:paraId="07B26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00" w:type="dxa"/>
                  <w:vMerge w:val="continue"/>
                  <w:vAlign w:val="center"/>
                </w:tcPr>
                <w:p w14:paraId="609C16B5">
                  <w:pPr>
                    <w:adjustRightInd w:val="0"/>
                    <w:snapToGrid w:val="0"/>
                    <w:spacing w:line="240" w:lineRule="auto"/>
                    <w:ind w:firstLine="0" w:firstLineChars="0"/>
                    <w:jc w:val="center"/>
                    <w:rPr>
                      <w:rFonts w:cs="宋体"/>
                      <w:bCs/>
                      <w:sz w:val="21"/>
                      <w:szCs w:val="21"/>
                    </w:rPr>
                  </w:pPr>
                </w:p>
              </w:tc>
              <w:tc>
                <w:tcPr>
                  <w:tcW w:w="493" w:type="dxa"/>
                  <w:vMerge w:val="continue"/>
                  <w:vAlign w:val="center"/>
                </w:tcPr>
                <w:p w14:paraId="1E0ECC1C">
                  <w:pPr>
                    <w:adjustRightInd w:val="0"/>
                    <w:snapToGrid w:val="0"/>
                    <w:spacing w:line="240" w:lineRule="auto"/>
                    <w:ind w:firstLine="0" w:firstLineChars="0"/>
                    <w:jc w:val="center"/>
                    <w:rPr>
                      <w:rFonts w:cs="宋体"/>
                      <w:bCs/>
                      <w:sz w:val="21"/>
                      <w:szCs w:val="21"/>
                    </w:rPr>
                  </w:pPr>
                </w:p>
              </w:tc>
              <w:tc>
                <w:tcPr>
                  <w:tcW w:w="1213" w:type="dxa"/>
                  <w:vMerge w:val="restart"/>
                  <w:vAlign w:val="center"/>
                </w:tcPr>
                <w:p w14:paraId="6AA6F309">
                  <w:pPr>
                    <w:adjustRightInd w:val="0"/>
                    <w:snapToGrid w:val="0"/>
                    <w:spacing w:line="240" w:lineRule="auto"/>
                    <w:ind w:firstLine="0" w:firstLineChars="0"/>
                    <w:jc w:val="center"/>
                    <w:rPr>
                      <w:rFonts w:cs="宋体"/>
                      <w:bCs/>
                      <w:sz w:val="21"/>
                      <w:szCs w:val="21"/>
                    </w:rPr>
                  </w:pPr>
                  <w:r>
                    <w:rPr>
                      <w:rFonts w:hint="eastAsia" w:cs="宋体"/>
                      <w:bCs/>
                      <w:sz w:val="21"/>
                      <w:szCs w:val="21"/>
                    </w:rPr>
                    <w:t>生活污水</w:t>
                  </w:r>
                </w:p>
              </w:tc>
              <w:tc>
                <w:tcPr>
                  <w:tcW w:w="4125" w:type="dxa"/>
                  <w:vAlign w:val="center"/>
                </w:tcPr>
                <w:p w14:paraId="52ADAB6A">
                  <w:pPr>
                    <w:adjustRightInd w:val="0"/>
                    <w:snapToGrid w:val="0"/>
                    <w:spacing w:line="240" w:lineRule="auto"/>
                    <w:ind w:firstLine="0" w:firstLineChars="0"/>
                    <w:jc w:val="center"/>
                    <w:rPr>
                      <w:rFonts w:cs="宋体"/>
                      <w:bCs/>
                      <w:sz w:val="21"/>
                      <w:szCs w:val="21"/>
                    </w:rPr>
                  </w:pPr>
                  <w:r>
                    <w:rPr>
                      <w:rFonts w:hint="eastAsia" w:cs="宋体"/>
                      <w:bCs/>
                      <w:sz w:val="21"/>
                      <w:szCs w:val="21"/>
                    </w:rPr>
                    <w:t>拟建1套容积为0.08m</w:t>
                  </w:r>
                  <w:r>
                    <w:rPr>
                      <w:rFonts w:hint="eastAsia" w:cs="宋体"/>
                      <w:bCs/>
                      <w:sz w:val="21"/>
                      <w:szCs w:val="21"/>
                      <w:vertAlign w:val="superscript"/>
                    </w:rPr>
                    <w:t>3</w:t>
                  </w:r>
                  <w:r>
                    <w:rPr>
                      <w:rFonts w:hint="eastAsia" w:cs="宋体"/>
                      <w:bCs/>
                      <w:sz w:val="21"/>
                      <w:szCs w:val="21"/>
                    </w:rPr>
                    <w:t>的油水分离器。</w:t>
                  </w:r>
                </w:p>
              </w:tc>
              <w:tc>
                <w:tcPr>
                  <w:tcW w:w="1150" w:type="dxa"/>
                  <w:vAlign w:val="center"/>
                </w:tcPr>
                <w:p w14:paraId="3812877D">
                  <w:pPr>
                    <w:adjustRightInd w:val="0"/>
                    <w:snapToGrid w:val="0"/>
                    <w:spacing w:line="240" w:lineRule="auto"/>
                    <w:ind w:firstLine="0" w:firstLineChars="0"/>
                    <w:jc w:val="center"/>
                    <w:rPr>
                      <w:rFonts w:cs="宋体"/>
                      <w:bCs/>
                      <w:sz w:val="21"/>
                      <w:szCs w:val="21"/>
                    </w:rPr>
                  </w:pPr>
                  <w:r>
                    <w:rPr>
                      <w:rFonts w:hint="eastAsia" w:cs="宋体"/>
                      <w:bCs/>
                      <w:sz w:val="21"/>
                      <w:szCs w:val="21"/>
                    </w:rPr>
                    <w:t>新建</w:t>
                  </w:r>
                </w:p>
              </w:tc>
            </w:tr>
            <w:tr w14:paraId="429BA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00" w:type="dxa"/>
                  <w:vMerge w:val="continue"/>
                  <w:vAlign w:val="center"/>
                </w:tcPr>
                <w:p w14:paraId="43EA18E5">
                  <w:pPr>
                    <w:adjustRightInd w:val="0"/>
                    <w:snapToGrid w:val="0"/>
                    <w:spacing w:line="240" w:lineRule="auto"/>
                    <w:ind w:firstLine="0" w:firstLineChars="0"/>
                    <w:jc w:val="center"/>
                    <w:rPr>
                      <w:rFonts w:cs="宋体"/>
                      <w:bCs/>
                      <w:sz w:val="21"/>
                      <w:szCs w:val="21"/>
                    </w:rPr>
                  </w:pPr>
                </w:p>
              </w:tc>
              <w:tc>
                <w:tcPr>
                  <w:tcW w:w="493" w:type="dxa"/>
                  <w:vMerge w:val="continue"/>
                  <w:vAlign w:val="center"/>
                </w:tcPr>
                <w:p w14:paraId="3B7E50C1">
                  <w:pPr>
                    <w:adjustRightInd w:val="0"/>
                    <w:snapToGrid w:val="0"/>
                    <w:spacing w:line="240" w:lineRule="auto"/>
                    <w:ind w:firstLine="0" w:firstLineChars="0"/>
                    <w:jc w:val="center"/>
                    <w:rPr>
                      <w:rFonts w:cs="宋体"/>
                      <w:bCs/>
                      <w:sz w:val="21"/>
                      <w:szCs w:val="21"/>
                    </w:rPr>
                  </w:pPr>
                </w:p>
              </w:tc>
              <w:tc>
                <w:tcPr>
                  <w:tcW w:w="1213" w:type="dxa"/>
                  <w:vMerge w:val="continue"/>
                  <w:vAlign w:val="center"/>
                </w:tcPr>
                <w:p w14:paraId="58308FD6">
                  <w:pPr>
                    <w:adjustRightInd w:val="0"/>
                    <w:snapToGrid w:val="0"/>
                    <w:spacing w:line="240" w:lineRule="auto"/>
                    <w:ind w:firstLine="0" w:firstLineChars="0"/>
                    <w:jc w:val="center"/>
                    <w:rPr>
                      <w:rFonts w:cs="宋体"/>
                      <w:bCs/>
                      <w:sz w:val="21"/>
                      <w:szCs w:val="21"/>
                    </w:rPr>
                  </w:pPr>
                </w:p>
              </w:tc>
              <w:tc>
                <w:tcPr>
                  <w:tcW w:w="4125" w:type="dxa"/>
                  <w:vAlign w:val="center"/>
                </w:tcPr>
                <w:p w14:paraId="1769FBA5">
                  <w:pPr>
                    <w:adjustRightInd w:val="0"/>
                    <w:snapToGrid w:val="0"/>
                    <w:spacing w:line="240" w:lineRule="auto"/>
                    <w:ind w:firstLine="0" w:firstLineChars="0"/>
                    <w:jc w:val="center"/>
                    <w:rPr>
                      <w:rFonts w:cs="宋体"/>
                      <w:bCs/>
                      <w:sz w:val="21"/>
                      <w:szCs w:val="21"/>
                    </w:rPr>
                  </w:pPr>
                  <w:r>
                    <w:rPr>
                      <w:rFonts w:hint="eastAsia" w:cs="宋体"/>
                      <w:bCs/>
                      <w:sz w:val="21"/>
                      <w:szCs w:val="21"/>
                    </w:rPr>
                    <w:t>拟建1座容积为4m</w:t>
                  </w:r>
                  <w:r>
                    <w:rPr>
                      <w:rFonts w:hint="eastAsia" w:cs="宋体"/>
                      <w:bCs/>
                      <w:sz w:val="21"/>
                      <w:szCs w:val="21"/>
                      <w:vertAlign w:val="superscript"/>
                    </w:rPr>
                    <w:t>3</w:t>
                  </w:r>
                  <w:r>
                    <w:rPr>
                      <w:rFonts w:hint="eastAsia" w:cs="宋体"/>
                      <w:bCs/>
                      <w:sz w:val="21"/>
                      <w:szCs w:val="21"/>
                    </w:rPr>
                    <w:t>的化粪池。</w:t>
                  </w:r>
                </w:p>
              </w:tc>
              <w:tc>
                <w:tcPr>
                  <w:tcW w:w="1150" w:type="dxa"/>
                  <w:vAlign w:val="center"/>
                </w:tcPr>
                <w:p w14:paraId="50E5C2B6">
                  <w:pPr>
                    <w:adjustRightInd w:val="0"/>
                    <w:snapToGrid w:val="0"/>
                    <w:spacing w:line="240" w:lineRule="auto"/>
                    <w:ind w:firstLine="0" w:firstLineChars="0"/>
                    <w:jc w:val="center"/>
                    <w:rPr>
                      <w:rFonts w:cs="宋体"/>
                      <w:bCs/>
                      <w:sz w:val="21"/>
                      <w:szCs w:val="21"/>
                    </w:rPr>
                  </w:pPr>
                  <w:r>
                    <w:rPr>
                      <w:rFonts w:hint="eastAsia" w:cs="宋体"/>
                      <w:bCs/>
                      <w:sz w:val="21"/>
                      <w:szCs w:val="21"/>
                    </w:rPr>
                    <w:t>新建</w:t>
                  </w:r>
                </w:p>
              </w:tc>
            </w:tr>
            <w:tr w14:paraId="47EE4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00" w:type="dxa"/>
                  <w:vMerge w:val="continue"/>
                  <w:vAlign w:val="center"/>
                </w:tcPr>
                <w:p w14:paraId="5E0ADCBB">
                  <w:pPr>
                    <w:adjustRightInd w:val="0"/>
                    <w:snapToGrid w:val="0"/>
                    <w:spacing w:line="240" w:lineRule="auto"/>
                    <w:ind w:firstLine="0" w:firstLineChars="0"/>
                    <w:jc w:val="center"/>
                    <w:rPr>
                      <w:rFonts w:cs="宋体"/>
                      <w:bCs/>
                      <w:sz w:val="21"/>
                      <w:szCs w:val="21"/>
                    </w:rPr>
                  </w:pPr>
                </w:p>
              </w:tc>
              <w:tc>
                <w:tcPr>
                  <w:tcW w:w="493" w:type="dxa"/>
                  <w:vMerge w:val="continue"/>
                  <w:vAlign w:val="center"/>
                </w:tcPr>
                <w:p w14:paraId="333650D9">
                  <w:pPr>
                    <w:adjustRightInd w:val="0"/>
                    <w:snapToGrid w:val="0"/>
                    <w:spacing w:line="240" w:lineRule="auto"/>
                    <w:ind w:firstLine="0" w:firstLineChars="0"/>
                    <w:jc w:val="center"/>
                    <w:rPr>
                      <w:rFonts w:cs="宋体"/>
                      <w:bCs/>
                      <w:sz w:val="21"/>
                      <w:szCs w:val="21"/>
                    </w:rPr>
                  </w:pPr>
                </w:p>
              </w:tc>
              <w:tc>
                <w:tcPr>
                  <w:tcW w:w="1213" w:type="dxa"/>
                  <w:vMerge w:val="continue"/>
                  <w:vAlign w:val="center"/>
                </w:tcPr>
                <w:p w14:paraId="02BC033E">
                  <w:pPr>
                    <w:adjustRightInd w:val="0"/>
                    <w:snapToGrid w:val="0"/>
                    <w:spacing w:line="240" w:lineRule="auto"/>
                    <w:ind w:firstLine="0" w:firstLineChars="0"/>
                    <w:jc w:val="center"/>
                    <w:rPr>
                      <w:rFonts w:cs="宋体"/>
                      <w:bCs/>
                      <w:sz w:val="21"/>
                      <w:szCs w:val="21"/>
                    </w:rPr>
                  </w:pPr>
                </w:p>
              </w:tc>
              <w:tc>
                <w:tcPr>
                  <w:tcW w:w="4125" w:type="dxa"/>
                  <w:vAlign w:val="center"/>
                </w:tcPr>
                <w:p w14:paraId="6DE9EC9A">
                  <w:pPr>
                    <w:adjustRightInd w:val="0"/>
                    <w:snapToGrid w:val="0"/>
                    <w:spacing w:line="240" w:lineRule="auto"/>
                    <w:ind w:firstLine="0" w:firstLineChars="0"/>
                    <w:rPr>
                      <w:rFonts w:cs="宋体"/>
                      <w:bCs/>
                      <w:sz w:val="21"/>
                      <w:szCs w:val="21"/>
                    </w:rPr>
                  </w:pPr>
                  <w:r>
                    <w:rPr>
                      <w:rFonts w:hint="eastAsia" w:cs="宋体"/>
                      <w:bCs/>
                      <w:sz w:val="21"/>
                      <w:szCs w:val="21"/>
                    </w:rPr>
                    <w:t>拟建1套一体化污水处理设施，处理能力为1m</w:t>
                  </w:r>
                  <w:r>
                    <w:rPr>
                      <w:rFonts w:hint="eastAsia" w:cs="宋体"/>
                      <w:bCs/>
                      <w:sz w:val="21"/>
                      <w:szCs w:val="21"/>
                      <w:vertAlign w:val="superscript"/>
                    </w:rPr>
                    <w:t>3</w:t>
                  </w:r>
                  <w:r>
                    <w:rPr>
                      <w:rFonts w:hint="eastAsia" w:cs="宋体"/>
                      <w:bCs/>
                      <w:sz w:val="21"/>
                      <w:szCs w:val="21"/>
                    </w:rPr>
                    <w:t>/d。</w:t>
                  </w:r>
                </w:p>
              </w:tc>
              <w:tc>
                <w:tcPr>
                  <w:tcW w:w="1150" w:type="dxa"/>
                  <w:vAlign w:val="center"/>
                </w:tcPr>
                <w:p w14:paraId="716A0309">
                  <w:pPr>
                    <w:adjustRightInd w:val="0"/>
                    <w:snapToGrid w:val="0"/>
                    <w:spacing w:line="240" w:lineRule="auto"/>
                    <w:ind w:firstLine="0" w:firstLineChars="0"/>
                    <w:jc w:val="center"/>
                    <w:rPr>
                      <w:rFonts w:cs="宋体"/>
                      <w:bCs/>
                      <w:sz w:val="21"/>
                      <w:szCs w:val="21"/>
                    </w:rPr>
                  </w:pPr>
                  <w:r>
                    <w:rPr>
                      <w:rFonts w:hint="eastAsia" w:cs="宋体"/>
                      <w:bCs/>
                      <w:sz w:val="21"/>
                      <w:szCs w:val="21"/>
                    </w:rPr>
                    <w:t>新建</w:t>
                  </w:r>
                </w:p>
              </w:tc>
            </w:tr>
            <w:tr w14:paraId="4C602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00" w:type="dxa"/>
                  <w:vMerge w:val="continue"/>
                  <w:vAlign w:val="center"/>
                </w:tcPr>
                <w:p w14:paraId="30E99494">
                  <w:pPr>
                    <w:adjustRightInd w:val="0"/>
                    <w:snapToGrid w:val="0"/>
                    <w:spacing w:line="240" w:lineRule="auto"/>
                    <w:ind w:firstLine="0" w:firstLineChars="0"/>
                    <w:jc w:val="center"/>
                    <w:rPr>
                      <w:rFonts w:cs="宋体"/>
                      <w:bCs/>
                      <w:sz w:val="21"/>
                      <w:szCs w:val="21"/>
                    </w:rPr>
                  </w:pPr>
                </w:p>
              </w:tc>
              <w:tc>
                <w:tcPr>
                  <w:tcW w:w="493" w:type="dxa"/>
                  <w:vAlign w:val="center"/>
                </w:tcPr>
                <w:p w14:paraId="55BCF105">
                  <w:pPr>
                    <w:adjustRightInd w:val="0"/>
                    <w:snapToGrid w:val="0"/>
                    <w:spacing w:line="240" w:lineRule="auto"/>
                    <w:ind w:firstLine="0" w:firstLineChars="0"/>
                    <w:jc w:val="center"/>
                    <w:rPr>
                      <w:rFonts w:cs="宋体"/>
                      <w:bCs/>
                      <w:sz w:val="21"/>
                      <w:szCs w:val="21"/>
                    </w:rPr>
                  </w:pPr>
                  <w:r>
                    <w:rPr>
                      <w:rFonts w:hint="eastAsia" w:cs="宋体"/>
                      <w:bCs/>
                      <w:sz w:val="21"/>
                      <w:szCs w:val="21"/>
                    </w:rPr>
                    <w:t>噪</w:t>
                  </w:r>
                </w:p>
                <w:p w14:paraId="1BA644BF">
                  <w:pPr>
                    <w:adjustRightInd w:val="0"/>
                    <w:snapToGrid w:val="0"/>
                    <w:spacing w:line="240" w:lineRule="auto"/>
                    <w:ind w:firstLine="0" w:firstLineChars="0"/>
                    <w:jc w:val="center"/>
                    <w:rPr>
                      <w:rFonts w:cs="宋体"/>
                      <w:bCs/>
                      <w:sz w:val="21"/>
                      <w:szCs w:val="21"/>
                    </w:rPr>
                  </w:pPr>
                  <w:r>
                    <w:rPr>
                      <w:rFonts w:hint="eastAsia" w:cs="宋体"/>
                      <w:bCs/>
                      <w:sz w:val="21"/>
                      <w:szCs w:val="21"/>
                    </w:rPr>
                    <w:t>声</w:t>
                  </w:r>
                </w:p>
              </w:tc>
              <w:tc>
                <w:tcPr>
                  <w:tcW w:w="1213" w:type="dxa"/>
                  <w:vAlign w:val="center"/>
                </w:tcPr>
                <w:p w14:paraId="0E112C3B">
                  <w:pPr>
                    <w:adjustRightInd w:val="0"/>
                    <w:snapToGrid w:val="0"/>
                    <w:spacing w:line="240" w:lineRule="auto"/>
                    <w:ind w:firstLine="0" w:firstLineChars="0"/>
                    <w:jc w:val="center"/>
                    <w:rPr>
                      <w:rFonts w:cs="宋体"/>
                      <w:bCs/>
                      <w:sz w:val="21"/>
                      <w:szCs w:val="21"/>
                    </w:rPr>
                  </w:pPr>
                  <w:r>
                    <w:rPr>
                      <w:rFonts w:hint="eastAsia" w:cs="宋体"/>
                      <w:bCs/>
                      <w:sz w:val="21"/>
                      <w:szCs w:val="21"/>
                    </w:rPr>
                    <w:t>生产设备及运输车辆</w:t>
                  </w:r>
                </w:p>
              </w:tc>
              <w:tc>
                <w:tcPr>
                  <w:tcW w:w="4125" w:type="dxa"/>
                  <w:vAlign w:val="center"/>
                </w:tcPr>
                <w:p w14:paraId="1571E0F9">
                  <w:pPr>
                    <w:adjustRightInd w:val="0"/>
                    <w:snapToGrid w:val="0"/>
                    <w:spacing w:line="240" w:lineRule="auto"/>
                    <w:ind w:firstLine="0" w:firstLineChars="0"/>
                    <w:jc w:val="center"/>
                    <w:rPr>
                      <w:rFonts w:cs="宋体"/>
                      <w:bCs/>
                      <w:sz w:val="21"/>
                      <w:szCs w:val="21"/>
                    </w:rPr>
                  </w:pPr>
                  <w:r>
                    <w:rPr>
                      <w:rFonts w:hint="eastAsia" w:cs="宋体"/>
                      <w:bCs/>
                      <w:sz w:val="21"/>
                      <w:szCs w:val="21"/>
                    </w:rPr>
                    <w:t>高噪声设备采取基础减振、厂房隔声、定期对设备进行维护保养，风机进出口安装消音装置。</w:t>
                  </w:r>
                </w:p>
              </w:tc>
              <w:tc>
                <w:tcPr>
                  <w:tcW w:w="1150" w:type="dxa"/>
                  <w:vAlign w:val="center"/>
                </w:tcPr>
                <w:p w14:paraId="6C72AB21">
                  <w:pPr>
                    <w:adjustRightInd w:val="0"/>
                    <w:snapToGrid w:val="0"/>
                    <w:spacing w:line="240" w:lineRule="auto"/>
                    <w:ind w:firstLine="0" w:firstLineChars="0"/>
                    <w:jc w:val="center"/>
                    <w:rPr>
                      <w:rFonts w:cs="宋体"/>
                      <w:bCs/>
                      <w:sz w:val="21"/>
                      <w:szCs w:val="21"/>
                    </w:rPr>
                  </w:pPr>
                  <w:r>
                    <w:rPr>
                      <w:rFonts w:hint="eastAsia" w:cs="宋体"/>
                      <w:bCs/>
                      <w:sz w:val="21"/>
                      <w:szCs w:val="21"/>
                    </w:rPr>
                    <w:t>新建</w:t>
                  </w:r>
                </w:p>
              </w:tc>
            </w:tr>
            <w:tr w14:paraId="150F8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00" w:type="dxa"/>
                  <w:vMerge w:val="continue"/>
                  <w:vAlign w:val="center"/>
                </w:tcPr>
                <w:p w14:paraId="01541CE5">
                  <w:pPr>
                    <w:adjustRightInd w:val="0"/>
                    <w:snapToGrid w:val="0"/>
                    <w:spacing w:line="240" w:lineRule="auto"/>
                    <w:ind w:firstLine="0" w:firstLineChars="0"/>
                    <w:jc w:val="center"/>
                    <w:rPr>
                      <w:rFonts w:cs="宋体"/>
                      <w:bCs/>
                      <w:sz w:val="21"/>
                      <w:szCs w:val="21"/>
                    </w:rPr>
                  </w:pPr>
                </w:p>
              </w:tc>
              <w:tc>
                <w:tcPr>
                  <w:tcW w:w="493" w:type="dxa"/>
                  <w:vMerge w:val="restart"/>
                  <w:vAlign w:val="center"/>
                </w:tcPr>
                <w:p w14:paraId="4C7F296B">
                  <w:pPr>
                    <w:adjustRightInd w:val="0"/>
                    <w:snapToGrid w:val="0"/>
                    <w:spacing w:line="240" w:lineRule="auto"/>
                    <w:ind w:firstLine="0" w:firstLineChars="0"/>
                    <w:jc w:val="center"/>
                    <w:rPr>
                      <w:rFonts w:cs="宋体"/>
                      <w:bCs/>
                      <w:sz w:val="21"/>
                      <w:szCs w:val="21"/>
                    </w:rPr>
                  </w:pPr>
                  <w:r>
                    <w:rPr>
                      <w:rFonts w:hint="eastAsia" w:cs="宋体"/>
                      <w:bCs/>
                      <w:sz w:val="21"/>
                      <w:szCs w:val="21"/>
                    </w:rPr>
                    <w:t>固</w:t>
                  </w:r>
                </w:p>
                <w:p w14:paraId="6E540D70">
                  <w:pPr>
                    <w:adjustRightInd w:val="0"/>
                    <w:snapToGrid w:val="0"/>
                    <w:spacing w:line="240" w:lineRule="auto"/>
                    <w:ind w:firstLine="0" w:firstLineChars="0"/>
                    <w:jc w:val="center"/>
                    <w:rPr>
                      <w:rFonts w:cs="宋体"/>
                      <w:bCs/>
                      <w:sz w:val="21"/>
                      <w:szCs w:val="21"/>
                    </w:rPr>
                  </w:pPr>
                  <w:r>
                    <w:rPr>
                      <w:rFonts w:hint="eastAsia" w:cs="宋体"/>
                      <w:bCs/>
                      <w:sz w:val="21"/>
                      <w:szCs w:val="21"/>
                    </w:rPr>
                    <w:t>废</w:t>
                  </w:r>
                </w:p>
              </w:tc>
              <w:tc>
                <w:tcPr>
                  <w:tcW w:w="1213" w:type="dxa"/>
                  <w:vAlign w:val="center"/>
                </w:tcPr>
                <w:p w14:paraId="4A97445C">
                  <w:pPr>
                    <w:adjustRightInd w:val="0"/>
                    <w:snapToGrid w:val="0"/>
                    <w:spacing w:line="240" w:lineRule="auto"/>
                    <w:ind w:firstLine="0" w:firstLineChars="0"/>
                    <w:jc w:val="center"/>
                    <w:rPr>
                      <w:rFonts w:cs="宋体"/>
                      <w:bCs/>
                      <w:sz w:val="21"/>
                      <w:szCs w:val="21"/>
                    </w:rPr>
                  </w:pPr>
                  <w:r>
                    <w:rPr>
                      <w:rFonts w:hint="eastAsia" w:cs="宋体"/>
                      <w:bCs/>
                      <w:sz w:val="21"/>
                      <w:szCs w:val="21"/>
                    </w:rPr>
                    <w:t>危险废物</w:t>
                  </w:r>
                </w:p>
              </w:tc>
              <w:tc>
                <w:tcPr>
                  <w:tcW w:w="4125" w:type="dxa"/>
                  <w:vAlign w:val="center"/>
                </w:tcPr>
                <w:p w14:paraId="234E90DF">
                  <w:pPr>
                    <w:adjustRightInd w:val="0"/>
                    <w:snapToGrid w:val="0"/>
                    <w:spacing w:line="240" w:lineRule="auto"/>
                    <w:ind w:firstLine="0" w:firstLineChars="0"/>
                    <w:jc w:val="center"/>
                    <w:rPr>
                      <w:rFonts w:cs="宋体"/>
                      <w:bCs/>
                      <w:sz w:val="21"/>
                      <w:szCs w:val="21"/>
                    </w:rPr>
                  </w:pPr>
                  <w:r>
                    <w:rPr>
                      <w:rFonts w:hint="eastAsia" w:cs="宋体"/>
                      <w:bCs/>
                      <w:sz w:val="21"/>
                      <w:szCs w:val="21"/>
                    </w:rPr>
                    <w:t>项目区南侧设置了1间10m</w:t>
                  </w:r>
                  <w:r>
                    <w:rPr>
                      <w:rFonts w:hint="eastAsia" w:cs="宋体"/>
                      <w:bCs/>
                      <w:sz w:val="21"/>
                      <w:szCs w:val="21"/>
                      <w:vertAlign w:val="superscript"/>
                    </w:rPr>
                    <w:t>2</w:t>
                  </w:r>
                  <w:r>
                    <w:rPr>
                      <w:rFonts w:hint="eastAsia" w:cs="宋体"/>
                      <w:bCs/>
                      <w:sz w:val="21"/>
                      <w:szCs w:val="21"/>
                    </w:rPr>
                    <w:t>的危险废物贮存设施，用于存放产生的危险废物，危险废物贮存设施地面和四周墙裙脚采用“水泥+2mm厚HDPE+环氧树脂”进行重点防渗处理，渗透系数≤10</w:t>
                  </w:r>
                  <w:r>
                    <w:rPr>
                      <w:rFonts w:hint="eastAsia" w:cs="宋体"/>
                      <w:bCs/>
                      <w:sz w:val="21"/>
                      <w:szCs w:val="21"/>
                      <w:vertAlign w:val="superscript"/>
                    </w:rPr>
                    <w:t>-10</w:t>
                  </w:r>
                  <w:r>
                    <w:rPr>
                      <w:rFonts w:hint="eastAsia" w:cs="宋体"/>
                      <w:bCs/>
                      <w:sz w:val="21"/>
                      <w:szCs w:val="21"/>
                    </w:rPr>
                    <w:t>cm/s，并按照要求设置规范的标识标牌。</w:t>
                  </w:r>
                </w:p>
              </w:tc>
              <w:tc>
                <w:tcPr>
                  <w:tcW w:w="1150" w:type="dxa"/>
                  <w:vAlign w:val="center"/>
                </w:tcPr>
                <w:p w14:paraId="3CAB7DEB">
                  <w:pPr>
                    <w:adjustRightInd w:val="0"/>
                    <w:snapToGrid w:val="0"/>
                    <w:spacing w:line="240" w:lineRule="auto"/>
                    <w:ind w:firstLine="0" w:firstLineChars="0"/>
                    <w:jc w:val="center"/>
                    <w:rPr>
                      <w:rFonts w:cs="宋体"/>
                      <w:bCs/>
                      <w:sz w:val="21"/>
                      <w:szCs w:val="21"/>
                    </w:rPr>
                  </w:pPr>
                  <w:r>
                    <w:rPr>
                      <w:rFonts w:hint="eastAsia" w:cs="宋体"/>
                      <w:bCs/>
                      <w:sz w:val="21"/>
                      <w:szCs w:val="21"/>
                    </w:rPr>
                    <w:t>新建</w:t>
                  </w:r>
                </w:p>
              </w:tc>
            </w:tr>
            <w:tr w14:paraId="1D7F2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00" w:type="dxa"/>
                  <w:vMerge w:val="continue"/>
                  <w:vAlign w:val="center"/>
                </w:tcPr>
                <w:p w14:paraId="4912B59C">
                  <w:pPr>
                    <w:adjustRightInd w:val="0"/>
                    <w:snapToGrid w:val="0"/>
                    <w:spacing w:line="240" w:lineRule="auto"/>
                    <w:ind w:firstLine="0" w:firstLineChars="0"/>
                    <w:jc w:val="center"/>
                    <w:rPr>
                      <w:rFonts w:cs="宋体"/>
                      <w:bCs/>
                      <w:sz w:val="21"/>
                      <w:szCs w:val="21"/>
                    </w:rPr>
                  </w:pPr>
                </w:p>
              </w:tc>
              <w:tc>
                <w:tcPr>
                  <w:tcW w:w="493" w:type="dxa"/>
                  <w:vMerge w:val="continue"/>
                  <w:vAlign w:val="center"/>
                </w:tcPr>
                <w:p w14:paraId="5DB974A7">
                  <w:pPr>
                    <w:adjustRightInd w:val="0"/>
                    <w:snapToGrid w:val="0"/>
                    <w:spacing w:line="240" w:lineRule="auto"/>
                    <w:ind w:firstLine="0" w:firstLineChars="0"/>
                    <w:jc w:val="center"/>
                    <w:rPr>
                      <w:rFonts w:cs="宋体"/>
                      <w:bCs/>
                      <w:sz w:val="21"/>
                      <w:szCs w:val="21"/>
                    </w:rPr>
                  </w:pPr>
                </w:p>
              </w:tc>
              <w:tc>
                <w:tcPr>
                  <w:tcW w:w="1213" w:type="dxa"/>
                  <w:vAlign w:val="center"/>
                </w:tcPr>
                <w:p w14:paraId="75B08090">
                  <w:pPr>
                    <w:adjustRightInd w:val="0"/>
                    <w:snapToGrid w:val="0"/>
                    <w:spacing w:line="240" w:lineRule="auto"/>
                    <w:ind w:firstLine="0" w:firstLineChars="0"/>
                    <w:jc w:val="center"/>
                    <w:rPr>
                      <w:rFonts w:cs="宋体"/>
                      <w:bCs/>
                      <w:sz w:val="21"/>
                      <w:szCs w:val="21"/>
                    </w:rPr>
                  </w:pPr>
                  <w:r>
                    <w:rPr>
                      <w:rFonts w:hint="eastAsia" w:cs="宋体"/>
                      <w:bCs/>
                      <w:sz w:val="21"/>
                      <w:szCs w:val="21"/>
                    </w:rPr>
                    <w:t>生活垃圾</w:t>
                  </w:r>
                </w:p>
              </w:tc>
              <w:tc>
                <w:tcPr>
                  <w:tcW w:w="4125" w:type="dxa"/>
                  <w:vAlign w:val="center"/>
                </w:tcPr>
                <w:p w14:paraId="3C393645">
                  <w:pPr>
                    <w:adjustRightInd w:val="0"/>
                    <w:snapToGrid w:val="0"/>
                    <w:spacing w:line="240" w:lineRule="auto"/>
                    <w:ind w:firstLine="0" w:firstLineChars="0"/>
                    <w:jc w:val="center"/>
                    <w:rPr>
                      <w:rFonts w:cs="宋体"/>
                      <w:bCs/>
                      <w:sz w:val="21"/>
                      <w:szCs w:val="21"/>
                    </w:rPr>
                  </w:pPr>
                  <w:r>
                    <w:rPr>
                      <w:rFonts w:hint="eastAsia" w:cs="宋体"/>
                      <w:bCs/>
                      <w:sz w:val="21"/>
                      <w:szCs w:val="21"/>
                    </w:rPr>
                    <w:t>在厂区内设置两个带盖垃圾收集桶，用于收集生活垃圾。</w:t>
                  </w:r>
                </w:p>
              </w:tc>
              <w:tc>
                <w:tcPr>
                  <w:tcW w:w="1150" w:type="dxa"/>
                  <w:vAlign w:val="center"/>
                </w:tcPr>
                <w:p w14:paraId="0B731C98">
                  <w:pPr>
                    <w:adjustRightInd w:val="0"/>
                    <w:snapToGrid w:val="0"/>
                    <w:spacing w:line="240" w:lineRule="auto"/>
                    <w:ind w:firstLine="0" w:firstLineChars="0"/>
                    <w:jc w:val="center"/>
                    <w:rPr>
                      <w:rFonts w:cs="宋体"/>
                      <w:bCs/>
                      <w:sz w:val="21"/>
                      <w:szCs w:val="21"/>
                    </w:rPr>
                  </w:pPr>
                  <w:r>
                    <w:rPr>
                      <w:rFonts w:hint="eastAsia" w:cs="宋体"/>
                      <w:bCs/>
                      <w:sz w:val="21"/>
                      <w:szCs w:val="21"/>
                    </w:rPr>
                    <w:t>新建</w:t>
                  </w:r>
                </w:p>
              </w:tc>
            </w:tr>
            <w:tr w14:paraId="0CF85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00" w:type="dxa"/>
                  <w:vMerge w:val="continue"/>
                  <w:vAlign w:val="center"/>
                </w:tcPr>
                <w:p w14:paraId="2AC88B8B">
                  <w:pPr>
                    <w:adjustRightInd w:val="0"/>
                    <w:snapToGrid w:val="0"/>
                    <w:spacing w:line="240" w:lineRule="auto"/>
                    <w:ind w:firstLine="0" w:firstLineChars="0"/>
                    <w:jc w:val="center"/>
                    <w:rPr>
                      <w:rFonts w:cs="宋体"/>
                      <w:bCs/>
                      <w:sz w:val="21"/>
                      <w:szCs w:val="21"/>
                    </w:rPr>
                  </w:pPr>
                </w:p>
              </w:tc>
              <w:tc>
                <w:tcPr>
                  <w:tcW w:w="493" w:type="dxa"/>
                  <w:vMerge w:val="restart"/>
                  <w:vAlign w:val="center"/>
                </w:tcPr>
                <w:p w14:paraId="6CED70BE">
                  <w:pPr>
                    <w:adjustRightInd w:val="0"/>
                    <w:snapToGrid w:val="0"/>
                    <w:spacing w:line="240" w:lineRule="auto"/>
                    <w:ind w:firstLine="0" w:firstLineChars="0"/>
                    <w:jc w:val="center"/>
                    <w:rPr>
                      <w:rFonts w:cs="宋体"/>
                      <w:bCs/>
                      <w:sz w:val="21"/>
                      <w:szCs w:val="21"/>
                    </w:rPr>
                  </w:pPr>
                  <w:r>
                    <w:rPr>
                      <w:rFonts w:hint="eastAsia" w:cs="宋体"/>
                      <w:bCs/>
                      <w:sz w:val="21"/>
                      <w:szCs w:val="21"/>
                    </w:rPr>
                    <w:t>其</w:t>
                  </w:r>
                </w:p>
                <w:p w14:paraId="47E4DB89">
                  <w:pPr>
                    <w:adjustRightInd w:val="0"/>
                    <w:snapToGrid w:val="0"/>
                    <w:spacing w:line="240" w:lineRule="auto"/>
                    <w:ind w:firstLine="0" w:firstLineChars="0"/>
                    <w:jc w:val="center"/>
                    <w:rPr>
                      <w:rFonts w:cs="宋体"/>
                      <w:bCs/>
                      <w:sz w:val="21"/>
                      <w:szCs w:val="21"/>
                    </w:rPr>
                  </w:pPr>
                  <w:r>
                    <w:rPr>
                      <w:rFonts w:hint="eastAsia" w:cs="宋体"/>
                      <w:bCs/>
                      <w:sz w:val="21"/>
                      <w:szCs w:val="21"/>
                    </w:rPr>
                    <w:t>他</w:t>
                  </w:r>
                </w:p>
              </w:tc>
              <w:tc>
                <w:tcPr>
                  <w:tcW w:w="1213" w:type="dxa"/>
                  <w:vAlign w:val="center"/>
                </w:tcPr>
                <w:p w14:paraId="3D7E141B">
                  <w:pPr>
                    <w:adjustRightInd w:val="0"/>
                    <w:snapToGrid w:val="0"/>
                    <w:spacing w:line="240" w:lineRule="auto"/>
                    <w:ind w:firstLine="0" w:firstLineChars="0"/>
                    <w:jc w:val="center"/>
                    <w:rPr>
                      <w:rFonts w:cs="宋体"/>
                      <w:bCs/>
                      <w:sz w:val="21"/>
                      <w:szCs w:val="21"/>
                    </w:rPr>
                  </w:pPr>
                  <w:r>
                    <w:rPr>
                      <w:rFonts w:hint="eastAsia" w:cs="宋体"/>
                      <w:bCs/>
                      <w:sz w:val="21"/>
                      <w:szCs w:val="21"/>
                    </w:rPr>
                    <w:t>防渗</w:t>
                  </w:r>
                </w:p>
              </w:tc>
              <w:tc>
                <w:tcPr>
                  <w:tcW w:w="4125" w:type="dxa"/>
                  <w:vAlign w:val="center"/>
                </w:tcPr>
                <w:p w14:paraId="28EE0A6F">
                  <w:pPr>
                    <w:adjustRightInd w:val="0"/>
                    <w:snapToGrid w:val="0"/>
                    <w:spacing w:line="240" w:lineRule="auto"/>
                    <w:ind w:firstLine="0" w:firstLineChars="0"/>
                    <w:jc w:val="center"/>
                    <w:rPr>
                      <w:rFonts w:cs="宋体"/>
                      <w:bCs/>
                      <w:sz w:val="21"/>
                      <w:szCs w:val="21"/>
                    </w:rPr>
                  </w:pPr>
                  <w:r>
                    <w:rPr>
                      <w:rFonts w:hint="eastAsia" w:cs="宋体"/>
                      <w:bCs/>
                      <w:sz w:val="21"/>
                      <w:szCs w:val="21"/>
                    </w:rPr>
                    <w:t>①重点防渗区：危险废物贮存设施、沥青储罐区、柴油储罐区进行重点防渗，其中危险废物贮存设施按照《危险废物贮存污染控制标准》（GB 18597-2023）中贮存设施污染控制要求设计：“防渗材料可采用抗渗混凝土、高密度聚乙烯膜、钠基膨润土防水毯或其他防渗性能等效的材料，防渗层为至少1m厚黏土层（渗透系数不大于10</w:t>
                  </w:r>
                  <w:r>
                    <w:rPr>
                      <w:rFonts w:hint="eastAsia" w:cs="宋体"/>
                      <w:bCs/>
                      <w:sz w:val="21"/>
                      <w:szCs w:val="21"/>
                      <w:vertAlign w:val="superscript"/>
                    </w:rPr>
                    <w:t>-7</w:t>
                  </w:r>
                  <w:r>
                    <w:rPr>
                      <w:rFonts w:hint="eastAsia" w:cs="宋体"/>
                      <w:bCs/>
                      <w:sz w:val="21"/>
                      <w:szCs w:val="21"/>
                    </w:rPr>
                    <w:t xml:space="preserve"> cm/s），或至少2 mm厚高密度聚乙烯膜等人工防渗材料（渗透系数不大于10</w:t>
                  </w:r>
                  <w:r>
                    <w:rPr>
                      <w:rFonts w:hint="eastAsia" w:cs="宋体"/>
                      <w:bCs/>
                      <w:sz w:val="21"/>
                      <w:szCs w:val="21"/>
                      <w:vertAlign w:val="superscript"/>
                    </w:rPr>
                    <w:t>-10</w:t>
                  </w:r>
                  <w:r>
                    <w:rPr>
                      <w:rFonts w:hint="eastAsia" w:cs="宋体"/>
                      <w:bCs/>
                      <w:sz w:val="21"/>
                      <w:szCs w:val="21"/>
                    </w:rPr>
                    <w:t xml:space="preserve"> cm/s），或其他防渗性能等效的材料。”</w:t>
                  </w:r>
                </w:p>
                <w:p w14:paraId="0F514655">
                  <w:pPr>
                    <w:adjustRightInd w:val="0"/>
                    <w:snapToGrid w:val="0"/>
                    <w:spacing w:line="240" w:lineRule="auto"/>
                    <w:ind w:firstLine="0" w:firstLineChars="0"/>
                    <w:jc w:val="center"/>
                    <w:rPr>
                      <w:rFonts w:cs="宋体"/>
                      <w:bCs/>
                      <w:sz w:val="21"/>
                      <w:szCs w:val="21"/>
                    </w:rPr>
                  </w:pPr>
                  <w:r>
                    <w:rPr>
                      <w:rFonts w:hint="eastAsia" w:cs="宋体"/>
                      <w:bCs/>
                      <w:sz w:val="21"/>
                      <w:szCs w:val="21"/>
                    </w:rPr>
                    <w:t>②一般防渗区：隔油池、化粪池、车轮清洗池、初期雨水收集池进行一般防渗，采用“抗渗混凝土+1.5mm 厚 HDPE+环氧树脂涂料”进行防渗，即等效黏土防渗层Mb≥1.5m，渗透系数K≤10</w:t>
                  </w:r>
                  <w:r>
                    <w:rPr>
                      <w:rFonts w:hint="eastAsia" w:cs="宋体"/>
                      <w:bCs/>
                      <w:sz w:val="21"/>
                      <w:szCs w:val="21"/>
                      <w:vertAlign w:val="superscript"/>
                    </w:rPr>
                    <w:t>-7</w:t>
                  </w:r>
                  <w:r>
                    <w:rPr>
                      <w:rFonts w:hint="eastAsia" w:cs="宋体"/>
                      <w:bCs/>
                      <w:sz w:val="21"/>
                      <w:szCs w:val="21"/>
                    </w:rPr>
                    <w:t>cm/s。</w:t>
                  </w:r>
                </w:p>
                <w:p w14:paraId="271B9A6A">
                  <w:pPr>
                    <w:adjustRightInd w:val="0"/>
                    <w:snapToGrid w:val="0"/>
                    <w:spacing w:line="240" w:lineRule="auto"/>
                    <w:ind w:firstLine="0" w:firstLineChars="0"/>
                    <w:jc w:val="center"/>
                    <w:rPr>
                      <w:rFonts w:cs="宋体"/>
                      <w:bCs/>
                      <w:sz w:val="21"/>
                      <w:szCs w:val="21"/>
                    </w:rPr>
                  </w:pPr>
                  <w:r>
                    <w:rPr>
                      <w:rFonts w:hint="eastAsia" w:cs="宋体"/>
                      <w:bCs/>
                      <w:sz w:val="21"/>
                      <w:szCs w:val="21"/>
                    </w:rPr>
                    <w:t>③简单防渗区：其余生产区、道路及办公区域（除绿化外）进行一般混凝土硬化。</w:t>
                  </w:r>
                </w:p>
              </w:tc>
              <w:tc>
                <w:tcPr>
                  <w:tcW w:w="1150" w:type="dxa"/>
                  <w:vAlign w:val="center"/>
                </w:tcPr>
                <w:p w14:paraId="22FACB78">
                  <w:pPr>
                    <w:adjustRightInd w:val="0"/>
                    <w:snapToGrid w:val="0"/>
                    <w:spacing w:line="240" w:lineRule="auto"/>
                    <w:ind w:firstLine="0" w:firstLineChars="0"/>
                    <w:jc w:val="center"/>
                    <w:rPr>
                      <w:rFonts w:cs="宋体"/>
                      <w:bCs/>
                      <w:sz w:val="21"/>
                      <w:szCs w:val="21"/>
                    </w:rPr>
                  </w:pPr>
                  <w:r>
                    <w:rPr>
                      <w:rFonts w:hint="eastAsia" w:cs="宋体"/>
                      <w:bCs/>
                      <w:sz w:val="21"/>
                      <w:szCs w:val="21"/>
                    </w:rPr>
                    <w:t>新建</w:t>
                  </w:r>
                </w:p>
              </w:tc>
            </w:tr>
            <w:tr w14:paraId="4CABD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00" w:type="dxa"/>
                  <w:vMerge w:val="continue"/>
                  <w:vAlign w:val="center"/>
                </w:tcPr>
                <w:p w14:paraId="60787E09">
                  <w:pPr>
                    <w:adjustRightInd w:val="0"/>
                    <w:snapToGrid w:val="0"/>
                    <w:spacing w:line="240" w:lineRule="auto"/>
                    <w:ind w:firstLine="0" w:firstLineChars="0"/>
                    <w:jc w:val="center"/>
                    <w:rPr>
                      <w:rFonts w:cs="宋体"/>
                      <w:bCs/>
                      <w:sz w:val="21"/>
                      <w:szCs w:val="21"/>
                    </w:rPr>
                  </w:pPr>
                </w:p>
              </w:tc>
              <w:tc>
                <w:tcPr>
                  <w:tcW w:w="493" w:type="dxa"/>
                  <w:vMerge w:val="continue"/>
                  <w:vAlign w:val="center"/>
                </w:tcPr>
                <w:p w14:paraId="3571B232">
                  <w:pPr>
                    <w:adjustRightInd w:val="0"/>
                    <w:snapToGrid w:val="0"/>
                    <w:spacing w:line="240" w:lineRule="auto"/>
                    <w:ind w:firstLine="0" w:firstLineChars="0"/>
                    <w:jc w:val="center"/>
                    <w:rPr>
                      <w:rFonts w:cs="宋体"/>
                      <w:bCs/>
                      <w:sz w:val="21"/>
                      <w:szCs w:val="21"/>
                    </w:rPr>
                  </w:pPr>
                </w:p>
              </w:tc>
              <w:tc>
                <w:tcPr>
                  <w:tcW w:w="1213" w:type="dxa"/>
                  <w:vAlign w:val="center"/>
                </w:tcPr>
                <w:p w14:paraId="6BE455F5">
                  <w:pPr>
                    <w:adjustRightInd w:val="0"/>
                    <w:snapToGrid w:val="0"/>
                    <w:spacing w:line="240" w:lineRule="auto"/>
                    <w:ind w:firstLine="0" w:firstLineChars="0"/>
                    <w:jc w:val="center"/>
                    <w:rPr>
                      <w:rFonts w:cs="宋体"/>
                      <w:bCs/>
                      <w:sz w:val="21"/>
                      <w:szCs w:val="21"/>
                    </w:rPr>
                  </w:pPr>
                  <w:r>
                    <w:rPr>
                      <w:rFonts w:hint="eastAsia" w:cs="宋体"/>
                      <w:bCs/>
                      <w:sz w:val="21"/>
                      <w:szCs w:val="21"/>
                    </w:rPr>
                    <w:t>罐区围堰</w:t>
                  </w:r>
                </w:p>
              </w:tc>
              <w:tc>
                <w:tcPr>
                  <w:tcW w:w="4125" w:type="dxa"/>
                  <w:vAlign w:val="center"/>
                </w:tcPr>
                <w:p w14:paraId="1569BB85">
                  <w:pPr>
                    <w:adjustRightInd w:val="0"/>
                    <w:snapToGrid w:val="0"/>
                    <w:spacing w:line="240" w:lineRule="auto"/>
                    <w:ind w:firstLine="0" w:firstLineChars="0"/>
                    <w:jc w:val="center"/>
                    <w:rPr>
                      <w:rFonts w:cs="宋体"/>
                      <w:bCs/>
                      <w:sz w:val="21"/>
                      <w:szCs w:val="21"/>
                    </w:rPr>
                  </w:pPr>
                  <w:r>
                    <w:rPr>
                      <w:rFonts w:hint="eastAsia" w:cs="宋体"/>
                      <w:bCs/>
                      <w:sz w:val="21"/>
                      <w:szCs w:val="21"/>
                    </w:rPr>
                    <w:t>项目柴油罐和沥青储罐相邻，共同设置1个围堰，围堰容积不</w:t>
                  </w:r>
                  <w:r>
                    <w:rPr>
                      <w:bCs/>
                      <w:sz w:val="21"/>
                      <w:szCs w:val="21"/>
                    </w:rPr>
                    <w:t>小于50m³，并</w:t>
                  </w:r>
                  <w:r>
                    <w:rPr>
                      <w:rFonts w:hint="eastAsia" w:cs="宋体"/>
                      <w:bCs/>
                      <w:sz w:val="21"/>
                      <w:szCs w:val="21"/>
                    </w:rPr>
                    <w:t>按照要求进行重点防渗处理。</w:t>
                  </w:r>
                </w:p>
              </w:tc>
              <w:tc>
                <w:tcPr>
                  <w:tcW w:w="1150" w:type="dxa"/>
                  <w:vAlign w:val="center"/>
                </w:tcPr>
                <w:p w14:paraId="26AD3805">
                  <w:pPr>
                    <w:adjustRightInd w:val="0"/>
                    <w:snapToGrid w:val="0"/>
                    <w:spacing w:line="240" w:lineRule="auto"/>
                    <w:ind w:firstLine="0" w:firstLineChars="0"/>
                    <w:jc w:val="center"/>
                    <w:rPr>
                      <w:rFonts w:cs="宋体"/>
                      <w:bCs/>
                      <w:sz w:val="21"/>
                      <w:szCs w:val="21"/>
                    </w:rPr>
                  </w:pPr>
                  <w:r>
                    <w:rPr>
                      <w:rFonts w:hint="eastAsia" w:cs="宋体"/>
                      <w:bCs/>
                      <w:sz w:val="21"/>
                      <w:szCs w:val="21"/>
                    </w:rPr>
                    <w:t>新建</w:t>
                  </w:r>
                </w:p>
              </w:tc>
            </w:tr>
          </w:tbl>
          <w:p w14:paraId="0ABFF41D">
            <w:pPr>
              <w:numPr>
                <w:ilvl w:val="0"/>
                <w:numId w:val="5"/>
              </w:numPr>
              <w:adjustRightInd w:val="0"/>
              <w:snapToGrid w:val="0"/>
              <w:spacing w:beforeLines="50"/>
              <w:ind w:firstLine="482"/>
              <w:rPr>
                <w:rFonts w:cs="宋体"/>
                <w:b/>
              </w:rPr>
            </w:pPr>
            <w:r>
              <w:rPr>
                <w:rFonts w:hint="eastAsia" w:cs="宋体"/>
                <w:b/>
              </w:rPr>
              <w:t>产品方案</w:t>
            </w:r>
          </w:p>
          <w:p w14:paraId="1C2B38FF">
            <w:pPr>
              <w:adjustRightInd w:val="0"/>
              <w:snapToGrid w:val="0"/>
              <w:ind w:firstLine="480"/>
              <w:rPr>
                <w:rFonts w:cs="宋体"/>
                <w:bCs/>
              </w:rPr>
            </w:pPr>
            <w:r>
              <w:rPr>
                <w:rFonts w:hint="eastAsia" w:cs="宋体"/>
                <w:bCs/>
              </w:rPr>
              <w:t>项目主要产品及产能见表详见表2-2。</w:t>
            </w:r>
          </w:p>
          <w:p w14:paraId="0BA6F073">
            <w:pPr>
              <w:adjustRightInd w:val="0"/>
              <w:snapToGrid w:val="0"/>
              <w:ind w:firstLine="422"/>
              <w:jc w:val="center"/>
              <w:rPr>
                <w:rFonts w:cs="宋体"/>
                <w:b/>
              </w:rPr>
            </w:pPr>
            <w:r>
              <w:rPr>
                <w:rFonts w:hint="eastAsia" w:cs="宋体"/>
                <w:b/>
                <w:sz w:val="21"/>
                <w:szCs w:val="21"/>
              </w:rPr>
              <w:t>表</w:t>
            </w:r>
            <w:r>
              <w:rPr>
                <w:b/>
                <w:sz w:val="21"/>
                <w:szCs w:val="21"/>
              </w:rPr>
              <w:t>2-</w:t>
            </w:r>
            <w:r>
              <w:rPr>
                <w:rFonts w:hint="eastAsia"/>
                <w:b/>
                <w:sz w:val="21"/>
                <w:szCs w:val="21"/>
              </w:rPr>
              <w:t>2</w:t>
            </w:r>
            <w:r>
              <w:rPr>
                <w:b/>
                <w:sz w:val="21"/>
                <w:szCs w:val="21"/>
              </w:rPr>
              <w:t xml:space="preserve">  </w:t>
            </w:r>
            <w:r>
              <w:rPr>
                <w:rFonts w:hint="eastAsia" w:cs="宋体"/>
                <w:b/>
                <w:sz w:val="21"/>
                <w:szCs w:val="21"/>
              </w:rPr>
              <w:t>项目产品方案一览表</w:t>
            </w:r>
          </w:p>
          <w:tbl>
            <w:tblPr>
              <w:tblStyle w:val="27"/>
              <w:tblW w:w="81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8"/>
              <w:gridCol w:w="1482"/>
              <w:gridCol w:w="2550"/>
              <w:gridCol w:w="1537"/>
              <w:gridCol w:w="1230"/>
            </w:tblGrid>
            <w:tr w14:paraId="37BC1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368" w:type="dxa"/>
                  <w:vAlign w:val="center"/>
                </w:tcPr>
                <w:p w14:paraId="585825B4">
                  <w:pPr>
                    <w:spacing w:line="240" w:lineRule="auto"/>
                    <w:ind w:firstLine="0" w:firstLineChars="0"/>
                    <w:jc w:val="center"/>
                    <w:rPr>
                      <w:b/>
                      <w:bCs/>
                      <w:sz w:val="21"/>
                      <w:szCs w:val="21"/>
                    </w:rPr>
                  </w:pPr>
                  <w:r>
                    <w:rPr>
                      <w:rFonts w:hint="eastAsia"/>
                      <w:b/>
                      <w:bCs/>
                      <w:sz w:val="21"/>
                      <w:szCs w:val="21"/>
                    </w:rPr>
                    <w:t>序号</w:t>
                  </w:r>
                </w:p>
              </w:tc>
              <w:tc>
                <w:tcPr>
                  <w:tcW w:w="1482" w:type="dxa"/>
                  <w:vAlign w:val="center"/>
                </w:tcPr>
                <w:p w14:paraId="09BC472B">
                  <w:pPr>
                    <w:spacing w:line="240" w:lineRule="auto"/>
                    <w:ind w:firstLine="0" w:firstLineChars="0"/>
                    <w:jc w:val="center"/>
                    <w:rPr>
                      <w:b/>
                      <w:bCs/>
                      <w:sz w:val="21"/>
                      <w:szCs w:val="21"/>
                    </w:rPr>
                  </w:pPr>
                  <w:r>
                    <w:rPr>
                      <w:rFonts w:hint="eastAsia"/>
                      <w:b/>
                      <w:bCs/>
                      <w:sz w:val="21"/>
                      <w:szCs w:val="21"/>
                    </w:rPr>
                    <w:t>产品名称</w:t>
                  </w:r>
                </w:p>
              </w:tc>
              <w:tc>
                <w:tcPr>
                  <w:tcW w:w="2550" w:type="dxa"/>
                  <w:vAlign w:val="center"/>
                </w:tcPr>
                <w:p w14:paraId="3E5A69FA">
                  <w:pPr>
                    <w:spacing w:line="240" w:lineRule="auto"/>
                    <w:ind w:firstLine="0" w:firstLineChars="0"/>
                    <w:jc w:val="center"/>
                    <w:rPr>
                      <w:b/>
                      <w:bCs/>
                      <w:sz w:val="21"/>
                      <w:szCs w:val="21"/>
                    </w:rPr>
                  </w:pPr>
                  <w:r>
                    <w:rPr>
                      <w:rFonts w:hint="eastAsia"/>
                      <w:b/>
                      <w:bCs/>
                      <w:sz w:val="21"/>
                      <w:szCs w:val="21"/>
                    </w:rPr>
                    <w:t>规格</w:t>
                  </w:r>
                </w:p>
              </w:tc>
              <w:tc>
                <w:tcPr>
                  <w:tcW w:w="1537" w:type="dxa"/>
                  <w:vAlign w:val="center"/>
                </w:tcPr>
                <w:p w14:paraId="21F464A0">
                  <w:pPr>
                    <w:spacing w:line="240" w:lineRule="auto"/>
                    <w:ind w:firstLine="0" w:firstLineChars="0"/>
                    <w:jc w:val="center"/>
                    <w:rPr>
                      <w:b/>
                      <w:bCs/>
                      <w:sz w:val="21"/>
                      <w:szCs w:val="21"/>
                    </w:rPr>
                  </w:pPr>
                  <w:r>
                    <w:rPr>
                      <w:rFonts w:hint="eastAsia"/>
                      <w:b/>
                      <w:bCs/>
                      <w:sz w:val="21"/>
                      <w:szCs w:val="21"/>
                    </w:rPr>
                    <w:t>产品产量</w:t>
                  </w:r>
                </w:p>
              </w:tc>
              <w:tc>
                <w:tcPr>
                  <w:tcW w:w="1230" w:type="dxa"/>
                  <w:vAlign w:val="center"/>
                </w:tcPr>
                <w:p w14:paraId="21466984">
                  <w:pPr>
                    <w:spacing w:line="240" w:lineRule="auto"/>
                    <w:ind w:firstLine="0" w:firstLineChars="0"/>
                    <w:jc w:val="center"/>
                    <w:rPr>
                      <w:b/>
                      <w:bCs/>
                      <w:sz w:val="21"/>
                      <w:szCs w:val="21"/>
                    </w:rPr>
                  </w:pPr>
                  <w:r>
                    <w:rPr>
                      <w:rFonts w:hint="eastAsia"/>
                      <w:b/>
                      <w:bCs/>
                      <w:sz w:val="21"/>
                      <w:szCs w:val="21"/>
                    </w:rPr>
                    <w:t>备注</w:t>
                  </w:r>
                </w:p>
              </w:tc>
            </w:tr>
            <w:tr w14:paraId="5992F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368" w:type="dxa"/>
                  <w:vAlign w:val="center"/>
                </w:tcPr>
                <w:p w14:paraId="42594E21">
                  <w:pPr>
                    <w:pStyle w:val="45"/>
                    <w:rPr>
                      <w:rFonts w:ascii="Times New Roman" w:hAnsi="Times New Roman" w:cs="Times New Roman"/>
                      <w:szCs w:val="21"/>
                      <w:lang w:val="en-US"/>
                    </w:rPr>
                  </w:pPr>
                  <w:r>
                    <w:rPr>
                      <w:rFonts w:hint="eastAsia" w:ascii="Times New Roman" w:hAnsi="Times New Roman" w:cs="Times New Roman"/>
                      <w:szCs w:val="21"/>
                      <w:lang w:val="en-US"/>
                    </w:rPr>
                    <w:t>1</w:t>
                  </w:r>
                </w:p>
              </w:tc>
              <w:tc>
                <w:tcPr>
                  <w:tcW w:w="1482" w:type="dxa"/>
                  <w:vMerge w:val="restart"/>
                  <w:vAlign w:val="center"/>
                </w:tcPr>
                <w:p w14:paraId="25C615D1">
                  <w:pPr>
                    <w:pStyle w:val="45"/>
                    <w:rPr>
                      <w:rFonts w:ascii="Times New Roman" w:hAnsi="Times New Roman" w:cs="Times New Roman"/>
                      <w:szCs w:val="21"/>
                      <w:lang w:val="en-US"/>
                    </w:rPr>
                  </w:pPr>
                  <w:r>
                    <w:rPr>
                      <w:rFonts w:hint="eastAsia" w:ascii="Times New Roman" w:hAnsi="Times New Roman" w:cs="Times New Roman"/>
                      <w:szCs w:val="21"/>
                      <w:lang w:val="en-US"/>
                    </w:rPr>
                    <w:t>沥青混凝土</w:t>
                  </w:r>
                </w:p>
              </w:tc>
              <w:tc>
                <w:tcPr>
                  <w:tcW w:w="2550" w:type="dxa"/>
                  <w:vAlign w:val="center"/>
                </w:tcPr>
                <w:p w14:paraId="0C3C3FA1">
                  <w:pPr>
                    <w:pStyle w:val="45"/>
                    <w:rPr>
                      <w:rFonts w:ascii="Times New Roman" w:hAnsi="Times New Roman" w:cs="Times New Roman"/>
                      <w:szCs w:val="21"/>
                      <w:lang w:val="en-US"/>
                    </w:rPr>
                  </w:pPr>
                  <w:r>
                    <w:rPr>
                      <w:rFonts w:hint="eastAsia" w:ascii="Times New Roman" w:hAnsi="Times New Roman" w:cs="Times New Roman"/>
                      <w:szCs w:val="21"/>
                      <w:lang w:val="en-US"/>
                    </w:rPr>
                    <w:t>细粒式沥青混凝土AC13</w:t>
                  </w:r>
                </w:p>
              </w:tc>
              <w:tc>
                <w:tcPr>
                  <w:tcW w:w="1537" w:type="dxa"/>
                  <w:vAlign w:val="center"/>
                </w:tcPr>
                <w:p w14:paraId="7852C65A">
                  <w:pPr>
                    <w:pStyle w:val="45"/>
                    <w:rPr>
                      <w:rFonts w:ascii="Times New Roman" w:hAnsi="Times New Roman" w:cs="Times New Roman"/>
                      <w:szCs w:val="21"/>
                      <w:lang w:val="en-US"/>
                    </w:rPr>
                  </w:pPr>
                  <w:r>
                    <w:rPr>
                      <w:rFonts w:hint="eastAsia" w:ascii="Times New Roman" w:hAnsi="Times New Roman" w:cs="Times New Roman"/>
                      <w:szCs w:val="21"/>
                      <w:lang w:val="en-US"/>
                    </w:rPr>
                    <w:t>60000t/a</w:t>
                  </w:r>
                </w:p>
              </w:tc>
              <w:tc>
                <w:tcPr>
                  <w:tcW w:w="1230" w:type="dxa"/>
                  <w:vAlign w:val="center"/>
                </w:tcPr>
                <w:p w14:paraId="505286B3">
                  <w:pPr>
                    <w:pStyle w:val="45"/>
                    <w:rPr>
                      <w:rFonts w:ascii="Times New Roman" w:hAnsi="Times New Roman" w:cs="Times New Roman"/>
                      <w:szCs w:val="21"/>
                      <w:lang w:val="en-US"/>
                    </w:rPr>
                  </w:pPr>
                  <w:r>
                    <w:rPr>
                      <w:rFonts w:hint="eastAsia" w:ascii="Times New Roman" w:hAnsi="Times New Roman" w:cs="Times New Roman"/>
                      <w:szCs w:val="21"/>
                      <w:lang w:val="en-US"/>
                    </w:rPr>
                    <w:t>/</w:t>
                  </w:r>
                </w:p>
              </w:tc>
            </w:tr>
            <w:tr w14:paraId="2A504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368" w:type="dxa"/>
                  <w:vAlign w:val="center"/>
                </w:tcPr>
                <w:p w14:paraId="2C99A27A">
                  <w:pPr>
                    <w:pStyle w:val="45"/>
                    <w:rPr>
                      <w:rFonts w:ascii="Times New Roman" w:hAnsi="Times New Roman" w:cs="Times New Roman"/>
                      <w:szCs w:val="21"/>
                      <w:lang w:val="en-US"/>
                    </w:rPr>
                  </w:pPr>
                  <w:r>
                    <w:rPr>
                      <w:rFonts w:hint="eastAsia" w:ascii="Times New Roman" w:hAnsi="Times New Roman" w:cs="Times New Roman"/>
                      <w:szCs w:val="21"/>
                      <w:lang w:val="en-US"/>
                    </w:rPr>
                    <w:t>2</w:t>
                  </w:r>
                </w:p>
              </w:tc>
              <w:tc>
                <w:tcPr>
                  <w:tcW w:w="1482" w:type="dxa"/>
                  <w:vMerge w:val="continue"/>
                  <w:vAlign w:val="center"/>
                </w:tcPr>
                <w:p w14:paraId="31643C8C">
                  <w:pPr>
                    <w:pStyle w:val="45"/>
                    <w:rPr>
                      <w:rFonts w:ascii="Times New Roman" w:hAnsi="Times New Roman" w:cs="Times New Roman"/>
                      <w:szCs w:val="21"/>
                      <w:lang w:val="en-US"/>
                    </w:rPr>
                  </w:pPr>
                </w:p>
              </w:tc>
              <w:tc>
                <w:tcPr>
                  <w:tcW w:w="2550" w:type="dxa"/>
                  <w:vAlign w:val="center"/>
                </w:tcPr>
                <w:p w14:paraId="6E448D7C">
                  <w:pPr>
                    <w:pStyle w:val="45"/>
                    <w:rPr>
                      <w:rFonts w:ascii="Times New Roman" w:hAnsi="Times New Roman" w:cs="Times New Roman"/>
                      <w:szCs w:val="21"/>
                      <w:lang w:val="en-US"/>
                    </w:rPr>
                  </w:pPr>
                  <w:r>
                    <w:rPr>
                      <w:rFonts w:hint="eastAsia" w:ascii="Times New Roman" w:hAnsi="Times New Roman" w:cs="Times New Roman"/>
                      <w:szCs w:val="21"/>
                      <w:lang w:val="en-US"/>
                    </w:rPr>
                    <w:t>中粒式沥青混凝土AC16</w:t>
                  </w:r>
                </w:p>
              </w:tc>
              <w:tc>
                <w:tcPr>
                  <w:tcW w:w="1537" w:type="dxa"/>
                  <w:vAlign w:val="center"/>
                </w:tcPr>
                <w:p w14:paraId="23ADBAFB">
                  <w:pPr>
                    <w:pStyle w:val="45"/>
                    <w:rPr>
                      <w:rFonts w:ascii="Times New Roman" w:hAnsi="Times New Roman" w:cs="Times New Roman"/>
                      <w:szCs w:val="21"/>
                      <w:lang w:val="en-US"/>
                    </w:rPr>
                  </w:pPr>
                  <w:r>
                    <w:rPr>
                      <w:rFonts w:hint="eastAsia" w:ascii="Times New Roman" w:hAnsi="Times New Roman" w:cs="Times New Roman"/>
                      <w:szCs w:val="21"/>
                      <w:lang w:val="en-US"/>
                    </w:rPr>
                    <w:t>70000t/a</w:t>
                  </w:r>
                </w:p>
              </w:tc>
              <w:tc>
                <w:tcPr>
                  <w:tcW w:w="1230" w:type="dxa"/>
                  <w:vAlign w:val="center"/>
                </w:tcPr>
                <w:p w14:paraId="6E3DAE0D">
                  <w:pPr>
                    <w:pStyle w:val="45"/>
                    <w:rPr>
                      <w:rFonts w:ascii="Times New Roman" w:hAnsi="Times New Roman" w:cs="Times New Roman"/>
                      <w:szCs w:val="21"/>
                      <w:lang w:val="en-US"/>
                    </w:rPr>
                  </w:pPr>
                  <w:r>
                    <w:rPr>
                      <w:rFonts w:hint="eastAsia" w:ascii="Times New Roman" w:hAnsi="Times New Roman" w:cs="Times New Roman"/>
                      <w:szCs w:val="21"/>
                      <w:lang w:val="en-US"/>
                    </w:rPr>
                    <w:t>/</w:t>
                  </w:r>
                </w:p>
              </w:tc>
            </w:tr>
            <w:tr w14:paraId="793FF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368" w:type="dxa"/>
                  <w:vAlign w:val="center"/>
                </w:tcPr>
                <w:p w14:paraId="316949AC">
                  <w:pPr>
                    <w:pStyle w:val="45"/>
                    <w:rPr>
                      <w:rFonts w:ascii="Times New Roman" w:hAnsi="Times New Roman" w:cs="Times New Roman"/>
                      <w:szCs w:val="21"/>
                      <w:lang w:val="en-US"/>
                    </w:rPr>
                  </w:pPr>
                  <w:r>
                    <w:rPr>
                      <w:rFonts w:hint="eastAsia" w:ascii="Times New Roman" w:hAnsi="Times New Roman" w:cs="Times New Roman"/>
                      <w:szCs w:val="21"/>
                      <w:lang w:val="en-US"/>
                    </w:rPr>
                    <w:t>3</w:t>
                  </w:r>
                </w:p>
              </w:tc>
              <w:tc>
                <w:tcPr>
                  <w:tcW w:w="1482" w:type="dxa"/>
                  <w:vMerge w:val="continue"/>
                  <w:vAlign w:val="center"/>
                </w:tcPr>
                <w:p w14:paraId="7A032F49">
                  <w:pPr>
                    <w:pStyle w:val="45"/>
                    <w:rPr>
                      <w:rFonts w:ascii="Times New Roman" w:hAnsi="Times New Roman" w:cs="Times New Roman"/>
                      <w:szCs w:val="21"/>
                      <w:lang w:val="en-US"/>
                    </w:rPr>
                  </w:pPr>
                </w:p>
              </w:tc>
              <w:tc>
                <w:tcPr>
                  <w:tcW w:w="2550" w:type="dxa"/>
                  <w:vAlign w:val="center"/>
                </w:tcPr>
                <w:p w14:paraId="443FC5C8">
                  <w:pPr>
                    <w:pStyle w:val="45"/>
                    <w:rPr>
                      <w:rFonts w:ascii="Times New Roman" w:hAnsi="Times New Roman" w:cs="Times New Roman"/>
                      <w:szCs w:val="21"/>
                      <w:lang w:val="en-US"/>
                    </w:rPr>
                  </w:pPr>
                  <w:r>
                    <w:rPr>
                      <w:rFonts w:hint="eastAsia" w:ascii="Times New Roman" w:hAnsi="Times New Roman" w:cs="Times New Roman"/>
                      <w:szCs w:val="21"/>
                      <w:lang w:val="en-US"/>
                    </w:rPr>
                    <w:t>粗粒式沥青混凝土AC20</w:t>
                  </w:r>
                </w:p>
              </w:tc>
              <w:tc>
                <w:tcPr>
                  <w:tcW w:w="1537" w:type="dxa"/>
                  <w:vAlign w:val="center"/>
                </w:tcPr>
                <w:p w14:paraId="181D4979">
                  <w:pPr>
                    <w:pStyle w:val="45"/>
                    <w:rPr>
                      <w:rFonts w:ascii="Times New Roman" w:hAnsi="Times New Roman" w:cs="Times New Roman"/>
                      <w:szCs w:val="21"/>
                      <w:lang w:val="en-US"/>
                    </w:rPr>
                  </w:pPr>
                  <w:r>
                    <w:rPr>
                      <w:rFonts w:hint="eastAsia" w:ascii="Times New Roman" w:hAnsi="Times New Roman" w:cs="Times New Roman"/>
                      <w:szCs w:val="21"/>
                      <w:lang w:val="en-US"/>
                    </w:rPr>
                    <w:t>70000t/a</w:t>
                  </w:r>
                </w:p>
              </w:tc>
              <w:tc>
                <w:tcPr>
                  <w:tcW w:w="1230" w:type="dxa"/>
                  <w:vAlign w:val="center"/>
                </w:tcPr>
                <w:p w14:paraId="54C086EC">
                  <w:pPr>
                    <w:pStyle w:val="45"/>
                    <w:rPr>
                      <w:rFonts w:ascii="Times New Roman" w:hAnsi="Times New Roman" w:cs="Times New Roman"/>
                      <w:szCs w:val="21"/>
                      <w:lang w:val="en-US"/>
                    </w:rPr>
                  </w:pPr>
                  <w:r>
                    <w:rPr>
                      <w:rFonts w:hint="eastAsia" w:ascii="Times New Roman" w:hAnsi="Times New Roman" w:cs="Times New Roman"/>
                      <w:szCs w:val="21"/>
                      <w:lang w:val="en-US"/>
                    </w:rPr>
                    <w:t>/</w:t>
                  </w:r>
                </w:p>
              </w:tc>
            </w:tr>
            <w:tr w14:paraId="3EE2A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5400" w:type="dxa"/>
                  <w:gridSpan w:val="3"/>
                  <w:vAlign w:val="center"/>
                </w:tcPr>
                <w:p w14:paraId="3926BB63">
                  <w:pPr>
                    <w:pStyle w:val="45"/>
                    <w:rPr>
                      <w:rFonts w:ascii="Times New Roman" w:hAnsi="Times New Roman" w:cs="Times New Roman"/>
                      <w:szCs w:val="21"/>
                      <w:lang w:val="en-US"/>
                    </w:rPr>
                  </w:pPr>
                  <w:r>
                    <w:rPr>
                      <w:rFonts w:hint="eastAsia" w:ascii="Times New Roman" w:hAnsi="Times New Roman" w:cs="Times New Roman"/>
                      <w:szCs w:val="21"/>
                      <w:lang w:val="en-US"/>
                    </w:rPr>
                    <w:t>合计</w:t>
                  </w:r>
                </w:p>
              </w:tc>
              <w:tc>
                <w:tcPr>
                  <w:tcW w:w="1537" w:type="dxa"/>
                  <w:vAlign w:val="center"/>
                </w:tcPr>
                <w:p w14:paraId="10F23EA6">
                  <w:pPr>
                    <w:pStyle w:val="45"/>
                    <w:rPr>
                      <w:rFonts w:ascii="Times New Roman" w:hAnsi="Times New Roman" w:cs="Times New Roman"/>
                      <w:szCs w:val="21"/>
                      <w:lang w:val="en-US"/>
                    </w:rPr>
                  </w:pPr>
                  <w:r>
                    <w:rPr>
                      <w:rFonts w:hint="eastAsia" w:ascii="Times New Roman" w:hAnsi="Times New Roman" w:cs="Times New Roman"/>
                      <w:szCs w:val="21"/>
                      <w:lang w:val="en-US"/>
                    </w:rPr>
                    <w:t>200000t/a</w:t>
                  </w:r>
                </w:p>
              </w:tc>
              <w:tc>
                <w:tcPr>
                  <w:tcW w:w="1230" w:type="dxa"/>
                  <w:vAlign w:val="center"/>
                </w:tcPr>
                <w:p w14:paraId="31FEF99D">
                  <w:pPr>
                    <w:pStyle w:val="45"/>
                    <w:rPr>
                      <w:rFonts w:ascii="Times New Roman" w:hAnsi="Times New Roman" w:cs="Times New Roman"/>
                      <w:szCs w:val="21"/>
                      <w:lang w:val="en-US"/>
                    </w:rPr>
                  </w:pPr>
                  <w:r>
                    <w:rPr>
                      <w:rFonts w:hint="eastAsia" w:ascii="Times New Roman" w:hAnsi="Times New Roman" w:cs="Times New Roman"/>
                      <w:szCs w:val="21"/>
                      <w:lang w:val="en-US"/>
                    </w:rPr>
                    <w:t>外售</w:t>
                  </w:r>
                </w:p>
              </w:tc>
            </w:tr>
          </w:tbl>
          <w:p w14:paraId="4633CE33">
            <w:pPr>
              <w:numPr>
                <w:ilvl w:val="0"/>
                <w:numId w:val="5"/>
              </w:numPr>
              <w:adjustRightInd w:val="0"/>
              <w:snapToGrid w:val="0"/>
              <w:spacing w:beforeLines="50"/>
              <w:ind w:firstLine="482"/>
              <w:rPr>
                <w:rFonts w:cs="宋体"/>
                <w:b/>
              </w:rPr>
            </w:pPr>
            <w:r>
              <w:rPr>
                <w:rFonts w:hint="eastAsia" w:cs="宋体"/>
                <w:b/>
              </w:rPr>
              <w:t>原辅材料及耗能</w:t>
            </w:r>
          </w:p>
          <w:p w14:paraId="012672E8">
            <w:pPr>
              <w:adjustRightInd w:val="0"/>
              <w:snapToGrid w:val="0"/>
              <w:ind w:firstLine="480"/>
              <w:rPr>
                <w:b/>
              </w:rPr>
            </w:pPr>
            <w:r>
              <w:rPr>
                <w:rFonts w:hint="eastAsia" w:cs="宋体"/>
                <w:bCs/>
              </w:rPr>
              <w:t>本项目沥青混合料生产线中，石料（粗骨料）占比62%，砂料（细骨料）占比30%，沥青占比4％，矿粉占比4%，项目原辅料使用情况见下表。</w:t>
            </w:r>
          </w:p>
          <w:p w14:paraId="7C02B3BF">
            <w:pPr>
              <w:adjustRightInd w:val="0"/>
              <w:snapToGrid w:val="0"/>
              <w:ind w:firstLine="422"/>
              <w:jc w:val="center"/>
              <w:rPr>
                <w:rFonts w:cs="宋体"/>
                <w:b/>
                <w:sz w:val="21"/>
                <w:szCs w:val="21"/>
              </w:rPr>
            </w:pPr>
            <w:r>
              <w:rPr>
                <w:rFonts w:hint="eastAsia" w:cs="宋体"/>
                <w:b/>
                <w:sz w:val="21"/>
                <w:szCs w:val="21"/>
              </w:rPr>
              <w:t>表</w:t>
            </w:r>
            <w:r>
              <w:rPr>
                <w:b/>
                <w:sz w:val="21"/>
                <w:szCs w:val="21"/>
              </w:rPr>
              <w:t xml:space="preserve">2-3  </w:t>
            </w:r>
            <w:r>
              <w:rPr>
                <w:rFonts w:hint="eastAsia" w:cs="宋体"/>
                <w:b/>
                <w:sz w:val="21"/>
                <w:szCs w:val="21"/>
              </w:rPr>
              <w:t>主要原辅料情况及耗能</w:t>
            </w:r>
          </w:p>
          <w:tbl>
            <w:tblPr>
              <w:tblStyle w:val="27"/>
              <w:tblW w:w="79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4"/>
              <w:gridCol w:w="1414"/>
              <w:gridCol w:w="780"/>
              <w:gridCol w:w="1319"/>
              <w:gridCol w:w="746"/>
              <w:gridCol w:w="1135"/>
              <w:gridCol w:w="1865"/>
            </w:tblGrid>
            <w:tr w14:paraId="37B1A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3" w:type="dxa"/>
                  <w:vAlign w:val="center"/>
                </w:tcPr>
                <w:p w14:paraId="5C0656B0">
                  <w:pPr>
                    <w:pStyle w:val="45"/>
                    <w:rPr>
                      <w:rFonts w:ascii="Times New Roman" w:hAnsi="Times New Roman" w:cs="Times New Roman"/>
                      <w:b/>
                      <w:bCs/>
                      <w:szCs w:val="21"/>
                      <w:lang w:val="en-US"/>
                    </w:rPr>
                  </w:pPr>
                  <w:r>
                    <w:rPr>
                      <w:rFonts w:hint="eastAsia" w:ascii="Times New Roman" w:hAnsi="Times New Roman" w:cs="Times New Roman"/>
                      <w:b/>
                      <w:bCs/>
                      <w:szCs w:val="21"/>
                      <w:lang w:val="en-US"/>
                    </w:rPr>
                    <w:t>序号</w:t>
                  </w:r>
                </w:p>
              </w:tc>
              <w:tc>
                <w:tcPr>
                  <w:tcW w:w="1515" w:type="dxa"/>
                  <w:vAlign w:val="center"/>
                </w:tcPr>
                <w:p w14:paraId="035EA542">
                  <w:pPr>
                    <w:pStyle w:val="45"/>
                    <w:rPr>
                      <w:rFonts w:ascii="Times New Roman" w:hAnsi="Times New Roman" w:cs="Times New Roman"/>
                      <w:b/>
                      <w:bCs/>
                      <w:szCs w:val="21"/>
                      <w:lang w:val="en-US"/>
                    </w:rPr>
                  </w:pPr>
                  <w:r>
                    <w:rPr>
                      <w:rFonts w:hint="eastAsia" w:ascii="Times New Roman" w:hAnsi="Times New Roman" w:cs="Times New Roman"/>
                      <w:b/>
                      <w:bCs/>
                      <w:szCs w:val="21"/>
                      <w:lang w:val="en-US"/>
                    </w:rPr>
                    <w:t>名称</w:t>
                  </w:r>
                </w:p>
              </w:tc>
              <w:tc>
                <w:tcPr>
                  <w:tcW w:w="795" w:type="dxa"/>
                  <w:vAlign w:val="center"/>
                </w:tcPr>
                <w:p w14:paraId="27147BBC">
                  <w:pPr>
                    <w:pStyle w:val="45"/>
                    <w:rPr>
                      <w:rFonts w:ascii="Times New Roman" w:hAnsi="Times New Roman" w:cs="Times New Roman"/>
                      <w:b/>
                      <w:bCs/>
                      <w:szCs w:val="21"/>
                      <w:lang w:val="en-US"/>
                    </w:rPr>
                  </w:pPr>
                  <w:r>
                    <w:rPr>
                      <w:rFonts w:hint="eastAsia" w:ascii="Times New Roman" w:hAnsi="Times New Roman" w:cs="Times New Roman"/>
                      <w:b/>
                      <w:bCs/>
                      <w:szCs w:val="21"/>
                      <w:lang w:val="en-US"/>
                    </w:rPr>
                    <w:t>单位</w:t>
                  </w:r>
                </w:p>
              </w:tc>
              <w:tc>
                <w:tcPr>
                  <w:tcW w:w="930" w:type="dxa"/>
                  <w:vAlign w:val="center"/>
                </w:tcPr>
                <w:p w14:paraId="7543F4F9">
                  <w:pPr>
                    <w:pStyle w:val="45"/>
                    <w:rPr>
                      <w:rFonts w:ascii="Times New Roman" w:hAnsi="Times New Roman" w:cs="Times New Roman"/>
                      <w:b/>
                      <w:bCs/>
                      <w:szCs w:val="21"/>
                      <w:lang w:val="en-US"/>
                    </w:rPr>
                  </w:pPr>
                  <w:r>
                    <w:rPr>
                      <w:rFonts w:hint="eastAsia" w:ascii="Times New Roman" w:hAnsi="Times New Roman" w:cs="Times New Roman"/>
                      <w:b/>
                      <w:bCs/>
                      <w:szCs w:val="21"/>
                      <w:lang w:val="en-US"/>
                    </w:rPr>
                    <w:t>用量</w:t>
                  </w:r>
                </w:p>
              </w:tc>
              <w:tc>
                <w:tcPr>
                  <w:tcW w:w="765" w:type="dxa"/>
                  <w:vAlign w:val="center"/>
                </w:tcPr>
                <w:p w14:paraId="389AE2A3">
                  <w:pPr>
                    <w:pStyle w:val="45"/>
                    <w:rPr>
                      <w:rFonts w:ascii="Times New Roman" w:hAnsi="Times New Roman" w:cs="Times New Roman"/>
                      <w:b/>
                      <w:bCs/>
                      <w:szCs w:val="21"/>
                      <w:lang w:val="en-US"/>
                    </w:rPr>
                  </w:pPr>
                  <w:r>
                    <w:rPr>
                      <w:rFonts w:hint="eastAsia" w:ascii="Times New Roman" w:hAnsi="Times New Roman" w:cs="Times New Roman"/>
                      <w:b/>
                      <w:bCs/>
                      <w:szCs w:val="21"/>
                      <w:lang w:val="en-US"/>
                    </w:rPr>
                    <w:t>比例</w:t>
                  </w:r>
                </w:p>
              </w:tc>
              <w:tc>
                <w:tcPr>
                  <w:tcW w:w="1200" w:type="dxa"/>
                  <w:vAlign w:val="center"/>
                </w:tcPr>
                <w:p w14:paraId="0FF9A9B4">
                  <w:pPr>
                    <w:pStyle w:val="45"/>
                    <w:rPr>
                      <w:rFonts w:ascii="Times New Roman" w:hAnsi="Times New Roman" w:cs="Times New Roman"/>
                      <w:b/>
                      <w:bCs/>
                      <w:szCs w:val="21"/>
                      <w:lang w:val="en-US"/>
                    </w:rPr>
                  </w:pPr>
                  <w:r>
                    <w:rPr>
                      <w:rFonts w:hint="eastAsia" w:ascii="Times New Roman" w:hAnsi="Times New Roman" w:cs="Times New Roman"/>
                      <w:b/>
                      <w:bCs/>
                      <w:color w:val="000000" w:themeColor="text1"/>
                      <w:szCs w:val="21"/>
                      <w:lang w:val="en-US"/>
                      <w14:textFill>
                        <w14:solidFill>
                          <w14:schemeClr w14:val="tx1"/>
                        </w14:solidFill>
                      </w14:textFill>
                    </w:rPr>
                    <w:t>最大储量</w:t>
                  </w:r>
                </w:p>
              </w:tc>
              <w:tc>
                <w:tcPr>
                  <w:tcW w:w="2025" w:type="dxa"/>
                  <w:vAlign w:val="center"/>
                </w:tcPr>
                <w:p w14:paraId="1B9CFA1A">
                  <w:pPr>
                    <w:pStyle w:val="45"/>
                    <w:rPr>
                      <w:rFonts w:ascii="Times New Roman" w:hAnsi="Times New Roman" w:cs="Times New Roman"/>
                      <w:b/>
                      <w:bCs/>
                      <w:szCs w:val="21"/>
                      <w:lang w:val="en-US"/>
                    </w:rPr>
                  </w:pPr>
                  <w:r>
                    <w:rPr>
                      <w:rFonts w:hint="eastAsia" w:ascii="Times New Roman" w:hAnsi="Times New Roman" w:cs="Times New Roman"/>
                      <w:b/>
                      <w:bCs/>
                      <w:szCs w:val="21"/>
                      <w:lang w:val="en-US"/>
                    </w:rPr>
                    <w:t>备注</w:t>
                  </w:r>
                </w:p>
              </w:tc>
            </w:tr>
            <w:tr w14:paraId="38AB1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3" w:type="dxa"/>
                  <w:vAlign w:val="center"/>
                </w:tcPr>
                <w:p w14:paraId="141115E2">
                  <w:pPr>
                    <w:pStyle w:val="45"/>
                    <w:rPr>
                      <w:rFonts w:ascii="Times New Roman" w:hAnsi="Times New Roman" w:cs="Times New Roman"/>
                      <w:szCs w:val="21"/>
                      <w:lang w:val="en-US"/>
                    </w:rPr>
                  </w:pPr>
                  <w:r>
                    <w:rPr>
                      <w:rFonts w:hint="eastAsia" w:ascii="Times New Roman" w:hAnsi="Times New Roman" w:cs="Times New Roman"/>
                      <w:szCs w:val="21"/>
                      <w:lang w:val="en-US"/>
                    </w:rPr>
                    <w:t>1</w:t>
                  </w:r>
                </w:p>
              </w:tc>
              <w:tc>
                <w:tcPr>
                  <w:tcW w:w="1515" w:type="dxa"/>
                  <w:vAlign w:val="center"/>
                </w:tcPr>
                <w:p w14:paraId="30379A10">
                  <w:pPr>
                    <w:pStyle w:val="45"/>
                    <w:rPr>
                      <w:rFonts w:ascii="Times New Roman" w:hAnsi="Times New Roman" w:cs="Times New Roman"/>
                      <w:spacing w:val="1"/>
                      <w:szCs w:val="21"/>
                      <w:lang w:val="en-US"/>
                    </w:rPr>
                  </w:pPr>
                  <w:r>
                    <w:rPr>
                      <w:rFonts w:ascii="Times New Roman" w:hAnsi="Times New Roman" w:eastAsia="Times New Roman" w:cs="Times New Roman"/>
                      <w:spacing w:val="1"/>
                      <w:szCs w:val="21"/>
                    </w:rPr>
                    <w:t>石料</w:t>
                  </w:r>
                  <w:r>
                    <w:rPr>
                      <w:rFonts w:hint="eastAsia" w:ascii="Times New Roman" w:hAnsi="Times New Roman" w:cs="Times New Roman"/>
                      <w:spacing w:val="1"/>
                      <w:szCs w:val="21"/>
                    </w:rPr>
                    <w:t>（</w:t>
                  </w:r>
                  <w:r>
                    <w:rPr>
                      <w:rFonts w:hint="eastAsia" w:ascii="Times New Roman" w:hAnsi="Times New Roman" w:cs="Times New Roman"/>
                      <w:spacing w:val="1"/>
                      <w:szCs w:val="21"/>
                      <w:lang w:val="en-US"/>
                    </w:rPr>
                    <w:t>粗骨料</w:t>
                  </w:r>
                  <w:r>
                    <w:rPr>
                      <w:rFonts w:hint="eastAsia" w:ascii="Times New Roman" w:hAnsi="Times New Roman" w:cs="Times New Roman"/>
                      <w:spacing w:val="1"/>
                      <w:szCs w:val="21"/>
                    </w:rPr>
                    <w:t>）</w:t>
                  </w:r>
                </w:p>
              </w:tc>
              <w:tc>
                <w:tcPr>
                  <w:tcW w:w="795" w:type="dxa"/>
                  <w:vAlign w:val="center"/>
                </w:tcPr>
                <w:p w14:paraId="22FC0722">
                  <w:pPr>
                    <w:pStyle w:val="45"/>
                    <w:rPr>
                      <w:rFonts w:ascii="Times New Roman" w:hAnsi="Times New Roman" w:cs="Times New Roman"/>
                      <w:szCs w:val="21"/>
                      <w:lang w:val="en-US"/>
                    </w:rPr>
                  </w:pPr>
                  <w:r>
                    <w:rPr>
                      <w:rFonts w:ascii="Times New Roman" w:hAnsi="Times New Roman" w:eastAsia="Times New Roman" w:cs="Times New Roman"/>
                      <w:spacing w:val="1"/>
                      <w:szCs w:val="21"/>
                    </w:rPr>
                    <w:t>t/a</w:t>
                  </w:r>
                </w:p>
              </w:tc>
              <w:tc>
                <w:tcPr>
                  <w:tcW w:w="930" w:type="dxa"/>
                  <w:vAlign w:val="center"/>
                </w:tcPr>
                <w:p w14:paraId="661A5EB9">
                  <w:pPr>
                    <w:pStyle w:val="45"/>
                    <w:rPr>
                      <w:rFonts w:ascii="Times New Roman" w:hAnsi="Times New Roman" w:cs="Times New Roman"/>
                      <w:szCs w:val="21"/>
                      <w:lang w:val="en-US"/>
                    </w:rPr>
                  </w:pPr>
                  <w:r>
                    <w:rPr>
                      <w:rFonts w:hint="eastAsia" w:ascii="Times New Roman" w:hAnsi="Times New Roman" w:cs="Times New Roman"/>
                      <w:szCs w:val="21"/>
                      <w:lang w:val="en-US"/>
                    </w:rPr>
                    <w:t>124001.2863</w:t>
                  </w:r>
                </w:p>
              </w:tc>
              <w:tc>
                <w:tcPr>
                  <w:tcW w:w="765" w:type="dxa"/>
                  <w:vAlign w:val="center"/>
                </w:tcPr>
                <w:p w14:paraId="7AE84AD4">
                  <w:pPr>
                    <w:pStyle w:val="45"/>
                    <w:rPr>
                      <w:rFonts w:ascii="Times New Roman" w:hAnsi="Times New Roman" w:cs="Times New Roman"/>
                      <w:szCs w:val="21"/>
                      <w:lang w:val="en-US"/>
                    </w:rPr>
                  </w:pPr>
                  <w:r>
                    <w:rPr>
                      <w:rFonts w:hint="eastAsia" w:ascii="Times New Roman" w:hAnsi="Times New Roman" w:cs="Times New Roman"/>
                      <w:szCs w:val="21"/>
                      <w:lang w:val="en-US"/>
                    </w:rPr>
                    <w:t>62%</w:t>
                  </w:r>
                </w:p>
              </w:tc>
              <w:tc>
                <w:tcPr>
                  <w:tcW w:w="1200" w:type="dxa"/>
                  <w:vAlign w:val="center"/>
                </w:tcPr>
                <w:p w14:paraId="1C2ACAD7">
                  <w:pPr>
                    <w:pStyle w:val="45"/>
                    <w:rPr>
                      <w:rFonts w:ascii="Times New Roman" w:hAnsi="Times New Roman" w:cs="Times New Roman"/>
                      <w:szCs w:val="21"/>
                      <w:lang w:val="en-US"/>
                    </w:rPr>
                  </w:pPr>
                  <w:r>
                    <w:rPr>
                      <w:rFonts w:ascii="Times New Roman" w:hAnsi="Times New Roman" w:cs="Times New Roman"/>
                      <w:szCs w:val="21"/>
                      <w:lang w:val="en-US"/>
                    </w:rPr>
                    <w:t>1000</w:t>
                  </w:r>
                </w:p>
              </w:tc>
              <w:tc>
                <w:tcPr>
                  <w:tcW w:w="2025" w:type="dxa"/>
                  <w:vAlign w:val="center"/>
                </w:tcPr>
                <w:p w14:paraId="1B57DFC6">
                  <w:pPr>
                    <w:pStyle w:val="45"/>
                    <w:rPr>
                      <w:rFonts w:ascii="Times New Roman" w:hAnsi="Times New Roman" w:cs="Times New Roman"/>
                      <w:szCs w:val="21"/>
                      <w:lang w:val="en-US"/>
                    </w:rPr>
                  </w:pPr>
                  <w:r>
                    <w:rPr>
                      <w:rFonts w:hint="eastAsia" w:ascii="Times New Roman" w:hAnsi="Times New Roman" w:cs="Times New Roman"/>
                      <w:szCs w:val="21"/>
                      <w:lang w:val="en-US"/>
                    </w:rPr>
                    <w:t>存放于原料仓</w:t>
                  </w:r>
                </w:p>
              </w:tc>
            </w:tr>
            <w:tr w14:paraId="7FF34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3" w:type="dxa"/>
                  <w:shd w:val="clear" w:color="auto" w:fill="auto"/>
                  <w:vAlign w:val="center"/>
                </w:tcPr>
                <w:p w14:paraId="2BA472C0">
                  <w:pPr>
                    <w:pStyle w:val="45"/>
                    <w:rPr>
                      <w:rFonts w:ascii="Times New Roman" w:hAnsi="Times New Roman" w:cs="Times New Roman"/>
                      <w:szCs w:val="21"/>
                      <w:lang w:val="en-US"/>
                    </w:rPr>
                  </w:pPr>
                  <w:r>
                    <w:rPr>
                      <w:rFonts w:hint="eastAsia" w:ascii="Times New Roman" w:hAnsi="Times New Roman" w:cs="Times New Roman"/>
                      <w:szCs w:val="21"/>
                      <w:lang w:val="en-US"/>
                    </w:rPr>
                    <w:t>2</w:t>
                  </w:r>
                </w:p>
              </w:tc>
              <w:tc>
                <w:tcPr>
                  <w:tcW w:w="1515" w:type="dxa"/>
                  <w:vAlign w:val="center"/>
                </w:tcPr>
                <w:p w14:paraId="7CECAECC">
                  <w:pPr>
                    <w:pStyle w:val="45"/>
                    <w:rPr>
                      <w:rFonts w:ascii="Times New Roman" w:hAnsi="Times New Roman" w:cs="Times New Roman"/>
                      <w:spacing w:val="1"/>
                      <w:szCs w:val="21"/>
                      <w:lang w:val="en-US"/>
                    </w:rPr>
                  </w:pPr>
                  <w:r>
                    <w:rPr>
                      <w:rFonts w:hint="eastAsia" w:ascii="Times New Roman" w:hAnsi="Times New Roman" w:cs="Times New Roman"/>
                      <w:spacing w:val="1"/>
                      <w:szCs w:val="21"/>
                      <w:lang w:val="en-US"/>
                    </w:rPr>
                    <w:t>砂料（细骨料）</w:t>
                  </w:r>
                </w:p>
              </w:tc>
              <w:tc>
                <w:tcPr>
                  <w:tcW w:w="795" w:type="dxa"/>
                  <w:vAlign w:val="center"/>
                </w:tcPr>
                <w:p w14:paraId="3F9B13F3">
                  <w:pPr>
                    <w:pStyle w:val="45"/>
                    <w:rPr>
                      <w:rFonts w:ascii="Times New Roman" w:hAnsi="Times New Roman" w:eastAsia="Times New Roman" w:cs="Times New Roman"/>
                      <w:spacing w:val="1"/>
                      <w:szCs w:val="21"/>
                    </w:rPr>
                  </w:pPr>
                  <w:r>
                    <w:rPr>
                      <w:rFonts w:ascii="Times New Roman" w:hAnsi="Times New Roman" w:eastAsia="Times New Roman" w:cs="Times New Roman"/>
                      <w:spacing w:val="1"/>
                      <w:szCs w:val="21"/>
                    </w:rPr>
                    <w:t>t/a</w:t>
                  </w:r>
                </w:p>
              </w:tc>
              <w:tc>
                <w:tcPr>
                  <w:tcW w:w="930" w:type="dxa"/>
                  <w:vAlign w:val="center"/>
                </w:tcPr>
                <w:p w14:paraId="23BF9C57">
                  <w:pPr>
                    <w:pStyle w:val="45"/>
                    <w:rPr>
                      <w:rFonts w:ascii="Times New Roman" w:hAnsi="Times New Roman" w:cs="Times New Roman"/>
                      <w:szCs w:val="21"/>
                      <w:lang w:val="en-US"/>
                    </w:rPr>
                  </w:pPr>
                  <w:r>
                    <w:rPr>
                      <w:rFonts w:hint="eastAsia" w:ascii="Times New Roman" w:hAnsi="Times New Roman" w:cs="Times New Roman"/>
                      <w:szCs w:val="21"/>
                      <w:lang w:val="en-US"/>
                    </w:rPr>
                    <w:t>60000.7884</w:t>
                  </w:r>
                </w:p>
              </w:tc>
              <w:tc>
                <w:tcPr>
                  <w:tcW w:w="765" w:type="dxa"/>
                  <w:vAlign w:val="center"/>
                </w:tcPr>
                <w:p w14:paraId="1826893F">
                  <w:pPr>
                    <w:pStyle w:val="45"/>
                    <w:rPr>
                      <w:rFonts w:ascii="Times New Roman" w:hAnsi="Times New Roman" w:cs="Times New Roman"/>
                      <w:szCs w:val="21"/>
                      <w:lang w:val="en-US"/>
                    </w:rPr>
                  </w:pPr>
                  <w:r>
                    <w:rPr>
                      <w:rFonts w:hint="eastAsia" w:ascii="Times New Roman" w:hAnsi="Times New Roman" w:cs="Times New Roman"/>
                      <w:szCs w:val="21"/>
                      <w:lang w:val="en-US"/>
                    </w:rPr>
                    <w:t>30%</w:t>
                  </w:r>
                </w:p>
              </w:tc>
              <w:tc>
                <w:tcPr>
                  <w:tcW w:w="1200" w:type="dxa"/>
                  <w:vAlign w:val="center"/>
                </w:tcPr>
                <w:p w14:paraId="3F834506">
                  <w:pPr>
                    <w:pStyle w:val="45"/>
                    <w:rPr>
                      <w:rFonts w:ascii="Times New Roman" w:hAnsi="Times New Roman" w:cs="Times New Roman"/>
                      <w:spacing w:val="7"/>
                      <w:szCs w:val="21"/>
                      <w:lang w:val="en-US"/>
                    </w:rPr>
                  </w:pPr>
                  <w:r>
                    <w:rPr>
                      <w:rFonts w:ascii="Times New Roman" w:hAnsi="Times New Roman" w:cs="Times New Roman"/>
                      <w:spacing w:val="7"/>
                      <w:szCs w:val="21"/>
                      <w:lang w:val="en-US"/>
                    </w:rPr>
                    <w:t>500</w:t>
                  </w:r>
                </w:p>
              </w:tc>
              <w:tc>
                <w:tcPr>
                  <w:tcW w:w="2025" w:type="dxa"/>
                  <w:vAlign w:val="center"/>
                </w:tcPr>
                <w:p w14:paraId="674EAFBF">
                  <w:pPr>
                    <w:pStyle w:val="45"/>
                    <w:rPr>
                      <w:rFonts w:ascii="Times New Roman" w:hAnsi="Times New Roman" w:cs="Times New Roman"/>
                      <w:szCs w:val="21"/>
                      <w:lang w:val="en-US"/>
                    </w:rPr>
                  </w:pPr>
                  <w:r>
                    <w:rPr>
                      <w:rFonts w:hint="eastAsia" w:ascii="Times New Roman" w:hAnsi="Times New Roman" w:cs="Times New Roman"/>
                      <w:szCs w:val="21"/>
                      <w:lang w:val="en-US"/>
                    </w:rPr>
                    <w:t>存放于原料仓</w:t>
                  </w:r>
                </w:p>
              </w:tc>
            </w:tr>
            <w:tr w14:paraId="10674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3" w:type="dxa"/>
                  <w:shd w:val="clear" w:color="auto" w:fill="auto"/>
                  <w:vAlign w:val="center"/>
                </w:tcPr>
                <w:p w14:paraId="1B9525CE">
                  <w:pPr>
                    <w:pStyle w:val="45"/>
                    <w:rPr>
                      <w:rFonts w:ascii="Times New Roman" w:hAnsi="Times New Roman" w:cs="Times New Roman"/>
                      <w:szCs w:val="21"/>
                      <w:lang w:val="en-US"/>
                    </w:rPr>
                  </w:pPr>
                  <w:r>
                    <w:rPr>
                      <w:rFonts w:hint="eastAsia" w:ascii="Times New Roman" w:hAnsi="Times New Roman" w:cs="Times New Roman"/>
                      <w:szCs w:val="21"/>
                      <w:lang w:val="en-US"/>
                    </w:rPr>
                    <w:t>3</w:t>
                  </w:r>
                </w:p>
              </w:tc>
              <w:tc>
                <w:tcPr>
                  <w:tcW w:w="1515" w:type="dxa"/>
                  <w:vAlign w:val="center"/>
                </w:tcPr>
                <w:p w14:paraId="1B71FA94">
                  <w:pPr>
                    <w:pStyle w:val="45"/>
                    <w:rPr>
                      <w:rFonts w:ascii="Times New Roman" w:hAnsi="Times New Roman" w:eastAsia="Times New Roman" w:cs="Times New Roman"/>
                      <w:spacing w:val="1"/>
                      <w:szCs w:val="21"/>
                      <w:lang w:val="en-US"/>
                    </w:rPr>
                  </w:pPr>
                  <w:r>
                    <w:rPr>
                      <w:rFonts w:ascii="Times New Roman" w:hAnsi="Times New Roman" w:eastAsia="Times New Roman" w:cs="Times New Roman"/>
                      <w:spacing w:val="1"/>
                      <w:szCs w:val="21"/>
                    </w:rPr>
                    <w:t>矿粉</w:t>
                  </w:r>
                </w:p>
              </w:tc>
              <w:tc>
                <w:tcPr>
                  <w:tcW w:w="795" w:type="dxa"/>
                  <w:shd w:val="clear" w:color="auto" w:fill="auto"/>
                  <w:vAlign w:val="center"/>
                </w:tcPr>
                <w:p w14:paraId="0AD95320">
                  <w:pPr>
                    <w:pStyle w:val="45"/>
                    <w:rPr>
                      <w:rFonts w:ascii="Times New Roman" w:hAnsi="Times New Roman" w:cs="Times New Roman"/>
                      <w:szCs w:val="21"/>
                      <w:lang w:val="en-US"/>
                    </w:rPr>
                  </w:pPr>
                  <w:r>
                    <w:rPr>
                      <w:rFonts w:ascii="Times New Roman" w:hAnsi="Times New Roman" w:eastAsia="Times New Roman" w:cs="Times New Roman"/>
                      <w:spacing w:val="1"/>
                      <w:szCs w:val="21"/>
                    </w:rPr>
                    <w:t>t/a</w:t>
                  </w:r>
                </w:p>
              </w:tc>
              <w:tc>
                <w:tcPr>
                  <w:tcW w:w="930" w:type="dxa"/>
                  <w:vAlign w:val="center"/>
                </w:tcPr>
                <w:p w14:paraId="3414141C">
                  <w:pPr>
                    <w:pStyle w:val="45"/>
                    <w:rPr>
                      <w:rFonts w:ascii="Times New Roman" w:hAnsi="Times New Roman" w:cs="Times New Roman"/>
                      <w:szCs w:val="21"/>
                      <w:lang w:val="en-US"/>
                    </w:rPr>
                  </w:pPr>
                  <w:r>
                    <w:rPr>
                      <w:rFonts w:hint="eastAsia" w:ascii="Times New Roman" w:hAnsi="Times New Roman" w:cs="Times New Roman"/>
                      <w:szCs w:val="21"/>
                      <w:lang w:val="en-US"/>
                    </w:rPr>
                    <w:t>8000</w:t>
                  </w:r>
                </w:p>
              </w:tc>
              <w:tc>
                <w:tcPr>
                  <w:tcW w:w="765" w:type="dxa"/>
                  <w:vAlign w:val="center"/>
                </w:tcPr>
                <w:p w14:paraId="328AB864">
                  <w:pPr>
                    <w:pStyle w:val="45"/>
                    <w:rPr>
                      <w:rFonts w:ascii="Times New Roman" w:hAnsi="Times New Roman" w:cs="Times New Roman"/>
                      <w:szCs w:val="21"/>
                      <w:lang w:val="en-US"/>
                    </w:rPr>
                  </w:pPr>
                  <w:r>
                    <w:rPr>
                      <w:rFonts w:hint="eastAsia" w:ascii="Times New Roman" w:hAnsi="Times New Roman" w:cs="Times New Roman"/>
                      <w:szCs w:val="21"/>
                      <w:lang w:val="en-US"/>
                    </w:rPr>
                    <w:t>4%</w:t>
                  </w:r>
                </w:p>
              </w:tc>
              <w:tc>
                <w:tcPr>
                  <w:tcW w:w="1200" w:type="dxa"/>
                  <w:vAlign w:val="center"/>
                </w:tcPr>
                <w:p w14:paraId="78E6BF86">
                  <w:pPr>
                    <w:pStyle w:val="45"/>
                    <w:rPr>
                      <w:rFonts w:ascii="Times New Roman" w:hAnsi="Times New Roman" w:cs="Times New Roman"/>
                      <w:szCs w:val="21"/>
                      <w:lang w:val="en-US"/>
                    </w:rPr>
                  </w:pPr>
                  <w:r>
                    <w:rPr>
                      <w:rFonts w:hint="eastAsia" w:ascii="Times New Roman" w:hAnsi="Times New Roman" w:cs="Times New Roman"/>
                      <w:szCs w:val="21"/>
                      <w:lang w:val="en-US"/>
                    </w:rPr>
                    <w:t>70</w:t>
                  </w:r>
                </w:p>
              </w:tc>
              <w:tc>
                <w:tcPr>
                  <w:tcW w:w="2025" w:type="dxa"/>
                  <w:vAlign w:val="center"/>
                </w:tcPr>
                <w:p w14:paraId="5A08C101">
                  <w:pPr>
                    <w:pStyle w:val="45"/>
                    <w:rPr>
                      <w:rFonts w:ascii="Times New Roman" w:hAnsi="Times New Roman" w:cs="Times New Roman"/>
                      <w:szCs w:val="21"/>
                      <w:lang w:val="en-US"/>
                    </w:rPr>
                  </w:pPr>
                  <w:r>
                    <w:rPr>
                      <w:rFonts w:hint="eastAsia" w:ascii="Times New Roman" w:hAnsi="Times New Roman" w:cs="Times New Roman"/>
                      <w:szCs w:val="21"/>
                      <w:lang w:val="en-US"/>
                    </w:rPr>
                    <w:t>存放于封闭筒仓</w:t>
                  </w:r>
                </w:p>
              </w:tc>
            </w:tr>
            <w:tr w14:paraId="73159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3" w:type="dxa"/>
                  <w:shd w:val="clear" w:color="auto" w:fill="auto"/>
                  <w:vAlign w:val="center"/>
                </w:tcPr>
                <w:p w14:paraId="5438B331">
                  <w:pPr>
                    <w:pStyle w:val="45"/>
                    <w:rPr>
                      <w:rFonts w:ascii="Times New Roman" w:hAnsi="Times New Roman" w:cs="Times New Roman"/>
                      <w:szCs w:val="21"/>
                      <w:lang w:val="en-US"/>
                    </w:rPr>
                  </w:pPr>
                  <w:r>
                    <w:rPr>
                      <w:rFonts w:hint="eastAsia" w:ascii="Times New Roman" w:hAnsi="Times New Roman" w:cs="Times New Roman"/>
                      <w:szCs w:val="21"/>
                      <w:lang w:val="en-US"/>
                    </w:rPr>
                    <w:t>4</w:t>
                  </w:r>
                </w:p>
              </w:tc>
              <w:tc>
                <w:tcPr>
                  <w:tcW w:w="1515" w:type="dxa"/>
                  <w:vAlign w:val="center"/>
                </w:tcPr>
                <w:p w14:paraId="1C6B7246">
                  <w:pPr>
                    <w:pStyle w:val="45"/>
                    <w:rPr>
                      <w:rFonts w:ascii="Times New Roman" w:hAnsi="Times New Roman" w:eastAsia="Times New Roman" w:cs="Times New Roman"/>
                      <w:spacing w:val="1"/>
                      <w:szCs w:val="21"/>
                      <w:lang w:val="en-US"/>
                    </w:rPr>
                  </w:pPr>
                  <w:r>
                    <w:rPr>
                      <w:rFonts w:ascii="Times New Roman" w:hAnsi="Times New Roman" w:eastAsia="Times New Roman" w:cs="Times New Roman"/>
                      <w:spacing w:val="1"/>
                      <w:szCs w:val="21"/>
                    </w:rPr>
                    <w:t>基质沥青</w:t>
                  </w:r>
                </w:p>
              </w:tc>
              <w:tc>
                <w:tcPr>
                  <w:tcW w:w="795" w:type="dxa"/>
                  <w:shd w:val="clear" w:color="auto" w:fill="auto"/>
                  <w:vAlign w:val="center"/>
                </w:tcPr>
                <w:p w14:paraId="34C01A4B">
                  <w:pPr>
                    <w:pStyle w:val="45"/>
                    <w:rPr>
                      <w:rFonts w:ascii="Times New Roman" w:hAnsi="Times New Roman" w:cs="Times New Roman"/>
                      <w:szCs w:val="21"/>
                      <w:lang w:val="en-US"/>
                    </w:rPr>
                  </w:pPr>
                  <w:r>
                    <w:rPr>
                      <w:rFonts w:ascii="Times New Roman" w:hAnsi="Times New Roman" w:eastAsia="Times New Roman" w:cs="Times New Roman"/>
                      <w:spacing w:val="1"/>
                      <w:szCs w:val="21"/>
                    </w:rPr>
                    <w:t>t/a</w:t>
                  </w:r>
                </w:p>
              </w:tc>
              <w:tc>
                <w:tcPr>
                  <w:tcW w:w="930" w:type="dxa"/>
                  <w:vAlign w:val="center"/>
                </w:tcPr>
                <w:p w14:paraId="781742BE">
                  <w:pPr>
                    <w:pStyle w:val="45"/>
                    <w:rPr>
                      <w:rFonts w:ascii="Times New Roman" w:hAnsi="Times New Roman" w:cs="Times New Roman"/>
                      <w:szCs w:val="21"/>
                      <w:lang w:val="en-US"/>
                    </w:rPr>
                  </w:pPr>
                  <w:r>
                    <w:rPr>
                      <w:rFonts w:hint="eastAsia" w:ascii="Times New Roman" w:hAnsi="Times New Roman" w:cs="Times New Roman"/>
                      <w:szCs w:val="21"/>
                      <w:lang w:val="en-US"/>
                    </w:rPr>
                    <w:t>8000</w:t>
                  </w:r>
                </w:p>
              </w:tc>
              <w:tc>
                <w:tcPr>
                  <w:tcW w:w="765" w:type="dxa"/>
                  <w:vAlign w:val="center"/>
                </w:tcPr>
                <w:p w14:paraId="00804156">
                  <w:pPr>
                    <w:pStyle w:val="45"/>
                    <w:rPr>
                      <w:rFonts w:ascii="Times New Roman" w:hAnsi="Times New Roman" w:cs="Times New Roman"/>
                      <w:szCs w:val="21"/>
                      <w:lang w:val="en-US"/>
                    </w:rPr>
                  </w:pPr>
                  <w:r>
                    <w:rPr>
                      <w:rFonts w:hint="eastAsia" w:ascii="Times New Roman" w:hAnsi="Times New Roman" w:cs="Times New Roman"/>
                      <w:szCs w:val="21"/>
                      <w:lang w:val="en-US"/>
                    </w:rPr>
                    <w:t>4%</w:t>
                  </w:r>
                </w:p>
              </w:tc>
              <w:tc>
                <w:tcPr>
                  <w:tcW w:w="1200" w:type="dxa"/>
                  <w:vAlign w:val="center"/>
                </w:tcPr>
                <w:p w14:paraId="10CD6C99">
                  <w:pPr>
                    <w:pStyle w:val="45"/>
                    <w:rPr>
                      <w:rFonts w:ascii="Times New Roman" w:hAnsi="Times New Roman" w:cs="Times New Roman"/>
                      <w:szCs w:val="21"/>
                      <w:lang w:val="en-US"/>
                    </w:rPr>
                  </w:pPr>
                  <w:r>
                    <w:rPr>
                      <w:rFonts w:hint="eastAsia" w:ascii="Times New Roman" w:hAnsi="Times New Roman" w:cs="Times New Roman"/>
                      <w:szCs w:val="21"/>
                      <w:lang w:val="en-US"/>
                    </w:rPr>
                    <w:t>150</w:t>
                  </w:r>
                </w:p>
              </w:tc>
              <w:tc>
                <w:tcPr>
                  <w:tcW w:w="2025" w:type="dxa"/>
                  <w:vAlign w:val="center"/>
                </w:tcPr>
                <w:p w14:paraId="4C4C6072">
                  <w:pPr>
                    <w:pStyle w:val="45"/>
                    <w:rPr>
                      <w:rFonts w:ascii="Times New Roman" w:hAnsi="Times New Roman" w:cs="Times New Roman"/>
                      <w:szCs w:val="21"/>
                      <w:lang w:val="en-US"/>
                    </w:rPr>
                  </w:pPr>
                  <w:r>
                    <w:rPr>
                      <w:rFonts w:hint="eastAsia" w:ascii="Times New Roman" w:hAnsi="Times New Roman" w:cs="Times New Roman"/>
                      <w:szCs w:val="21"/>
                      <w:lang w:val="en-US"/>
                    </w:rPr>
                    <w:t>存放于沥青罐</w:t>
                  </w:r>
                </w:p>
              </w:tc>
            </w:tr>
            <w:tr w14:paraId="04E4D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exact"/>
                <w:jc w:val="center"/>
              </w:trPr>
              <w:tc>
                <w:tcPr>
                  <w:tcW w:w="673" w:type="dxa"/>
                  <w:shd w:val="clear" w:color="auto" w:fill="auto"/>
                  <w:vAlign w:val="center"/>
                </w:tcPr>
                <w:p w14:paraId="11193DAE">
                  <w:pPr>
                    <w:pStyle w:val="45"/>
                    <w:rPr>
                      <w:rFonts w:ascii="Times New Roman" w:hAnsi="Times New Roman" w:cs="Times New Roman"/>
                      <w:szCs w:val="21"/>
                      <w:lang w:val="en-US"/>
                    </w:rPr>
                  </w:pPr>
                  <w:r>
                    <w:rPr>
                      <w:rFonts w:hint="eastAsia" w:ascii="Times New Roman" w:hAnsi="Times New Roman" w:cs="Times New Roman"/>
                      <w:szCs w:val="21"/>
                      <w:lang w:val="en-US"/>
                    </w:rPr>
                    <w:t>5</w:t>
                  </w:r>
                </w:p>
              </w:tc>
              <w:tc>
                <w:tcPr>
                  <w:tcW w:w="1515" w:type="dxa"/>
                  <w:vAlign w:val="center"/>
                </w:tcPr>
                <w:p w14:paraId="1DB68EA7">
                  <w:pPr>
                    <w:pStyle w:val="45"/>
                    <w:rPr>
                      <w:rFonts w:ascii="Times New Roman" w:hAnsi="Times New Roman" w:cs="Times New Roman"/>
                      <w:color w:val="000000" w:themeColor="text1"/>
                      <w:szCs w:val="21"/>
                      <w:lang w:val="en-US"/>
                      <w14:textFill>
                        <w14:solidFill>
                          <w14:schemeClr w14:val="tx1"/>
                        </w14:solidFill>
                      </w14:textFill>
                    </w:rPr>
                  </w:pPr>
                  <w:r>
                    <w:rPr>
                      <w:rFonts w:hint="eastAsia" w:ascii="Times New Roman" w:hAnsi="Times New Roman" w:cs="Times New Roman"/>
                      <w:color w:val="000000" w:themeColor="text1"/>
                      <w:szCs w:val="21"/>
                      <w:lang w:val="en-US"/>
                      <w14:textFill>
                        <w14:solidFill>
                          <w14:schemeClr w14:val="tx1"/>
                        </w14:solidFill>
                      </w14:textFill>
                    </w:rPr>
                    <w:t>导热油</w:t>
                  </w:r>
                </w:p>
              </w:tc>
              <w:tc>
                <w:tcPr>
                  <w:tcW w:w="795" w:type="dxa"/>
                  <w:vAlign w:val="center"/>
                </w:tcPr>
                <w:p w14:paraId="6370EFF4">
                  <w:pPr>
                    <w:pStyle w:val="45"/>
                    <w:rPr>
                      <w:rFonts w:ascii="Times New Roman" w:hAnsi="Times New Roman" w:cs="Times New Roman"/>
                      <w:color w:val="000000" w:themeColor="text1"/>
                      <w:szCs w:val="21"/>
                      <w:lang w:val="en-US"/>
                      <w14:textFill>
                        <w14:solidFill>
                          <w14:schemeClr w14:val="tx1"/>
                        </w14:solidFill>
                      </w14:textFill>
                    </w:rPr>
                  </w:pPr>
                  <w:r>
                    <w:rPr>
                      <w:rFonts w:hint="eastAsia" w:ascii="Times New Roman" w:hAnsi="Times New Roman" w:cs="Times New Roman"/>
                      <w:color w:val="000000" w:themeColor="text1"/>
                      <w:szCs w:val="21"/>
                      <w:lang w:val="en-US"/>
                      <w14:textFill>
                        <w14:solidFill>
                          <w14:schemeClr w14:val="tx1"/>
                        </w14:solidFill>
                      </w14:textFill>
                    </w:rPr>
                    <w:t>t/a</w:t>
                  </w:r>
                </w:p>
              </w:tc>
              <w:tc>
                <w:tcPr>
                  <w:tcW w:w="930" w:type="dxa"/>
                  <w:vAlign w:val="center"/>
                </w:tcPr>
                <w:p w14:paraId="503E4FE5">
                  <w:pPr>
                    <w:pStyle w:val="45"/>
                    <w:rPr>
                      <w:rFonts w:ascii="Times New Roman" w:hAnsi="Times New Roman" w:cs="Times New Roman"/>
                      <w:color w:val="000000" w:themeColor="text1"/>
                      <w:szCs w:val="21"/>
                      <w:lang w:val="en-US"/>
                      <w14:textFill>
                        <w14:solidFill>
                          <w14:schemeClr w14:val="tx1"/>
                        </w14:solidFill>
                      </w14:textFill>
                    </w:rPr>
                  </w:pPr>
                  <w:r>
                    <w:rPr>
                      <w:rFonts w:hint="eastAsia" w:ascii="Times New Roman" w:hAnsi="Times New Roman" w:cs="Times New Roman"/>
                      <w:color w:val="000000" w:themeColor="text1"/>
                      <w:szCs w:val="21"/>
                      <w:lang w:val="en-US"/>
                      <w14:textFill>
                        <w14:solidFill>
                          <w14:schemeClr w14:val="tx1"/>
                        </w14:solidFill>
                      </w14:textFill>
                    </w:rPr>
                    <w:t>4</w:t>
                  </w:r>
                </w:p>
              </w:tc>
              <w:tc>
                <w:tcPr>
                  <w:tcW w:w="765" w:type="dxa"/>
                  <w:vAlign w:val="center"/>
                </w:tcPr>
                <w:p w14:paraId="1E731796">
                  <w:pPr>
                    <w:pStyle w:val="45"/>
                    <w:rPr>
                      <w:rFonts w:ascii="Times New Roman" w:hAnsi="Times New Roman" w:cs="Times New Roman"/>
                      <w:color w:val="000000" w:themeColor="text1"/>
                      <w:szCs w:val="21"/>
                      <w:lang w:val="en-US"/>
                      <w14:textFill>
                        <w14:solidFill>
                          <w14:schemeClr w14:val="tx1"/>
                        </w14:solidFill>
                      </w14:textFill>
                    </w:rPr>
                  </w:pPr>
                  <w:r>
                    <w:rPr>
                      <w:rFonts w:hint="eastAsia" w:ascii="Times New Roman" w:hAnsi="Times New Roman" w:cs="Times New Roman"/>
                      <w:color w:val="000000" w:themeColor="text1"/>
                      <w:szCs w:val="21"/>
                      <w:lang w:val="en-US"/>
                      <w14:textFill>
                        <w14:solidFill>
                          <w14:schemeClr w14:val="tx1"/>
                        </w14:solidFill>
                      </w14:textFill>
                    </w:rPr>
                    <w:t>/</w:t>
                  </w:r>
                </w:p>
              </w:tc>
              <w:tc>
                <w:tcPr>
                  <w:tcW w:w="1200" w:type="dxa"/>
                  <w:vAlign w:val="center"/>
                </w:tcPr>
                <w:p w14:paraId="4EE4F5B8">
                  <w:pPr>
                    <w:pStyle w:val="45"/>
                    <w:rPr>
                      <w:rFonts w:ascii="Times New Roman" w:hAnsi="Times New Roman" w:cs="Times New Roman"/>
                      <w:color w:val="000000" w:themeColor="text1"/>
                      <w:szCs w:val="21"/>
                      <w:lang w:val="en-US"/>
                      <w14:textFill>
                        <w14:solidFill>
                          <w14:schemeClr w14:val="tx1"/>
                        </w14:solidFill>
                      </w14:textFill>
                    </w:rPr>
                  </w:pPr>
                  <w:r>
                    <w:rPr>
                      <w:rFonts w:hint="eastAsia" w:ascii="Times New Roman" w:hAnsi="Times New Roman" w:cs="Times New Roman"/>
                      <w:color w:val="000000" w:themeColor="text1"/>
                      <w:szCs w:val="21"/>
                      <w:lang w:val="en-US"/>
                      <w14:textFill>
                        <w14:solidFill>
                          <w14:schemeClr w14:val="tx1"/>
                        </w14:solidFill>
                      </w14:textFill>
                    </w:rPr>
                    <w:t>3</w:t>
                  </w:r>
                </w:p>
              </w:tc>
              <w:tc>
                <w:tcPr>
                  <w:tcW w:w="2025" w:type="dxa"/>
                  <w:vAlign w:val="center"/>
                </w:tcPr>
                <w:p w14:paraId="68EA49EE">
                  <w:pPr>
                    <w:pStyle w:val="45"/>
                    <w:rPr>
                      <w:rFonts w:ascii="Times New Roman" w:hAnsi="Times New Roman" w:cs="Times New Roman"/>
                      <w:color w:val="000000" w:themeColor="text1"/>
                      <w:szCs w:val="21"/>
                      <w:lang w:val="en-US"/>
                      <w14:textFill>
                        <w14:solidFill>
                          <w14:schemeClr w14:val="tx1"/>
                        </w14:solidFill>
                      </w14:textFill>
                    </w:rPr>
                  </w:pPr>
                  <w:r>
                    <w:rPr>
                      <w:rFonts w:hint="eastAsia" w:ascii="Times New Roman" w:hAnsi="Times New Roman" w:cs="Times New Roman"/>
                      <w:color w:val="000000" w:themeColor="text1"/>
                      <w:szCs w:val="21"/>
                      <w:lang w:val="en-US"/>
                      <w14:textFill>
                        <w14:solidFill>
                          <w14:schemeClr w14:val="tx1"/>
                        </w14:solidFill>
                      </w14:textFill>
                    </w:rPr>
                    <w:t>循环使用，每3年更换一次</w:t>
                  </w:r>
                </w:p>
              </w:tc>
            </w:tr>
            <w:tr w14:paraId="4A098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3" w:type="dxa"/>
                  <w:shd w:val="clear" w:color="auto" w:fill="auto"/>
                  <w:vAlign w:val="center"/>
                </w:tcPr>
                <w:p w14:paraId="2F3993D5">
                  <w:pPr>
                    <w:pStyle w:val="45"/>
                    <w:rPr>
                      <w:rFonts w:ascii="Times New Roman" w:hAnsi="Times New Roman" w:cs="Times New Roman"/>
                      <w:szCs w:val="21"/>
                      <w:lang w:val="en-US"/>
                    </w:rPr>
                  </w:pPr>
                  <w:r>
                    <w:rPr>
                      <w:rFonts w:hint="eastAsia" w:ascii="Times New Roman" w:hAnsi="Times New Roman" w:cs="Times New Roman"/>
                      <w:szCs w:val="21"/>
                      <w:lang w:val="en-US"/>
                    </w:rPr>
                    <w:t>6</w:t>
                  </w:r>
                </w:p>
              </w:tc>
              <w:tc>
                <w:tcPr>
                  <w:tcW w:w="1515" w:type="dxa"/>
                  <w:vAlign w:val="center"/>
                </w:tcPr>
                <w:p w14:paraId="54A45F78">
                  <w:pPr>
                    <w:pStyle w:val="45"/>
                    <w:rPr>
                      <w:rFonts w:ascii="Times New Roman" w:hAnsi="Times New Roman" w:cs="Times New Roman"/>
                      <w:szCs w:val="21"/>
                      <w:lang w:val="en-US"/>
                    </w:rPr>
                  </w:pPr>
                  <w:r>
                    <w:rPr>
                      <w:rFonts w:hint="eastAsia" w:ascii="Times New Roman" w:hAnsi="Times New Roman" w:cs="Times New Roman"/>
                      <w:szCs w:val="21"/>
                      <w:lang w:val="en-US"/>
                    </w:rPr>
                    <w:t>柴油</w:t>
                  </w:r>
                </w:p>
              </w:tc>
              <w:tc>
                <w:tcPr>
                  <w:tcW w:w="795" w:type="dxa"/>
                  <w:vAlign w:val="center"/>
                </w:tcPr>
                <w:p w14:paraId="0E68A148">
                  <w:pPr>
                    <w:pStyle w:val="45"/>
                    <w:rPr>
                      <w:rFonts w:ascii="Times New Roman" w:hAnsi="Times New Roman" w:cs="Times New Roman"/>
                      <w:szCs w:val="21"/>
                      <w:lang w:val="en-US"/>
                    </w:rPr>
                  </w:pPr>
                  <w:r>
                    <w:rPr>
                      <w:rFonts w:hint="eastAsia" w:ascii="Times New Roman" w:hAnsi="Times New Roman" w:cs="Times New Roman"/>
                      <w:szCs w:val="21"/>
                      <w:lang w:val="en-US"/>
                    </w:rPr>
                    <w:t>t/a</w:t>
                  </w:r>
                </w:p>
              </w:tc>
              <w:tc>
                <w:tcPr>
                  <w:tcW w:w="930" w:type="dxa"/>
                  <w:vAlign w:val="center"/>
                </w:tcPr>
                <w:p w14:paraId="663C3887">
                  <w:pPr>
                    <w:pStyle w:val="45"/>
                    <w:rPr>
                      <w:rFonts w:ascii="Times New Roman" w:hAnsi="Times New Roman" w:cs="Times New Roman"/>
                      <w:szCs w:val="21"/>
                      <w:lang w:val="en-US"/>
                    </w:rPr>
                  </w:pPr>
                  <w:r>
                    <w:rPr>
                      <w:rFonts w:hint="eastAsia" w:ascii="Times New Roman" w:hAnsi="Times New Roman" w:cs="Times New Roman"/>
                      <w:szCs w:val="21"/>
                      <w:lang w:val="en-US"/>
                    </w:rPr>
                    <w:t>90</w:t>
                  </w:r>
                </w:p>
              </w:tc>
              <w:tc>
                <w:tcPr>
                  <w:tcW w:w="765" w:type="dxa"/>
                  <w:vAlign w:val="center"/>
                </w:tcPr>
                <w:p w14:paraId="75E2D8E0">
                  <w:pPr>
                    <w:pStyle w:val="45"/>
                    <w:rPr>
                      <w:rFonts w:ascii="Times New Roman" w:hAnsi="Times New Roman" w:cs="Times New Roman"/>
                      <w:szCs w:val="21"/>
                      <w:lang w:val="en-US"/>
                    </w:rPr>
                  </w:pPr>
                  <w:r>
                    <w:rPr>
                      <w:rFonts w:hint="eastAsia" w:ascii="Times New Roman" w:hAnsi="Times New Roman" w:cs="Times New Roman"/>
                      <w:szCs w:val="21"/>
                      <w:lang w:val="en-US"/>
                    </w:rPr>
                    <w:t>/</w:t>
                  </w:r>
                </w:p>
              </w:tc>
              <w:tc>
                <w:tcPr>
                  <w:tcW w:w="1200" w:type="dxa"/>
                  <w:vAlign w:val="center"/>
                </w:tcPr>
                <w:p w14:paraId="0E1A09F5">
                  <w:pPr>
                    <w:pStyle w:val="45"/>
                    <w:rPr>
                      <w:rFonts w:ascii="Times New Roman" w:hAnsi="Times New Roman" w:cs="Times New Roman"/>
                      <w:szCs w:val="21"/>
                      <w:lang w:val="en-US"/>
                    </w:rPr>
                  </w:pPr>
                  <w:r>
                    <w:rPr>
                      <w:rFonts w:hint="eastAsia" w:ascii="Times New Roman" w:hAnsi="Times New Roman" w:cs="Times New Roman"/>
                      <w:szCs w:val="21"/>
                      <w:lang w:val="en-US"/>
                    </w:rPr>
                    <w:t>40</w:t>
                  </w:r>
                </w:p>
              </w:tc>
              <w:tc>
                <w:tcPr>
                  <w:tcW w:w="2025" w:type="dxa"/>
                  <w:vAlign w:val="center"/>
                </w:tcPr>
                <w:p w14:paraId="37AE3DB4">
                  <w:pPr>
                    <w:pStyle w:val="45"/>
                    <w:rPr>
                      <w:rFonts w:ascii="Times New Roman" w:hAnsi="Times New Roman" w:cs="Times New Roman"/>
                      <w:szCs w:val="21"/>
                      <w:lang w:val="en-US"/>
                    </w:rPr>
                  </w:pPr>
                  <w:r>
                    <w:rPr>
                      <w:rFonts w:hint="eastAsia" w:ascii="Times New Roman" w:hAnsi="Times New Roman" w:cs="Times New Roman"/>
                      <w:szCs w:val="21"/>
                      <w:lang w:val="en-US"/>
                    </w:rPr>
                    <w:t>存放于柴油罐</w:t>
                  </w:r>
                </w:p>
              </w:tc>
            </w:tr>
            <w:tr w14:paraId="68C2C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3" w:type="dxa"/>
                  <w:shd w:val="clear" w:color="auto" w:fill="auto"/>
                  <w:vAlign w:val="center"/>
                </w:tcPr>
                <w:p w14:paraId="5351ABED">
                  <w:pPr>
                    <w:pStyle w:val="45"/>
                    <w:rPr>
                      <w:rFonts w:ascii="Times New Roman" w:hAnsi="Times New Roman" w:cs="Times New Roman"/>
                      <w:szCs w:val="21"/>
                      <w:lang w:val="en-US"/>
                    </w:rPr>
                  </w:pPr>
                  <w:r>
                    <w:rPr>
                      <w:rFonts w:hint="eastAsia" w:ascii="Times New Roman" w:hAnsi="Times New Roman" w:cs="Times New Roman"/>
                      <w:szCs w:val="21"/>
                      <w:lang w:val="en-US"/>
                    </w:rPr>
                    <w:t>7</w:t>
                  </w:r>
                </w:p>
              </w:tc>
              <w:tc>
                <w:tcPr>
                  <w:tcW w:w="1515" w:type="dxa"/>
                  <w:vAlign w:val="center"/>
                </w:tcPr>
                <w:p w14:paraId="4F6BC468">
                  <w:pPr>
                    <w:pStyle w:val="45"/>
                    <w:rPr>
                      <w:rFonts w:ascii="Times New Roman" w:hAnsi="Times New Roman" w:cs="Times New Roman"/>
                      <w:szCs w:val="21"/>
                      <w:lang w:val="en-US"/>
                    </w:rPr>
                  </w:pPr>
                  <w:r>
                    <w:rPr>
                      <w:rFonts w:hint="eastAsia" w:ascii="Times New Roman" w:hAnsi="Times New Roman" w:cs="Times New Roman"/>
                      <w:szCs w:val="21"/>
                      <w:lang w:val="en-US"/>
                    </w:rPr>
                    <w:t>水</w:t>
                  </w:r>
                </w:p>
              </w:tc>
              <w:tc>
                <w:tcPr>
                  <w:tcW w:w="795" w:type="dxa"/>
                  <w:vAlign w:val="center"/>
                </w:tcPr>
                <w:p w14:paraId="0EEBD6E5">
                  <w:pPr>
                    <w:pStyle w:val="45"/>
                    <w:rPr>
                      <w:rFonts w:ascii="Times New Roman" w:hAnsi="Times New Roman" w:eastAsia="Times New Roman" w:cs="Times New Roman"/>
                      <w:spacing w:val="1"/>
                      <w:szCs w:val="21"/>
                    </w:rPr>
                  </w:pPr>
                  <w:r>
                    <w:rPr>
                      <w:rFonts w:ascii="Times New Roman" w:hAnsi="Times New Roman" w:eastAsia="Times New Roman" w:cs="Times New Roman"/>
                      <w:spacing w:val="4"/>
                      <w:position w:val="-1"/>
                      <w:szCs w:val="21"/>
                    </w:rPr>
                    <w:t>m</w:t>
                  </w:r>
                  <w:r>
                    <w:rPr>
                      <w:rFonts w:ascii="Times New Roman" w:hAnsi="Times New Roman" w:eastAsia="Times New Roman" w:cs="Times New Roman"/>
                      <w:spacing w:val="4"/>
                      <w:position w:val="5"/>
                      <w:szCs w:val="21"/>
                    </w:rPr>
                    <w:t>3</w:t>
                  </w:r>
                  <w:r>
                    <w:rPr>
                      <w:rFonts w:ascii="Times New Roman" w:hAnsi="Times New Roman" w:eastAsia="Times New Roman" w:cs="Times New Roman"/>
                      <w:spacing w:val="4"/>
                      <w:position w:val="-1"/>
                      <w:szCs w:val="21"/>
                    </w:rPr>
                    <w:t>/a</w:t>
                  </w:r>
                </w:p>
              </w:tc>
              <w:tc>
                <w:tcPr>
                  <w:tcW w:w="930" w:type="dxa"/>
                  <w:vAlign w:val="center"/>
                </w:tcPr>
                <w:p w14:paraId="6C8986BD">
                  <w:pPr>
                    <w:pStyle w:val="45"/>
                    <w:rPr>
                      <w:rFonts w:ascii="Times New Roman" w:hAnsi="Times New Roman" w:cs="Times New Roman"/>
                      <w:szCs w:val="21"/>
                      <w:lang w:val="en-US"/>
                    </w:rPr>
                  </w:pPr>
                  <w:r>
                    <w:rPr>
                      <w:rFonts w:hint="eastAsia" w:ascii="Times New Roman" w:hAnsi="Times New Roman" w:cs="Times New Roman"/>
                      <w:szCs w:val="21"/>
                      <w:lang w:val="en-US"/>
                    </w:rPr>
                    <w:t>5000</w:t>
                  </w:r>
                </w:p>
              </w:tc>
              <w:tc>
                <w:tcPr>
                  <w:tcW w:w="765" w:type="dxa"/>
                  <w:vAlign w:val="center"/>
                </w:tcPr>
                <w:p w14:paraId="326F400B">
                  <w:pPr>
                    <w:pStyle w:val="45"/>
                    <w:rPr>
                      <w:rFonts w:ascii="Times New Roman" w:hAnsi="Times New Roman" w:cs="Times New Roman"/>
                      <w:szCs w:val="21"/>
                      <w:lang w:val="en-US"/>
                    </w:rPr>
                  </w:pPr>
                  <w:r>
                    <w:rPr>
                      <w:rFonts w:hint="eastAsia" w:ascii="Times New Roman" w:hAnsi="Times New Roman" w:cs="Times New Roman"/>
                      <w:szCs w:val="21"/>
                      <w:lang w:val="en-US"/>
                    </w:rPr>
                    <w:t>/</w:t>
                  </w:r>
                </w:p>
              </w:tc>
              <w:tc>
                <w:tcPr>
                  <w:tcW w:w="1200" w:type="dxa"/>
                  <w:vAlign w:val="center"/>
                </w:tcPr>
                <w:p w14:paraId="26336CA9">
                  <w:pPr>
                    <w:pStyle w:val="45"/>
                    <w:rPr>
                      <w:rFonts w:ascii="Times New Roman" w:hAnsi="Times New Roman" w:cs="Times New Roman"/>
                      <w:szCs w:val="21"/>
                      <w:lang w:val="en-US"/>
                    </w:rPr>
                  </w:pPr>
                  <w:r>
                    <w:rPr>
                      <w:rFonts w:hint="eastAsia" w:ascii="Times New Roman" w:hAnsi="Times New Roman" w:cs="Times New Roman"/>
                      <w:szCs w:val="21"/>
                      <w:lang w:val="en-US"/>
                    </w:rPr>
                    <w:t>/</w:t>
                  </w:r>
                </w:p>
              </w:tc>
              <w:tc>
                <w:tcPr>
                  <w:tcW w:w="2025" w:type="dxa"/>
                  <w:vAlign w:val="center"/>
                </w:tcPr>
                <w:p w14:paraId="271A9168">
                  <w:pPr>
                    <w:pStyle w:val="45"/>
                    <w:rPr>
                      <w:rFonts w:ascii="Times New Roman" w:hAnsi="Times New Roman" w:cs="Times New Roman"/>
                      <w:szCs w:val="21"/>
                      <w:lang w:val="en-US"/>
                    </w:rPr>
                  </w:pPr>
                  <w:r>
                    <w:rPr>
                      <w:rFonts w:hint="eastAsia" w:ascii="Times New Roman" w:hAnsi="Times New Roman" w:cs="Times New Roman"/>
                      <w:szCs w:val="21"/>
                      <w:lang w:val="en-US"/>
                    </w:rPr>
                    <w:t>/</w:t>
                  </w:r>
                </w:p>
              </w:tc>
            </w:tr>
            <w:tr w14:paraId="2BA0B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3" w:type="dxa"/>
                  <w:vAlign w:val="center"/>
                </w:tcPr>
                <w:p w14:paraId="56D0A138">
                  <w:pPr>
                    <w:pStyle w:val="45"/>
                    <w:rPr>
                      <w:rFonts w:ascii="Times New Roman" w:hAnsi="Times New Roman" w:cs="Times New Roman"/>
                      <w:szCs w:val="21"/>
                      <w:lang w:val="en-US"/>
                    </w:rPr>
                  </w:pPr>
                  <w:r>
                    <w:rPr>
                      <w:rFonts w:hint="eastAsia" w:ascii="Times New Roman" w:hAnsi="Times New Roman" w:cs="Times New Roman"/>
                      <w:szCs w:val="21"/>
                      <w:lang w:val="en-US"/>
                    </w:rPr>
                    <w:t>8</w:t>
                  </w:r>
                </w:p>
              </w:tc>
              <w:tc>
                <w:tcPr>
                  <w:tcW w:w="1515" w:type="dxa"/>
                  <w:vAlign w:val="center"/>
                </w:tcPr>
                <w:p w14:paraId="18DEE697">
                  <w:pPr>
                    <w:pStyle w:val="45"/>
                    <w:rPr>
                      <w:rFonts w:ascii="Times New Roman" w:hAnsi="Times New Roman" w:cs="Times New Roman"/>
                      <w:szCs w:val="21"/>
                      <w:lang w:val="en-US"/>
                    </w:rPr>
                  </w:pPr>
                  <w:r>
                    <w:rPr>
                      <w:rFonts w:hint="eastAsia" w:ascii="Times New Roman" w:hAnsi="Times New Roman" w:cs="Times New Roman"/>
                      <w:szCs w:val="21"/>
                      <w:lang w:val="en-US"/>
                    </w:rPr>
                    <w:t>电</w:t>
                  </w:r>
                </w:p>
              </w:tc>
              <w:tc>
                <w:tcPr>
                  <w:tcW w:w="795" w:type="dxa"/>
                  <w:vAlign w:val="center"/>
                </w:tcPr>
                <w:p w14:paraId="79B8CEF4">
                  <w:pPr>
                    <w:pStyle w:val="45"/>
                    <w:rPr>
                      <w:rFonts w:ascii="Times New Roman" w:hAnsi="Times New Roman" w:eastAsia="Times New Roman" w:cs="Times New Roman"/>
                      <w:spacing w:val="1"/>
                      <w:szCs w:val="21"/>
                    </w:rPr>
                  </w:pPr>
                  <w:r>
                    <w:rPr>
                      <w:rFonts w:ascii="Times New Roman" w:hAnsi="Times New Roman" w:eastAsia="Times New Roman" w:cs="Times New Roman"/>
                      <w:szCs w:val="21"/>
                    </w:rPr>
                    <w:t>kw</w:t>
                  </w:r>
                  <w:r>
                    <w:rPr>
                      <w:rFonts w:ascii="Times New Roman" w:hAnsi="Times New Roman" w:eastAsia="Times New Roman" w:cs="Times New Roman"/>
                      <w:spacing w:val="9"/>
                      <w:szCs w:val="21"/>
                    </w:rPr>
                    <w:t>·h</w:t>
                  </w:r>
                </w:p>
              </w:tc>
              <w:tc>
                <w:tcPr>
                  <w:tcW w:w="930" w:type="dxa"/>
                  <w:vAlign w:val="center"/>
                </w:tcPr>
                <w:p w14:paraId="4710C517">
                  <w:pPr>
                    <w:pStyle w:val="45"/>
                    <w:rPr>
                      <w:rFonts w:ascii="Times New Roman" w:hAnsi="Times New Roman" w:cs="Times New Roman"/>
                      <w:szCs w:val="21"/>
                      <w:lang w:val="en-US"/>
                    </w:rPr>
                  </w:pPr>
                  <w:r>
                    <w:rPr>
                      <w:rFonts w:hint="eastAsia" w:ascii="Times New Roman" w:hAnsi="Times New Roman" w:cs="Times New Roman"/>
                      <w:szCs w:val="21"/>
                      <w:lang w:val="en-US"/>
                    </w:rPr>
                    <w:t>6</w:t>
                  </w:r>
                </w:p>
              </w:tc>
              <w:tc>
                <w:tcPr>
                  <w:tcW w:w="765" w:type="dxa"/>
                  <w:vAlign w:val="center"/>
                </w:tcPr>
                <w:p w14:paraId="1C0B2434">
                  <w:pPr>
                    <w:pStyle w:val="45"/>
                    <w:rPr>
                      <w:rFonts w:ascii="Times New Roman" w:hAnsi="Times New Roman" w:cs="Times New Roman"/>
                      <w:szCs w:val="21"/>
                      <w:lang w:val="en-US"/>
                    </w:rPr>
                  </w:pPr>
                  <w:r>
                    <w:rPr>
                      <w:rFonts w:hint="eastAsia" w:ascii="Times New Roman" w:hAnsi="Times New Roman" w:cs="Times New Roman"/>
                      <w:szCs w:val="21"/>
                      <w:lang w:val="en-US"/>
                    </w:rPr>
                    <w:t>/</w:t>
                  </w:r>
                </w:p>
              </w:tc>
              <w:tc>
                <w:tcPr>
                  <w:tcW w:w="1200" w:type="dxa"/>
                  <w:vAlign w:val="center"/>
                </w:tcPr>
                <w:p w14:paraId="13473541">
                  <w:pPr>
                    <w:pStyle w:val="45"/>
                    <w:rPr>
                      <w:rFonts w:ascii="Times New Roman" w:hAnsi="Times New Roman" w:cs="Times New Roman"/>
                      <w:szCs w:val="21"/>
                      <w:lang w:val="en-US"/>
                    </w:rPr>
                  </w:pPr>
                  <w:r>
                    <w:rPr>
                      <w:rFonts w:hint="eastAsia" w:ascii="Times New Roman" w:hAnsi="Times New Roman" w:cs="Times New Roman"/>
                      <w:szCs w:val="21"/>
                      <w:lang w:val="en-US"/>
                    </w:rPr>
                    <w:t>/</w:t>
                  </w:r>
                </w:p>
              </w:tc>
              <w:tc>
                <w:tcPr>
                  <w:tcW w:w="2025" w:type="dxa"/>
                  <w:vAlign w:val="center"/>
                </w:tcPr>
                <w:p w14:paraId="526E2A41">
                  <w:pPr>
                    <w:pStyle w:val="45"/>
                    <w:rPr>
                      <w:rFonts w:ascii="Times New Roman" w:hAnsi="Times New Roman" w:cs="Times New Roman"/>
                      <w:szCs w:val="21"/>
                      <w:lang w:val="en-US"/>
                    </w:rPr>
                  </w:pPr>
                  <w:r>
                    <w:rPr>
                      <w:rFonts w:hint="eastAsia" w:ascii="Times New Roman" w:hAnsi="Times New Roman" w:cs="Times New Roman"/>
                      <w:szCs w:val="21"/>
                      <w:lang w:val="en-US"/>
                    </w:rPr>
                    <w:t>/</w:t>
                  </w:r>
                </w:p>
              </w:tc>
            </w:tr>
          </w:tbl>
          <w:p w14:paraId="47C4E3F3">
            <w:pPr>
              <w:adjustRightInd w:val="0"/>
              <w:snapToGrid w:val="0"/>
              <w:spacing w:beforeLines="50"/>
              <w:ind w:firstLine="482"/>
              <w:rPr>
                <w:rFonts w:cs="宋体"/>
                <w:b/>
              </w:rPr>
            </w:pPr>
            <w:r>
              <w:rPr>
                <w:rFonts w:hint="eastAsia" w:cs="宋体"/>
                <w:b/>
              </w:rPr>
              <w:t>主要原辅材料性质如下：</w:t>
            </w:r>
          </w:p>
          <w:p w14:paraId="5608E8E4">
            <w:pPr>
              <w:adjustRightInd w:val="0"/>
              <w:snapToGrid w:val="0"/>
              <w:ind w:firstLine="422"/>
              <w:jc w:val="center"/>
              <w:rPr>
                <w:rFonts w:cs="宋体"/>
                <w:b/>
                <w:sz w:val="21"/>
                <w:szCs w:val="21"/>
              </w:rPr>
            </w:pPr>
            <w:r>
              <w:rPr>
                <w:rFonts w:hint="eastAsia" w:cs="宋体"/>
                <w:b/>
                <w:sz w:val="21"/>
                <w:szCs w:val="21"/>
              </w:rPr>
              <w:t>表 2-4  原料理化性质一览表</w:t>
            </w:r>
          </w:p>
          <w:tbl>
            <w:tblPr>
              <w:tblStyle w:val="27"/>
              <w:tblW w:w="81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5"/>
              <w:gridCol w:w="6892"/>
            </w:tblGrid>
            <w:tr w14:paraId="0600C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275" w:type="dxa"/>
                  <w:vAlign w:val="center"/>
                </w:tcPr>
                <w:p w14:paraId="61AAEC63">
                  <w:pPr>
                    <w:pStyle w:val="45"/>
                    <w:rPr>
                      <w:rFonts w:ascii="Times New Roman" w:hAnsi="Times New Roman" w:cs="Times New Roman"/>
                      <w:b/>
                      <w:bCs/>
                      <w:szCs w:val="21"/>
                      <w:lang w:val="en-US"/>
                    </w:rPr>
                  </w:pPr>
                  <w:r>
                    <w:rPr>
                      <w:rFonts w:hint="eastAsia" w:ascii="Times New Roman" w:hAnsi="Times New Roman" w:cs="Times New Roman"/>
                      <w:b/>
                      <w:bCs/>
                      <w:szCs w:val="21"/>
                      <w:lang w:val="en-US"/>
                    </w:rPr>
                    <w:t>名称</w:t>
                  </w:r>
                </w:p>
              </w:tc>
              <w:tc>
                <w:tcPr>
                  <w:tcW w:w="6892" w:type="dxa"/>
                  <w:vAlign w:val="center"/>
                </w:tcPr>
                <w:p w14:paraId="3D1DE6B5">
                  <w:pPr>
                    <w:pStyle w:val="45"/>
                    <w:rPr>
                      <w:rFonts w:ascii="Times New Roman" w:hAnsi="Times New Roman" w:cs="Times New Roman"/>
                      <w:b/>
                      <w:bCs/>
                      <w:szCs w:val="21"/>
                      <w:lang w:val="en-US"/>
                    </w:rPr>
                  </w:pPr>
                  <w:r>
                    <w:rPr>
                      <w:rFonts w:hint="eastAsia" w:ascii="Times New Roman" w:hAnsi="Times New Roman" w:cs="Times New Roman"/>
                      <w:b/>
                      <w:bCs/>
                      <w:szCs w:val="21"/>
                      <w:lang w:val="en-US"/>
                    </w:rPr>
                    <w:t>理化性质</w:t>
                  </w:r>
                </w:p>
              </w:tc>
            </w:tr>
            <w:tr w14:paraId="343D6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5" w:type="dxa"/>
                  <w:vAlign w:val="center"/>
                </w:tcPr>
                <w:p w14:paraId="11343F36">
                  <w:pPr>
                    <w:pStyle w:val="45"/>
                    <w:rPr>
                      <w:rFonts w:ascii="Times New Roman" w:hAnsi="Times New Roman" w:cs="Times New Roman"/>
                      <w:szCs w:val="21"/>
                      <w:lang w:val="en-US"/>
                    </w:rPr>
                  </w:pPr>
                  <w:r>
                    <w:rPr>
                      <w:rFonts w:hint="eastAsia" w:ascii="Times New Roman" w:hAnsi="Times New Roman" w:cs="Times New Roman"/>
                      <w:szCs w:val="21"/>
                      <w:lang w:val="en-US"/>
                    </w:rPr>
                    <w:t>砂石料</w:t>
                  </w:r>
                </w:p>
              </w:tc>
              <w:tc>
                <w:tcPr>
                  <w:tcW w:w="6892" w:type="dxa"/>
                  <w:vAlign w:val="center"/>
                </w:tcPr>
                <w:p w14:paraId="3B1D1FFD">
                  <w:pPr>
                    <w:pStyle w:val="45"/>
                    <w:jc w:val="both"/>
                    <w:rPr>
                      <w:rFonts w:ascii="Times New Roman" w:hAnsi="Times New Roman" w:cs="Times New Roman"/>
                      <w:szCs w:val="21"/>
                      <w:lang w:val="en-US"/>
                    </w:rPr>
                  </w:pPr>
                  <w:r>
                    <w:rPr>
                      <w:rFonts w:hint="eastAsia" w:ascii="Times New Roman" w:hAnsi="Times New Roman" w:cs="Times New Roman"/>
                      <w:szCs w:val="21"/>
                      <w:lang w:val="en-US"/>
                    </w:rPr>
                    <w:t>为不同粒度规格产品，主要成品为石灰石石质，是沥青混凝土的主要骨料，碎石质量应符合《普通混凝土用碎石或卵石质量标准及检验方法》（JGJ53-92）。</w:t>
                  </w:r>
                </w:p>
              </w:tc>
            </w:tr>
            <w:tr w14:paraId="3CC72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5" w:type="dxa"/>
                  <w:vAlign w:val="center"/>
                </w:tcPr>
                <w:p w14:paraId="5CC74459">
                  <w:pPr>
                    <w:pStyle w:val="45"/>
                    <w:rPr>
                      <w:rFonts w:ascii="Times New Roman" w:hAnsi="Times New Roman" w:cs="Times New Roman"/>
                      <w:szCs w:val="21"/>
                      <w:lang w:val="en-US"/>
                    </w:rPr>
                  </w:pPr>
                  <w:r>
                    <w:rPr>
                      <w:rFonts w:hint="eastAsia" w:ascii="Times New Roman" w:hAnsi="Times New Roman" w:cs="Times New Roman"/>
                      <w:szCs w:val="21"/>
                      <w:lang w:val="en-US"/>
                    </w:rPr>
                    <w:t>沥青</w:t>
                  </w:r>
                </w:p>
              </w:tc>
              <w:tc>
                <w:tcPr>
                  <w:tcW w:w="6892" w:type="dxa"/>
                  <w:vAlign w:val="center"/>
                </w:tcPr>
                <w:p w14:paraId="7566D616">
                  <w:pPr>
                    <w:pStyle w:val="45"/>
                    <w:jc w:val="both"/>
                    <w:rPr>
                      <w:rFonts w:ascii="Times New Roman" w:hAnsi="Times New Roman" w:cs="Times New Roman"/>
                      <w:szCs w:val="21"/>
                      <w:lang w:val="en-US"/>
                    </w:rPr>
                  </w:pPr>
                  <w:r>
                    <w:rPr>
                      <w:rFonts w:hint="eastAsia" w:ascii="Times New Roman" w:hAnsi="Times New Roman" w:cs="Times New Roman"/>
                      <w:szCs w:val="21"/>
                      <w:lang w:val="en-US"/>
                    </w:rPr>
                    <w:t>沥青是原油加工过程的一种产品，在常温下是黑色或黑褐色的黏稠的液体、半固体或固体，主要含有可溶于三氯乙烯的烃类及非烃类衍生物，其性质和组成随原油来源和生产方法的不同而变化。相对密度为1.0~ 1.25g/cm</w:t>
                  </w:r>
                  <w:r>
                    <w:rPr>
                      <w:rFonts w:hint="eastAsia" w:ascii="Times New Roman" w:hAnsi="Times New Roman" w:cs="Times New Roman"/>
                      <w:szCs w:val="21"/>
                      <w:vertAlign w:val="superscript"/>
                      <w:lang w:val="en-US"/>
                    </w:rPr>
                    <w:t>3</w:t>
                  </w:r>
                  <w:r>
                    <w:rPr>
                      <w:rFonts w:hint="eastAsia" w:ascii="Times New Roman" w:hAnsi="Times New Roman" w:cs="Times New Roman"/>
                      <w:szCs w:val="21"/>
                      <w:lang w:val="en-US"/>
                    </w:rPr>
                    <w:t>，熔点为45~60℃，闪点≥260℃ ，沸点为230~300℃，石油沥青中还含 2%～3%的沥青碳和似碳物（黑色固体粉末），是石油沥青中分子量最大的，无毒性。它会降低石油沥青的粘结力。石油沥青中还含有蜡，它会降低石油沥青的黏结性和塑性，其在沥青组分总含量越高沥青脆性越大。同时对温度特别敏感（即温度稳定性差）。石油沥青是原油蒸馏后的残渣。根据提炼程度的不同，在常温下成液体、半固体或固体。石油沥青色黑而有光泽，具有较高的感温性。</w:t>
                  </w:r>
                </w:p>
              </w:tc>
            </w:tr>
            <w:tr w14:paraId="0DB7D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5" w:type="dxa"/>
                  <w:vAlign w:val="center"/>
                </w:tcPr>
                <w:p w14:paraId="21E73037">
                  <w:pPr>
                    <w:pStyle w:val="45"/>
                    <w:rPr>
                      <w:rFonts w:ascii="Times New Roman" w:hAnsi="Times New Roman" w:cs="Times New Roman"/>
                      <w:szCs w:val="21"/>
                      <w:lang w:val="en-US"/>
                    </w:rPr>
                  </w:pPr>
                  <w:r>
                    <w:rPr>
                      <w:rFonts w:hint="eastAsia" w:ascii="Times New Roman" w:hAnsi="Times New Roman" w:cs="Times New Roman"/>
                      <w:szCs w:val="21"/>
                      <w:lang w:val="en-US"/>
                    </w:rPr>
                    <w:t>矿粉</w:t>
                  </w:r>
                </w:p>
              </w:tc>
              <w:tc>
                <w:tcPr>
                  <w:tcW w:w="6892" w:type="dxa"/>
                  <w:vAlign w:val="center"/>
                </w:tcPr>
                <w:p w14:paraId="4BFF0F8F">
                  <w:pPr>
                    <w:pStyle w:val="45"/>
                    <w:jc w:val="both"/>
                    <w:rPr>
                      <w:rFonts w:ascii="Times New Roman" w:hAnsi="Times New Roman" w:cs="Times New Roman"/>
                      <w:szCs w:val="21"/>
                      <w:lang w:val="en-US"/>
                    </w:rPr>
                  </w:pPr>
                  <w:r>
                    <w:rPr>
                      <w:rFonts w:hint="eastAsia" w:ascii="Times New Roman" w:hAnsi="Times New Roman" w:cs="Times New Roman"/>
                      <w:szCs w:val="21"/>
                      <w:lang w:val="en-US"/>
                    </w:rPr>
                    <w:t>为石灰石粉末，质白细，属于高活性粉料，是优质的混凝土掺合料和水泥混合材，是当今世界公认的配制高性能混凝土的重要材料。通过使用粒化高炉矿渣粉，可有效提高混凝土的抗压强度，降低混凝土的成本。同时对抑制碱骨料反应，降低水化热，减少混凝土结构早期温度裂缝，提高混凝土密实度，提高抗渗和抗侵蚀能力有明显效果。</w:t>
                  </w:r>
                </w:p>
              </w:tc>
            </w:tr>
            <w:tr w14:paraId="2F025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5" w:type="dxa"/>
                  <w:vAlign w:val="center"/>
                </w:tcPr>
                <w:p w14:paraId="4CFCF498">
                  <w:pPr>
                    <w:pStyle w:val="45"/>
                    <w:rPr>
                      <w:rFonts w:ascii="Times New Roman" w:hAnsi="Times New Roman" w:cs="Times New Roman"/>
                      <w:szCs w:val="21"/>
                      <w:lang w:val="en-US"/>
                    </w:rPr>
                  </w:pPr>
                  <w:r>
                    <w:rPr>
                      <w:rFonts w:hint="eastAsia" w:ascii="Times New Roman" w:hAnsi="Times New Roman" w:cs="Times New Roman"/>
                      <w:szCs w:val="21"/>
                      <w:lang w:val="en-US"/>
                    </w:rPr>
                    <w:t>柴油</w:t>
                  </w:r>
                </w:p>
              </w:tc>
              <w:tc>
                <w:tcPr>
                  <w:tcW w:w="6892" w:type="dxa"/>
                  <w:vAlign w:val="center"/>
                </w:tcPr>
                <w:p w14:paraId="76AB4DC0">
                  <w:pPr>
                    <w:autoSpaceDE w:val="0"/>
                    <w:autoSpaceDN w:val="0"/>
                    <w:spacing w:line="240" w:lineRule="auto"/>
                    <w:ind w:firstLine="0" w:firstLineChars="0"/>
                    <w:rPr>
                      <w:szCs w:val="21"/>
                    </w:rPr>
                  </w:pPr>
                  <w:r>
                    <w:rPr>
                      <w:rFonts w:hint="eastAsia"/>
                      <w:sz w:val="21"/>
                      <w:szCs w:val="21"/>
                    </w:rPr>
                    <w:t>柴油为轻质石油产品，主要是由烷烃、烯烃、环烷烃、芳香烃、多环芳烃与少量硫（2～60g/kg）、氮（&lt;1g/kg）及添加剂组成的混合物。外观为稍有黏性的棕色液体，熔点（℃）：-18，沸点（℃）：282～338，相对密度（水=1）：0.85～0.9，燃烧性：易燃。建筑火险分级：乙，闪点（℃）：55自燃温度（℃）：引燃温度（℃）：257。危险特性：遇明火、高热或与氧化剂接触，有引起燃烧爆炸的危险。若遇高热，容器内压增大，有开裂和爆炸的危险。储运注意事项：储存于阴凉、通风仓间内。远离火种、热源。防止阳光直射。保持容器密封，应与氧化剂分开存放。桶装堆垛不可过大，应留墙距、顶距、柱距及必要的防火检查通道。罐储时要有防火防爆及设置围堰等技术措施。禁止使用易产生火花的机械设备和工具。充装要控制流速，注意防止静电积聚。搬运时要轻装轻卸，防止包装及容器损坏。</w:t>
                  </w:r>
                </w:p>
              </w:tc>
            </w:tr>
            <w:tr w14:paraId="1BD50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5" w:type="dxa"/>
                  <w:vAlign w:val="center"/>
                </w:tcPr>
                <w:p w14:paraId="1DC13774">
                  <w:pPr>
                    <w:pStyle w:val="45"/>
                    <w:rPr>
                      <w:rFonts w:ascii="Times New Roman" w:hAnsi="Times New Roman" w:cs="Times New Roman"/>
                      <w:szCs w:val="21"/>
                      <w:lang w:val="en-US"/>
                    </w:rPr>
                  </w:pPr>
                  <w:r>
                    <w:rPr>
                      <w:rFonts w:hint="eastAsia" w:ascii="Times New Roman" w:hAnsi="Times New Roman" w:cs="Times New Roman"/>
                      <w:szCs w:val="21"/>
                      <w:lang w:val="en-US"/>
                    </w:rPr>
                    <w:t>导热油</w:t>
                  </w:r>
                </w:p>
              </w:tc>
              <w:tc>
                <w:tcPr>
                  <w:tcW w:w="6892" w:type="dxa"/>
                  <w:vAlign w:val="center"/>
                </w:tcPr>
                <w:p w14:paraId="7578FA58">
                  <w:pPr>
                    <w:autoSpaceDE w:val="0"/>
                    <w:autoSpaceDN w:val="0"/>
                    <w:spacing w:line="240" w:lineRule="auto"/>
                    <w:ind w:firstLine="0" w:firstLineChars="0"/>
                    <w:rPr>
                      <w:szCs w:val="21"/>
                    </w:rPr>
                  </w:pPr>
                  <w:r>
                    <w:rPr>
                      <w:rFonts w:hint="eastAsia"/>
                      <w:sz w:val="21"/>
                      <w:szCs w:val="21"/>
                    </w:rPr>
                    <w:t>属于“润滑剂和有关产品类(L类)，它具有润滑油的一般理化性能，导热油作为传热介质，在高温下使用，热稳定性是其主要性能。导热油通常为琥珀色室温下液体，具有矿物油特性。不同型号的导热油闪点不同，约为16°C—216°C。导热油的密度通常为0.89t/m³。导热油(30#)的自燃温度为30°C，导热油(320#)的自燃温度为320°。危险性：在正常条件下使用，导热油对人体健康不会造成大的危害。但长期或持续接触皮肤而不适当清洗，可能会导致油脂性粉刺/毛囊炎等疾病。用过的油可能包含有害杂质。若摄入，可能会导致恶心、呕吐及/或腹泻。其他性质：导热油的理化性质还与分子间的引力有关，这影响了油的蒸气压、沸点、粘度等性质。</w:t>
                  </w:r>
                </w:p>
              </w:tc>
            </w:tr>
          </w:tbl>
          <w:p w14:paraId="51BCE703">
            <w:pPr>
              <w:numPr>
                <w:ilvl w:val="0"/>
                <w:numId w:val="5"/>
              </w:numPr>
              <w:adjustRightInd w:val="0"/>
              <w:snapToGrid w:val="0"/>
              <w:ind w:firstLine="482"/>
              <w:rPr>
                <w:rFonts w:cs="宋体"/>
                <w:b/>
              </w:rPr>
            </w:pPr>
            <w:r>
              <w:rPr>
                <w:rFonts w:hint="eastAsia" w:cs="宋体"/>
                <w:b/>
              </w:rPr>
              <w:t>生产设备</w:t>
            </w:r>
          </w:p>
          <w:p w14:paraId="01A66859">
            <w:pPr>
              <w:adjustRightInd w:val="0"/>
              <w:snapToGrid w:val="0"/>
              <w:ind w:firstLine="480"/>
              <w:rPr>
                <w:bCs/>
              </w:rPr>
            </w:pPr>
            <w:r>
              <w:rPr>
                <w:rFonts w:hint="eastAsia" w:cs="宋体"/>
                <w:bCs/>
              </w:rPr>
              <w:t>本项目拟购进1套JD2000型强制间歇式沥青混合料搅拌设备，主要设备清单见下表：</w:t>
            </w:r>
          </w:p>
          <w:p w14:paraId="23DDBC0B">
            <w:pPr>
              <w:adjustRightInd w:val="0"/>
              <w:snapToGrid w:val="0"/>
              <w:ind w:firstLine="422"/>
              <w:jc w:val="center"/>
              <w:rPr>
                <w:rFonts w:cs="宋体"/>
                <w:b/>
                <w:sz w:val="21"/>
                <w:szCs w:val="21"/>
              </w:rPr>
            </w:pPr>
            <w:r>
              <w:rPr>
                <w:rFonts w:hint="eastAsia" w:cs="宋体"/>
                <w:b/>
                <w:sz w:val="21"/>
                <w:szCs w:val="21"/>
              </w:rPr>
              <w:t>表</w:t>
            </w:r>
            <w:r>
              <w:rPr>
                <w:b/>
                <w:sz w:val="21"/>
                <w:szCs w:val="21"/>
              </w:rPr>
              <w:t>2-</w:t>
            </w:r>
            <w:r>
              <w:rPr>
                <w:rFonts w:hint="eastAsia"/>
                <w:b/>
                <w:sz w:val="21"/>
                <w:szCs w:val="21"/>
              </w:rPr>
              <w:t>5</w:t>
            </w:r>
            <w:r>
              <w:rPr>
                <w:b/>
                <w:sz w:val="21"/>
                <w:szCs w:val="21"/>
              </w:rPr>
              <w:t xml:space="preserve">  </w:t>
            </w:r>
            <w:r>
              <w:rPr>
                <w:rFonts w:hint="eastAsia"/>
                <w:b/>
                <w:sz w:val="21"/>
                <w:szCs w:val="21"/>
              </w:rPr>
              <w:t>项目主要</w:t>
            </w:r>
            <w:r>
              <w:rPr>
                <w:rFonts w:hint="eastAsia" w:cs="宋体"/>
                <w:b/>
                <w:sz w:val="21"/>
                <w:szCs w:val="21"/>
              </w:rPr>
              <w:t>生产设备一览表</w:t>
            </w:r>
          </w:p>
          <w:tbl>
            <w:tblPr>
              <w:tblStyle w:val="27"/>
              <w:tblW w:w="81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2072"/>
              <w:gridCol w:w="1708"/>
              <w:gridCol w:w="915"/>
              <w:gridCol w:w="2769"/>
            </w:tblGrid>
            <w:tr w14:paraId="1BDBC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703" w:type="dxa"/>
                  <w:vAlign w:val="center"/>
                </w:tcPr>
                <w:p w14:paraId="1302181C">
                  <w:pPr>
                    <w:pStyle w:val="45"/>
                    <w:rPr>
                      <w:rFonts w:ascii="Times New Roman" w:hAnsi="Times New Roman" w:cs="Times New Roman"/>
                      <w:b/>
                      <w:bCs/>
                      <w:szCs w:val="21"/>
                      <w:lang w:val="en-US"/>
                    </w:rPr>
                  </w:pPr>
                  <w:r>
                    <w:rPr>
                      <w:rFonts w:hint="eastAsia" w:ascii="Times New Roman" w:hAnsi="Times New Roman" w:cs="Times New Roman"/>
                      <w:b/>
                      <w:bCs/>
                      <w:szCs w:val="21"/>
                      <w:lang w:val="en-US"/>
                    </w:rPr>
                    <w:t>序号</w:t>
                  </w:r>
                </w:p>
              </w:tc>
              <w:tc>
                <w:tcPr>
                  <w:tcW w:w="2072" w:type="dxa"/>
                  <w:vAlign w:val="center"/>
                </w:tcPr>
                <w:p w14:paraId="388FE499">
                  <w:pPr>
                    <w:pStyle w:val="45"/>
                    <w:rPr>
                      <w:rFonts w:ascii="Times New Roman" w:hAnsi="Times New Roman" w:cs="Times New Roman"/>
                      <w:b/>
                      <w:bCs/>
                      <w:szCs w:val="21"/>
                      <w:lang w:val="en-US"/>
                    </w:rPr>
                  </w:pPr>
                  <w:r>
                    <w:rPr>
                      <w:rFonts w:hint="eastAsia" w:ascii="Times New Roman" w:hAnsi="Times New Roman" w:cs="Times New Roman"/>
                      <w:b/>
                      <w:bCs/>
                      <w:szCs w:val="21"/>
                      <w:lang w:val="en-US"/>
                    </w:rPr>
                    <w:t>设备名称</w:t>
                  </w:r>
                </w:p>
              </w:tc>
              <w:tc>
                <w:tcPr>
                  <w:tcW w:w="1708" w:type="dxa"/>
                  <w:vAlign w:val="center"/>
                </w:tcPr>
                <w:p w14:paraId="3CE2079E">
                  <w:pPr>
                    <w:pStyle w:val="45"/>
                    <w:rPr>
                      <w:rFonts w:ascii="Times New Roman" w:hAnsi="Times New Roman" w:cs="Times New Roman"/>
                      <w:b/>
                      <w:bCs/>
                      <w:szCs w:val="21"/>
                      <w:lang w:val="en-US"/>
                    </w:rPr>
                  </w:pPr>
                  <w:r>
                    <w:rPr>
                      <w:rFonts w:hint="eastAsia" w:ascii="Times New Roman" w:hAnsi="Times New Roman" w:cs="Times New Roman"/>
                      <w:b/>
                      <w:bCs/>
                      <w:szCs w:val="21"/>
                      <w:lang w:val="en-US"/>
                    </w:rPr>
                    <w:t>设备参数或规格</w:t>
                  </w:r>
                </w:p>
              </w:tc>
              <w:tc>
                <w:tcPr>
                  <w:tcW w:w="915" w:type="dxa"/>
                  <w:vAlign w:val="center"/>
                </w:tcPr>
                <w:p w14:paraId="31B224CC">
                  <w:pPr>
                    <w:pStyle w:val="45"/>
                    <w:rPr>
                      <w:rFonts w:ascii="Times New Roman" w:hAnsi="Times New Roman" w:cs="Times New Roman"/>
                      <w:b/>
                      <w:bCs/>
                      <w:szCs w:val="21"/>
                      <w:lang w:val="en-US"/>
                    </w:rPr>
                  </w:pPr>
                  <w:r>
                    <w:rPr>
                      <w:rFonts w:hint="eastAsia" w:ascii="Times New Roman" w:hAnsi="Times New Roman" w:cs="Times New Roman"/>
                      <w:b/>
                      <w:bCs/>
                      <w:szCs w:val="21"/>
                      <w:lang w:val="en-US"/>
                    </w:rPr>
                    <w:t>数量</w:t>
                  </w:r>
                </w:p>
              </w:tc>
              <w:tc>
                <w:tcPr>
                  <w:tcW w:w="2769" w:type="dxa"/>
                  <w:vAlign w:val="center"/>
                </w:tcPr>
                <w:p w14:paraId="7029753D">
                  <w:pPr>
                    <w:pStyle w:val="45"/>
                    <w:rPr>
                      <w:rFonts w:ascii="Times New Roman" w:hAnsi="Times New Roman" w:cs="Times New Roman"/>
                      <w:b/>
                      <w:bCs/>
                      <w:szCs w:val="21"/>
                      <w:lang w:val="en-US"/>
                    </w:rPr>
                  </w:pPr>
                  <w:r>
                    <w:rPr>
                      <w:rFonts w:hint="eastAsia" w:ascii="Times New Roman" w:hAnsi="Times New Roman" w:cs="Times New Roman"/>
                      <w:b/>
                      <w:bCs/>
                      <w:szCs w:val="21"/>
                      <w:lang w:val="en-US"/>
                    </w:rPr>
                    <w:t>用途</w:t>
                  </w:r>
                </w:p>
              </w:tc>
            </w:tr>
            <w:tr w14:paraId="185A0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8167" w:type="dxa"/>
                  <w:gridSpan w:val="5"/>
                  <w:vAlign w:val="center"/>
                </w:tcPr>
                <w:p w14:paraId="4D94524B">
                  <w:pPr>
                    <w:pStyle w:val="45"/>
                    <w:jc w:val="both"/>
                    <w:rPr>
                      <w:rFonts w:ascii="Times New Roman" w:hAnsi="Times New Roman" w:cs="Times New Roman"/>
                      <w:b/>
                      <w:bCs/>
                      <w:szCs w:val="21"/>
                      <w:lang w:val="en-US"/>
                    </w:rPr>
                  </w:pPr>
                  <w:r>
                    <w:rPr>
                      <w:rFonts w:hint="eastAsia" w:ascii="Times New Roman" w:hAnsi="Times New Roman" w:cs="Times New Roman"/>
                      <w:b/>
                      <w:bCs/>
                      <w:szCs w:val="21"/>
                      <w:lang w:val="en-US"/>
                    </w:rPr>
                    <w:t>一、冷料系统</w:t>
                  </w:r>
                </w:p>
              </w:tc>
            </w:tr>
            <w:tr w14:paraId="10693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703" w:type="dxa"/>
                  <w:vAlign w:val="center"/>
                </w:tcPr>
                <w:p w14:paraId="1D15148B">
                  <w:pPr>
                    <w:pStyle w:val="45"/>
                    <w:rPr>
                      <w:rFonts w:ascii="Times New Roman" w:hAnsi="Times New Roman" w:cs="Times New Roman"/>
                      <w:szCs w:val="21"/>
                      <w:lang w:val="en-US"/>
                    </w:rPr>
                  </w:pPr>
                  <w:r>
                    <w:rPr>
                      <w:rFonts w:hint="eastAsia" w:ascii="Times New Roman" w:hAnsi="Times New Roman" w:cs="Times New Roman"/>
                      <w:szCs w:val="21"/>
                      <w:lang w:val="en-US"/>
                    </w:rPr>
                    <w:t>1</w:t>
                  </w:r>
                </w:p>
              </w:tc>
              <w:tc>
                <w:tcPr>
                  <w:tcW w:w="2072" w:type="dxa"/>
                  <w:vAlign w:val="center"/>
                </w:tcPr>
                <w:p w14:paraId="06281A4B">
                  <w:pPr>
                    <w:pStyle w:val="45"/>
                    <w:rPr>
                      <w:rFonts w:ascii="Times New Roman" w:hAnsi="Times New Roman" w:cs="Times New Roman"/>
                      <w:szCs w:val="21"/>
                      <w:lang w:val="en-US"/>
                    </w:rPr>
                  </w:pPr>
                  <w:r>
                    <w:rPr>
                      <w:rFonts w:hint="eastAsia" w:ascii="Times New Roman" w:hAnsi="Times New Roman" w:cs="Times New Roman"/>
                      <w:szCs w:val="21"/>
                      <w:lang w:val="en-US"/>
                    </w:rPr>
                    <w:t>冷料仓</w:t>
                  </w:r>
                </w:p>
              </w:tc>
              <w:tc>
                <w:tcPr>
                  <w:tcW w:w="1708" w:type="dxa"/>
                  <w:vAlign w:val="center"/>
                </w:tcPr>
                <w:p w14:paraId="25A5C16A">
                  <w:pPr>
                    <w:pStyle w:val="45"/>
                    <w:rPr>
                      <w:rFonts w:ascii="Times New Roman" w:hAnsi="Times New Roman" w:cs="Times New Roman"/>
                      <w:szCs w:val="21"/>
                      <w:lang w:val="en-US"/>
                    </w:rPr>
                  </w:pPr>
                  <w:r>
                    <w:rPr>
                      <w:rFonts w:hint="eastAsia" w:ascii="Times New Roman" w:hAnsi="Times New Roman" w:cs="Times New Roman"/>
                      <w:szCs w:val="21"/>
                      <w:lang w:val="en-US"/>
                    </w:rPr>
                    <w:t>10m³</w:t>
                  </w:r>
                </w:p>
              </w:tc>
              <w:tc>
                <w:tcPr>
                  <w:tcW w:w="915" w:type="dxa"/>
                  <w:vAlign w:val="center"/>
                </w:tcPr>
                <w:p w14:paraId="60C795D5">
                  <w:pPr>
                    <w:pStyle w:val="45"/>
                    <w:rPr>
                      <w:rFonts w:ascii="Times New Roman" w:hAnsi="Times New Roman" w:cs="Times New Roman"/>
                      <w:szCs w:val="21"/>
                      <w:lang w:val="en-US"/>
                    </w:rPr>
                  </w:pPr>
                  <w:r>
                    <w:rPr>
                      <w:rFonts w:hint="eastAsia" w:ascii="Times New Roman" w:hAnsi="Times New Roman" w:cs="Times New Roman"/>
                      <w:szCs w:val="21"/>
                      <w:lang w:val="en-US"/>
                    </w:rPr>
                    <w:t>4个</w:t>
                  </w:r>
                </w:p>
              </w:tc>
              <w:tc>
                <w:tcPr>
                  <w:tcW w:w="2769" w:type="dxa"/>
                  <w:vAlign w:val="center"/>
                </w:tcPr>
                <w:p w14:paraId="3533C631">
                  <w:pPr>
                    <w:pStyle w:val="45"/>
                    <w:rPr>
                      <w:rFonts w:ascii="Times New Roman" w:hAnsi="Times New Roman" w:cs="Times New Roman"/>
                      <w:szCs w:val="21"/>
                      <w:lang w:val="en-US"/>
                    </w:rPr>
                  </w:pPr>
                  <w:r>
                    <w:rPr>
                      <w:rFonts w:hint="eastAsia" w:ascii="Times New Roman" w:hAnsi="Times New Roman" w:cs="Times New Roman"/>
                      <w:szCs w:val="21"/>
                      <w:lang w:val="en-US"/>
                    </w:rPr>
                    <w:t>为砂石骨料进料仓</w:t>
                  </w:r>
                </w:p>
              </w:tc>
            </w:tr>
            <w:tr w14:paraId="13632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703" w:type="dxa"/>
                  <w:vAlign w:val="center"/>
                </w:tcPr>
                <w:p w14:paraId="6D6152DB">
                  <w:pPr>
                    <w:pStyle w:val="45"/>
                    <w:rPr>
                      <w:rFonts w:ascii="Times New Roman" w:hAnsi="Times New Roman" w:cs="Times New Roman"/>
                      <w:szCs w:val="21"/>
                      <w:lang w:val="en-US"/>
                    </w:rPr>
                  </w:pPr>
                  <w:r>
                    <w:rPr>
                      <w:rFonts w:hint="eastAsia" w:ascii="Times New Roman" w:hAnsi="Times New Roman" w:cs="Times New Roman"/>
                      <w:szCs w:val="21"/>
                      <w:lang w:val="en-US"/>
                    </w:rPr>
                    <w:t>2</w:t>
                  </w:r>
                </w:p>
              </w:tc>
              <w:tc>
                <w:tcPr>
                  <w:tcW w:w="2072" w:type="dxa"/>
                  <w:vAlign w:val="center"/>
                </w:tcPr>
                <w:p w14:paraId="46D65DCD">
                  <w:pPr>
                    <w:pStyle w:val="45"/>
                    <w:rPr>
                      <w:rFonts w:ascii="Times New Roman" w:hAnsi="Times New Roman" w:cs="Times New Roman"/>
                      <w:szCs w:val="21"/>
                      <w:lang w:val="en-US"/>
                    </w:rPr>
                  </w:pPr>
                  <w:r>
                    <w:rPr>
                      <w:rFonts w:hint="eastAsia"/>
                      <w:szCs w:val="21"/>
                    </w:rPr>
                    <w:t>给料机</w:t>
                  </w:r>
                </w:p>
              </w:tc>
              <w:tc>
                <w:tcPr>
                  <w:tcW w:w="1708" w:type="dxa"/>
                  <w:vAlign w:val="center"/>
                </w:tcPr>
                <w:p w14:paraId="0CC633FF">
                  <w:pPr>
                    <w:pStyle w:val="45"/>
                    <w:rPr>
                      <w:rFonts w:ascii="Times New Roman" w:hAnsi="Times New Roman" w:cs="Times New Roman"/>
                      <w:szCs w:val="21"/>
                      <w:lang w:val="en-US"/>
                    </w:rPr>
                  </w:pPr>
                  <w:r>
                    <w:rPr>
                      <w:rFonts w:hint="eastAsia" w:ascii="Times New Roman" w:hAnsi="Times New Roman" w:cs="Times New Roman"/>
                      <w:szCs w:val="21"/>
                      <w:lang w:val="en-US"/>
                    </w:rPr>
                    <w:t>2.2KW</w:t>
                  </w:r>
                </w:p>
              </w:tc>
              <w:tc>
                <w:tcPr>
                  <w:tcW w:w="915" w:type="dxa"/>
                  <w:vAlign w:val="center"/>
                </w:tcPr>
                <w:p w14:paraId="21886B86">
                  <w:pPr>
                    <w:pStyle w:val="45"/>
                    <w:rPr>
                      <w:rFonts w:ascii="Times New Roman" w:hAnsi="Times New Roman" w:cs="Times New Roman"/>
                      <w:szCs w:val="21"/>
                      <w:lang w:val="en-US"/>
                    </w:rPr>
                  </w:pPr>
                  <w:r>
                    <w:rPr>
                      <w:rFonts w:hint="eastAsia" w:ascii="Times New Roman" w:hAnsi="Times New Roman" w:cs="Times New Roman"/>
                      <w:szCs w:val="21"/>
                      <w:lang w:val="en-US"/>
                    </w:rPr>
                    <w:t>4台</w:t>
                  </w:r>
                </w:p>
              </w:tc>
              <w:tc>
                <w:tcPr>
                  <w:tcW w:w="2769" w:type="dxa"/>
                  <w:vAlign w:val="center"/>
                </w:tcPr>
                <w:p w14:paraId="22780882">
                  <w:pPr>
                    <w:pStyle w:val="45"/>
                    <w:rPr>
                      <w:rFonts w:ascii="Times New Roman" w:hAnsi="Times New Roman" w:cs="Times New Roman"/>
                      <w:szCs w:val="21"/>
                      <w:lang w:val="en-US"/>
                    </w:rPr>
                  </w:pPr>
                  <w:r>
                    <w:rPr>
                      <w:rFonts w:hint="eastAsia" w:ascii="Times New Roman" w:hAnsi="Times New Roman" w:cs="Times New Roman"/>
                      <w:szCs w:val="21"/>
                      <w:lang w:val="en-US"/>
                    </w:rPr>
                    <w:t>将冷料仓中的物料定量送出</w:t>
                  </w:r>
                </w:p>
              </w:tc>
            </w:tr>
            <w:tr w14:paraId="6D92B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703" w:type="dxa"/>
                  <w:vAlign w:val="center"/>
                </w:tcPr>
                <w:p w14:paraId="7AE2E54B">
                  <w:pPr>
                    <w:pStyle w:val="45"/>
                    <w:rPr>
                      <w:rFonts w:ascii="Times New Roman" w:hAnsi="Times New Roman" w:cs="Times New Roman"/>
                      <w:szCs w:val="21"/>
                      <w:lang w:val="en-US"/>
                    </w:rPr>
                  </w:pPr>
                  <w:r>
                    <w:rPr>
                      <w:rFonts w:hint="eastAsia" w:ascii="Times New Roman" w:hAnsi="Times New Roman" w:cs="Times New Roman"/>
                      <w:szCs w:val="21"/>
                      <w:lang w:val="en-US"/>
                    </w:rPr>
                    <w:t>3</w:t>
                  </w:r>
                </w:p>
              </w:tc>
              <w:tc>
                <w:tcPr>
                  <w:tcW w:w="2072" w:type="dxa"/>
                  <w:vAlign w:val="center"/>
                </w:tcPr>
                <w:p w14:paraId="6E93B0D2">
                  <w:pPr>
                    <w:pStyle w:val="45"/>
                    <w:rPr>
                      <w:rFonts w:ascii="Times New Roman" w:hAnsi="Times New Roman" w:cs="Times New Roman"/>
                      <w:szCs w:val="21"/>
                      <w:lang w:val="en-US"/>
                    </w:rPr>
                  </w:pPr>
                  <w:r>
                    <w:rPr>
                      <w:rFonts w:hint="eastAsia" w:ascii="Times New Roman" w:hAnsi="Times New Roman" w:cs="Times New Roman"/>
                      <w:szCs w:val="21"/>
                      <w:lang w:val="en-US"/>
                    </w:rPr>
                    <w:t>振动马达</w:t>
                  </w:r>
                </w:p>
              </w:tc>
              <w:tc>
                <w:tcPr>
                  <w:tcW w:w="1708" w:type="dxa"/>
                  <w:vAlign w:val="center"/>
                </w:tcPr>
                <w:p w14:paraId="2737AB49">
                  <w:pPr>
                    <w:pStyle w:val="45"/>
                    <w:rPr>
                      <w:rFonts w:ascii="Times New Roman" w:hAnsi="Times New Roman" w:cs="Times New Roman"/>
                      <w:szCs w:val="21"/>
                      <w:lang w:val="en-US"/>
                    </w:rPr>
                  </w:pPr>
                  <w:r>
                    <w:rPr>
                      <w:rFonts w:hint="eastAsia" w:ascii="Times New Roman" w:hAnsi="Times New Roman" w:cs="Times New Roman"/>
                      <w:szCs w:val="21"/>
                      <w:lang w:val="en-US"/>
                    </w:rPr>
                    <w:t>160W</w:t>
                  </w:r>
                </w:p>
              </w:tc>
              <w:tc>
                <w:tcPr>
                  <w:tcW w:w="915" w:type="dxa"/>
                  <w:vAlign w:val="center"/>
                </w:tcPr>
                <w:p w14:paraId="3151EB65">
                  <w:pPr>
                    <w:pStyle w:val="45"/>
                    <w:rPr>
                      <w:rFonts w:ascii="Times New Roman" w:hAnsi="Times New Roman" w:cs="Times New Roman"/>
                      <w:szCs w:val="21"/>
                      <w:lang w:val="en-US"/>
                    </w:rPr>
                  </w:pPr>
                  <w:r>
                    <w:rPr>
                      <w:rFonts w:hint="eastAsia" w:ascii="Times New Roman" w:hAnsi="Times New Roman" w:cs="Times New Roman"/>
                      <w:szCs w:val="21"/>
                      <w:lang w:val="en-US"/>
                    </w:rPr>
                    <w:t>2台</w:t>
                  </w:r>
                </w:p>
              </w:tc>
              <w:tc>
                <w:tcPr>
                  <w:tcW w:w="2769" w:type="dxa"/>
                  <w:vAlign w:val="center"/>
                </w:tcPr>
                <w:p w14:paraId="60F3FD5B">
                  <w:pPr>
                    <w:pStyle w:val="45"/>
                    <w:rPr>
                      <w:rFonts w:ascii="Times New Roman" w:hAnsi="Times New Roman" w:cs="Times New Roman"/>
                      <w:szCs w:val="21"/>
                      <w:lang w:val="en-US"/>
                    </w:rPr>
                  </w:pPr>
                  <w:r>
                    <w:rPr>
                      <w:rFonts w:hint="eastAsia" w:ascii="Times New Roman" w:hAnsi="Times New Roman" w:cs="Times New Roman"/>
                      <w:szCs w:val="21"/>
                      <w:lang w:val="en-US"/>
                    </w:rPr>
                    <w:t>疏松冷料仓物料</w:t>
                  </w:r>
                </w:p>
              </w:tc>
            </w:tr>
            <w:tr w14:paraId="29701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exact"/>
              </w:trPr>
              <w:tc>
                <w:tcPr>
                  <w:tcW w:w="703" w:type="dxa"/>
                  <w:vAlign w:val="center"/>
                </w:tcPr>
                <w:p w14:paraId="1F624998">
                  <w:pPr>
                    <w:pStyle w:val="45"/>
                    <w:rPr>
                      <w:rFonts w:ascii="Times New Roman" w:hAnsi="Times New Roman" w:cs="Times New Roman"/>
                      <w:szCs w:val="21"/>
                      <w:lang w:val="en-US"/>
                    </w:rPr>
                  </w:pPr>
                  <w:r>
                    <w:rPr>
                      <w:rFonts w:hint="eastAsia" w:ascii="Times New Roman" w:hAnsi="Times New Roman" w:cs="Times New Roman"/>
                      <w:szCs w:val="21"/>
                      <w:lang w:val="en-US"/>
                    </w:rPr>
                    <w:t>4</w:t>
                  </w:r>
                </w:p>
              </w:tc>
              <w:tc>
                <w:tcPr>
                  <w:tcW w:w="2072" w:type="dxa"/>
                  <w:vAlign w:val="center"/>
                </w:tcPr>
                <w:p w14:paraId="1307AD74">
                  <w:pPr>
                    <w:pStyle w:val="45"/>
                    <w:rPr>
                      <w:rFonts w:ascii="Times New Roman" w:hAnsi="Times New Roman" w:cs="Times New Roman"/>
                      <w:szCs w:val="21"/>
                      <w:lang w:val="en-US"/>
                    </w:rPr>
                  </w:pPr>
                  <w:r>
                    <w:rPr>
                      <w:rFonts w:hint="eastAsia" w:ascii="Times New Roman" w:hAnsi="Times New Roman" w:cs="Times New Roman"/>
                      <w:szCs w:val="21"/>
                      <w:lang w:val="en-US"/>
                    </w:rPr>
                    <w:t>集料皮带输送机</w:t>
                  </w:r>
                </w:p>
              </w:tc>
              <w:tc>
                <w:tcPr>
                  <w:tcW w:w="1708" w:type="dxa"/>
                  <w:vAlign w:val="center"/>
                </w:tcPr>
                <w:p w14:paraId="0EA87B4A">
                  <w:pPr>
                    <w:pStyle w:val="45"/>
                    <w:rPr>
                      <w:rFonts w:ascii="Times New Roman" w:hAnsi="Times New Roman" w:cs="Times New Roman"/>
                      <w:szCs w:val="21"/>
                      <w:lang w:val="en-US"/>
                    </w:rPr>
                  </w:pPr>
                  <w:r>
                    <w:rPr>
                      <w:rFonts w:hint="eastAsia" w:ascii="Times New Roman" w:hAnsi="Times New Roman" w:cs="Times New Roman"/>
                      <w:szCs w:val="21"/>
                      <w:lang w:val="en-US"/>
                    </w:rPr>
                    <w:t>5.5KW</w:t>
                  </w:r>
                </w:p>
              </w:tc>
              <w:tc>
                <w:tcPr>
                  <w:tcW w:w="915" w:type="dxa"/>
                  <w:vAlign w:val="center"/>
                </w:tcPr>
                <w:p w14:paraId="3EF5D202">
                  <w:pPr>
                    <w:pStyle w:val="45"/>
                    <w:rPr>
                      <w:rFonts w:ascii="Times New Roman" w:hAnsi="Times New Roman" w:cs="Times New Roman"/>
                      <w:szCs w:val="21"/>
                      <w:lang w:val="en-US"/>
                    </w:rPr>
                  </w:pPr>
                  <w:r>
                    <w:rPr>
                      <w:rFonts w:hint="eastAsia" w:ascii="Times New Roman" w:hAnsi="Times New Roman" w:cs="Times New Roman"/>
                      <w:szCs w:val="21"/>
                      <w:lang w:val="en-US"/>
                    </w:rPr>
                    <w:t>1台</w:t>
                  </w:r>
                </w:p>
              </w:tc>
              <w:tc>
                <w:tcPr>
                  <w:tcW w:w="2769" w:type="dxa"/>
                  <w:vAlign w:val="center"/>
                </w:tcPr>
                <w:p w14:paraId="4948E9CA">
                  <w:pPr>
                    <w:pStyle w:val="45"/>
                    <w:rPr>
                      <w:rFonts w:ascii="Times New Roman" w:hAnsi="Times New Roman" w:cs="Times New Roman"/>
                      <w:szCs w:val="21"/>
                      <w:lang w:val="en-US"/>
                    </w:rPr>
                  </w:pPr>
                  <w:r>
                    <w:rPr>
                      <w:rFonts w:hint="eastAsia" w:ascii="Times New Roman" w:hAnsi="Times New Roman" w:cs="Times New Roman"/>
                      <w:szCs w:val="21"/>
                      <w:lang w:val="en-US"/>
                    </w:rPr>
                    <w:t>集中给料机送出的物料并输送到下一环节</w:t>
                  </w:r>
                </w:p>
              </w:tc>
            </w:tr>
            <w:tr w14:paraId="4196B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exact"/>
              </w:trPr>
              <w:tc>
                <w:tcPr>
                  <w:tcW w:w="703" w:type="dxa"/>
                  <w:vAlign w:val="center"/>
                </w:tcPr>
                <w:p w14:paraId="46DA50B3">
                  <w:pPr>
                    <w:pStyle w:val="45"/>
                    <w:rPr>
                      <w:rFonts w:ascii="Times New Roman" w:hAnsi="Times New Roman" w:cs="Times New Roman"/>
                      <w:szCs w:val="21"/>
                      <w:lang w:val="en-US"/>
                    </w:rPr>
                  </w:pPr>
                  <w:r>
                    <w:rPr>
                      <w:rFonts w:ascii="Times New Roman" w:hAnsi="Times New Roman" w:cs="Times New Roman"/>
                      <w:szCs w:val="21"/>
                      <w:lang w:val="en-US"/>
                    </w:rPr>
                    <w:t>5</w:t>
                  </w:r>
                </w:p>
              </w:tc>
              <w:tc>
                <w:tcPr>
                  <w:tcW w:w="2072" w:type="dxa"/>
                  <w:vAlign w:val="center"/>
                </w:tcPr>
                <w:p w14:paraId="31A1C20B">
                  <w:pPr>
                    <w:pStyle w:val="45"/>
                    <w:rPr>
                      <w:rFonts w:ascii="Times New Roman" w:hAnsi="Times New Roman" w:cs="Times New Roman"/>
                      <w:szCs w:val="21"/>
                      <w:lang w:val="en-US"/>
                    </w:rPr>
                  </w:pPr>
                  <w:r>
                    <w:rPr>
                      <w:rFonts w:ascii="Times New Roman" w:hAnsi="Times New Roman" w:cs="Times New Roman"/>
                      <w:szCs w:val="21"/>
                      <w:lang w:val="en-US"/>
                    </w:rPr>
                    <w:t>斜皮带喂料机</w:t>
                  </w:r>
                </w:p>
              </w:tc>
              <w:tc>
                <w:tcPr>
                  <w:tcW w:w="1708" w:type="dxa"/>
                  <w:vAlign w:val="center"/>
                </w:tcPr>
                <w:p w14:paraId="5A50D508">
                  <w:pPr>
                    <w:pStyle w:val="45"/>
                    <w:rPr>
                      <w:rFonts w:ascii="Times New Roman" w:hAnsi="Times New Roman" w:cs="Times New Roman"/>
                      <w:szCs w:val="21"/>
                      <w:lang w:val="en-US"/>
                    </w:rPr>
                  </w:pPr>
                  <w:r>
                    <w:rPr>
                      <w:rFonts w:ascii="Times New Roman" w:hAnsi="Times New Roman" w:cs="Times New Roman"/>
                      <w:szCs w:val="21"/>
                      <w:lang w:val="en-US"/>
                    </w:rPr>
                    <w:t>5.5KW</w:t>
                  </w:r>
                </w:p>
              </w:tc>
              <w:tc>
                <w:tcPr>
                  <w:tcW w:w="915" w:type="dxa"/>
                  <w:vAlign w:val="center"/>
                </w:tcPr>
                <w:p w14:paraId="1B4DCB79">
                  <w:pPr>
                    <w:pStyle w:val="45"/>
                    <w:rPr>
                      <w:rFonts w:ascii="Times New Roman" w:hAnsi="Times New Roman" w:cs="Times New Roman"/>
                      <w:szCs w:val="21"/>
                      <w:lang w:val="en-US"/>
                    </w:rPr>
                  </w:pPr>
                  <w:r>
                    <w:rPr>
                      <w:rFonts w:ascii="Times New Roman" w:hAnsi="Times New Roman" w:cs="Times New Roman"/>
                      <w:szCs w:val="21"/>
                      <w:lang w:val="en-US"/>
                    </w:rPr>
                    <w:t>1台</w:t>
                  </w:r>
                </w:p>
              </w:tc>
              <w:tc>
                <w:tcPr>
                  <w:tcW w:w="2769" w:type="dxa"/>
                  <w:vAlign w:val="center"/>
                </w:tcPr>
                <w:p w14:paraId="0B4CA066">
                  <w:pPr>
                    <w:pStyle w:val="45"/>
                    <w:rPr>
                      <w:rFonts w:ascii="Times New Roman" w:hAnsi="Times New Roman" w:cs="Times New Roman"/>
                      <w:szCs w:val="21"/>
                      <w:lang w:val="en-US"/>
                    </w:rPr>
                  </w:pPr>
                  <w:r>
                    <w:rPr>
                      <w:rFonts w:ascii="Times New Roman" w:hAnsi="Times New Roman" w:cs="Times New Roman"/>
                      <w:szCs w:val="21"/>
                      <w:lang w:val="en-US"/>
                    </w:rPr>
                    <w:t>将输送机送来的物料提升送入烘干滚筒</w:t>
                  </w:r>
                </w:p>
              </w:tc>
            </w:tr>
            <w:tr w14:paraId="11F53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8167" w:type="dxa"/>
                  <w:gridSpan w:val="5"/>
                  <w:vAlign w:val="center"/>
                </w:tcPr>
                <w:p w14:paraId="09E5C985">
                  <w:pPr>
                    <w:pStyle w:val="45"/>
                    <w:jc w:val="both"/>
                    <w:rPr>
                      <w:rFonts w:ascii="Times New Roman" w:hAnsi="Times New Roman" w:cs="Times New Roman"/>
                      <w:szCs w:val="21"/>
                      <w:lang w:val="en-US"/>
                    </w:rPr>
                  </w:pPr>
                  <w:r>
                    <w:rPr>
                      <w:rFonts w:ascii="Times New Roman" w:hAnsi="Times New Roman" w:cs="Times New Roman"/>
                      <w:b/>
                      <w:bCs/>
                      <w:szCs w:val="21"/>
                      <w:lang w:val="en-US"/>
                    </w:rPr>
                    <w:t>二、烘干系统</w:t>
                  </w:r>
                </w:p>
              </w:tc>
            </w:tr>
            <w:tr w14:paraId="33E91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exact"/>
              </w:trPr>
              <w:tc>
                <w:tcPr>
                  <w:tcW w:w="703" w:type="dxa"/>
                  <w:vAlign w:val="center"/>
                </w:tcPr>
                <w:p w14:paraId="24D9C707">
                  <w:pPr>
                    <w:pStyle w:val="45"/>
                    <w:rPr>
                      <w:rFonts w:ascii="Times New Roman" w:hAnsi="Times New Roman" w:cs="Times New Roman"/>
                      <w:szCs w:val="21"/>
                      <w:lang w:val="en-US"/>
                    </w:rPr>
                  </w:pPr>
                  <w:r>
                    <w:rPr>
                      <w:rFonts w:ascii="Times New Roman" w:hAnsi="Times New Roman" w:cs="Times New Roman"/>
                      <w:szCs w:val="21"/>
                      <w:lang w:val="en-US"/>
                    </w:rPr>
                    <w:t>1</w:t>
                  </w:r>
                </w:p>
              </w:tc>
              <w:tc>
                <w:tcPr>
                  <w:tcW w:w="2072" w:type="dxa"/>
                  <w:shd w:val="clear" w:color="auto" w:fill="auto"/>
                  <w:vAlign w:val="center"/>
                </w:tcPr>
                <w:p w14:paraId="0279398B">
                  <w:pPr>
                    <w:pStyle w:val="45"/>
                    <w:rPr>
                      <w:rFonts w:ascii="Times New Roman" w:hAnsi="Times New Roman" w:cs="Times New Roman"/>
                      <w:szCs w:val="21"/>
                      <w:lang w:val="en-US"/>
                    </w:rPr>
                  </w:pPr>
                  <w:r>
                    <w:rPr>
                      <w:rFonts w:ascii="Times New Roman" w:hAnsi="Times New Roman" w:cs="Times New Roman"/>
                      <w:szCs w:val="21"/>
                    </w:rPr>
                    <w:t>烘干滚筒</w:t>
                  </w:r>
                </w:p>
              </w:tc>
              <w:tc>
                <w:tcPr>
                  <w:tcW w:w="1708" w:type="dxa"/>
                  <w:shd w:val="clear" w:color="auto" w:fill="auto"/>
                  <w:vAlign w:val="center"/>
                </w:tcPr>
                <w:p w14:paraId="20B205A1">
                  <w:pPr>
                    <w:pStyle w:val="45"/>
                    <w:rPr>
                      <w:rFonts w:ascii="Times New Roman" w:hAnsi="Times New Roman" w:cs="Times New Roman"/>
                      <w:szCs w:val="21"/>
                      <w:lang w:val="en-US"/>
                    </w:rPr>
                  </w:pPr>
                  <w:r>
                    <w:rPr>
                      <w:rFonts w:ascii="Times New Roman" w:hAnsi="Times New Roman" w:cs="Times New Roman"/>
                      <w:szCs w:val="21"/>
                    </w:rPr>
                    <w:t>2.13m×8.22m(直径×长度)</w:t>
                  </w:r>
                </w:p>
              </w:tc>
              <w:tc>
                <w:tcPr>
                  <w:tcW w:w="915" w:type="dxa"/>
                  <w:shd w:val="clear" w:color="auto" w:fill="auto"/>
                  <w:vAlign w:val="center"/>
                </w:tcPr>
                <w:p w14:paraId="77FFAC0E">
                  <w:pPr>
                    <w:pStyle w:val="45"/>
                    <w:rPr>
                      <w:rFonts w:ascii="Times New Roman" w:hAnsi="Times New Roman" w:cs="Times New Roman"/>
                      <w:szCs w:val="21"/>
                      <w:lang w:val="en-US"/>
                    </w:rPr>
                  </w:pPr>
                  <w:r>
                    <w:rPr>
                      <w:rFonts w:ascii="Times New Roman" w:hAnsi="Times New Roman" w:cs="Times New Roman"/>
                      <w:szCs w:val="21"/>
                      <w:lang w:val="en-US"/>
                    </w:rPr>
                    <w:t>1台</w:t>
                  </w:r>
                </w:p>
              </w:tc>
              <w:tc>
                <w:tcPr>
                  <w:tcW w:w="2769" w:type="dxa"/>
                  <w:shd w:val="clear" w:color="auto" w:fill="auto"/>
                  <w:vAlign w:val="center"/>
                </w:tcPr>
                <w:p w14:paraId="43992508">
                  <w:pPr>
                    <w:pStyle w:val="45"/>
                    <w:rPr>
                      <w:rFonts w:ascii="Times New Roman" w:hAnsi="Times New Roman" w:cs="Times New Roman"/>
                      <w:szCs w:val="21"/>
                      <w:lang w:val="en-US"/>
                    </w:rPr>
                  </w:pPr>
                  <w:r>
                    <w:rPr>
                      <w:rFonts w:ascii="Times New Roman" w:hAnsi="Times New Roman" w:cs="Times New Roman"/>
                      <w:szCs w:val="21"/>
                      <w:lang w:val="en-US"/>
                    </w:rPr>
                    <w:t>砂石骨料烘干</w:t>
                  </w:r>
                </w:p>
              </w:tc>
            </w:tr>
            <w:tr w14:paraId="56817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exact"/>
              </w:trPr>
              <w:tc>
                <w:tcPr>
                  <w:tcW w:w="703" w:type="dxa"/>
                  <w:vAlign w:val="center"/>
                </w:tcPr>
                <w:p w14:paraId="5B2C37B9">
                  <w:pPr>
                    <w:pStyle w:val="45"/>
                    <w:rPr>
                      <w:rFonts w:ascii="Times New Roman" w:hAnsi="Times New Roman" w:cs="Times New Roman"/>
                      <w:szCs w:val="21"/>
                      <w:lang w:val="en-US"/>
                    </w:rPr>
                  </w:pPr>
                  <w:r>
                    <w:rPr>
                      <w:rFonts w:ascii="Times New Roman" w:hAnsi="Times New Roman" w:cs="Times New Roman"/>
                      <w:szCs w:val="21"/>
                      <w:lang w:val="en-US"/>
                    </w:rPr>
                    <w:t>2</w:t>
                  </w:r>
                </w:p>
              </w:tc>
              <w:tc>
                <w:tcPr>
                  <w:tcW w:w="2072" w:type="dxa"/>
                  <w:shd w:val="clear" w:color="auto" w:fill="auto"/>
                  <w:vAlign w:val="center"/>
                </w:tcPr>
                <w:p w14:paraId="4896715D">
                  <w:pPr>
                    <w:pStyle w:val="45"/>
                    <w:rPr>
                      <w:rFonts w:ascii="Times New Roman" w:hAnsi="Times New Roman" w:cs="Times New Roman"/>
                      <w:szCs w:val="21"/>
                      <w:lang w:val="en-US"/>
                    </w:rPr>
                  </w:pPr>
                  <w:r>
                    <w:rPr>
                      <w:rFonts w:ascii="Times New Roman" w:hAnsi="Times New Roman" w:cs="Times New Roman"/>
                      <w:szCs w:val="21"/>
                    </w:rPr>
                    <w:t>压力喷射式主喷燃器</w:t>
                  </w:r>
                </w:p>
              </w:tc>
              <w:tc>
                <w:tcPr>
                  <w:tcW w:w="1708" w:type="dxa"/>
                  <w:shd w:val="clear" w:color="auto" w:fill="auto"/>
                  <w:vAlign w:val="center"/>
                </w:tcPr>
                <w:p w14:paraId="799AA8A6">
                  <w:pPr>
                    <w:pStyle w:val="45"/>
                    <w:rPr>
                      <w:rFonts w:ascii="Times New Roman" w:hAnsi="Times New Roman" w:cs="Times New Roman"/>
                      <w:szCs w:val="21"/>
                      <w:lang w:val="en-US"/>
                    </w:rPr>
                  </w:pPr>
                  <w:r>
                    <w:rPr>
                      <w:rFonts w:ascii="Times New Roman" w:hAnsi="Times New Roman" w:cs="Times New Roman"/>
                      <w:szCs w:val="21"/>
                    </w:rPr>
                    <w:t>GIANT-JZY15型</w:t>
                  </w:r>
                </w:p>
              </w:tc>
              <w:tc>
                <w:tcPr>
                  <w:tcW w:w="915" w:type="dxa"/>
                  <w:shd w:val="clear" w:color="auto" w:fill="auto"/>
                  <w:vAlign w:val="center"/>
                </w:tcPr>
                <w:p w14:paraId="7D153758">
                  <w:pPr>
                    <w:pStyle w:val="45"/>
                    <w:rPr>
                      <w:rFonts w:ascii="Times New Roman" w:hAnsi="Times New Roman" w:cs="Times New Roman"/>
                      <w:szCs w:val="21"/>
                      <w:lang w:val="en-US"/>
                    </w:rPr>
                  </w:pPr>
                  <w:r>
                    <w:rPr>
                      <w:rFonts w:ascii="Times New Roman" w:hAnsi="Times New Roman" w:cs="Times New Roman"/>
                      <w:szCs w:val="21"/>
                      <w:lang w:val="en-US"/>
                    </w:rPr>
                    <w:t>1台</w:t>
                  </w:r>
                </w:p>
              </w:tc>
              <w:tc>
                <w:tcPr>
                  <w:tcW w:w="2769" w:type="dxa"/>
                  <w:shd w:val="clear" w:color="auto" w:fill="auto"/>
                  <w:vAlign w:val="center"/>
                </w:tcPr>
                <w:p w14:paraId="49E68254">
                  <w:pPr>
                    <w:pStyle w:val="45"/>
                    <w:rPr>
                      <w:rFonts w:ascii="Times New Roman" w:hAnsi="Times New Roman" w:cs="Times New Roman"/>
                      <w:szCs w:val="21"/>
                      <w:lang w:val="en-US"/>
                    </w:rPr>
                  </w:pPr>
                  <w:r>
                    <w:rPr>
                      <w:rFonts w:ascii="Times New Roman" w:hAnsi="Times New Roman" w:cs="Times New Roman"/>
                      <w:szCs w:val="21"/>
                      <w:lang w:val="en-US"/>
                    </w:rPr>
                    <w:t>燃料柴油喷射</w:t>
                  </w:r>
                </w:p>
              </w:tc>
            </w:tr>
            <w:tr w14:paraId="22FF6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703" w:type="dxa"/>
                  <w:vAlign w:val="center"/>
                </w:tcPr>
                <w:p w14:paraId="1EAFB807">
                  <w:pPr>
                    <w:pStyle w:val="45"/>
                    <w:rPr>
                      <w:rFonts w:ascii="Times New Roman" w:hAnsi="Times New Roman" w:cs="Times New Roman"/>
                      <w:szCs w:val="21"/>
                      <w:lang w:val="en-US"/>
                    </w:rPr>
                  </w:pPr>
                  <w:r>
                    <w:rPr>
                      <w:rFonts w:ascii="Times New Roman" w:hAnsi="Times New Roman" w:cs="Times New Roman"/>
                      <w:szCs w:val="21"/>
                      <w:lang w:val="en-US"/>
                    </w:rPr>
                    <w:t>3</w:t>
                  </w:r>
                </w:p>
                <w:p w14:paraId="3AC40A8A">
                  <w:pPr>
                    <w:pStyle w:val="45"/>
                    <w:rPr>
                      <w:rFonts w:ascii="Times New Roman" w:hAnsi="Times New Roman" w:cs="Times New Roman"/>
                      <w:szCs w:val="21"/>
                      <w:lang w:val="en-US"/>
                    </w:rPr>
                  </w:pPr>
                </w:p>
              </w:tc>
              <w:tc>
                <w:tcPr>
                  <w:tcW w:w="2072" w:type="dxa"/>
                  <w:shd w:val="clear" w:color="auto" w:fill="auto"/>
                  <w:vAlign w:val="center"/>
                </w:tcPr>
                <w:p w14:paraId="502C30A0">
                  <w:pPr>
                    <w:pStyle w:val="45"/>
                    <w:rPr>
                      <w:rFonts w:ascii="Times New Roman" w:hAnsi="Times New Roman" w:cs="Times New Roman"/>
                      <w:szCs w:val="21"/>
                      <w:lang w:val="en-US"/>
                    </w:rPr>
                  </w:pPr>
                  <w:r>
                    <w:rPr>
                      <w:rFonts w:ascii="Times New Roman" w:hAnsi="Times New Roman" w:cs="Times New Roman"/>
                      <w:szCs w:val="21"/>
                    </w:rPr>
                    <w:t>螺杆式空压机</w:t>
                  </w:r>
                </w:p>
              </w:tc>
              <w:tc>
                <w:tcPr>
                  <w:tcW w:w="1708" w:type="dxa"/>
                  <w:shd w:val="clear" w:color="auto" w:fill="auto"/>
                  <w:vAlign w:val="center"/>
                </w:tcPr>
                <w:p w14:paraId="49BA8522">
                  <w:pPr>
                    <w:pStyle w:val="45"/>
                    <w:rPr>
                      <w:rFonts w:ascii="Times New Roman" w:hAnsi="Times New Roman" w:cs="Times New Roman"/>
                      <w:szCs w:val="21"/>
                      <w:lang w:val="en-US"/>
                    </w:rPr>
                  </w:pPr>
                  <w:r>
                    <w:rPr>
                      <w:rFonts w:ascii="Times New Roman" w:hAnsi="Times New Roman" w:cs="Times New Roman"/>
                      <w:szCs w:val="21"/>
                      <w:lang w:val="en-US"/>
                    </w:rPr>
                    <w:t>/</w:t>
                  </w:r>
                </w:p>
              </w:tc>
              <w:tc>
                <w:tcPr>
                  <w:tcW w:w="915" w:type="dxa"/>
                  <w:shd w:val="clear" w:color="auto" w:fill="auto"/>
                  <w:vAlign w:val="center"/>
                </w:tcPr>
                <w:p w14:paraId="489777EE">
                  <w:pPr>
                    <w:pStyle w:val="45"/>
                    <w:rPr>
                      <w:rFonts w:ascii="Times New Roman" w:hAnsi="Times New Roman" w:cs="Times New Roman"/>
                      <w:szCs w:val="21"/>
                      <w:lang w:val="en-US"/>
                    </w:rPr>
                  </w:pPr>
                  <w:r>
                    <w:rPr>
                      <w:rFonts w:ascii="Times New Roman" w:hAnsi="Times New Roman" w:cs="Times New Roman"/>
                      <w:szCs w:val="21"/>
                      <w:lang w:val="en-US"/>
                    </w:rPr>
                    <w:t>1台</w:t>
                  </w:r>
                </w:p>
              </w:tc>
              <w:tc>
                <w:tcPr>
                  <w:tcW w:w="2769" w:type="dxa"/>
                  <w:shd w:val="clear" w:color="auto" w:fill="auto"/>
                  <w:vAlign w:val="center"/>
                </w:tcPr>
                <w:p w14:paraId="2E309DDF">
                  <w:pPr>
                    <w:pStyle w:val="45"/>
                    <w:rPr>
                      <w:rFonts w:ascii="Times New Roman" w:hAnsi="Times New Roman" w:cs="Times New Roman"/>
                      <w:szCs w:val="21"/>
                      <w:lang w:val="en-US"/>
                    </w:rPr>
                  </w:pPr>
                  <w:r>
                    <w:rPr>
                      <w:rFonts w:ascii="Times New Roman" w:hAnsi="Times New Roman" w:cs="Times New Roman"/>
                      <w:szCs w:val="21"/>
                      <w:lang w:val="en-US"/>
                    </w:rPr>
                    <w:t>输送空气</w:t>
                  </w:r>
                </w:p>
              </w:tc>
            </w:tr>
            <w:tr w14:paraId="2F956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703" w:type="dxa"/>
                  <w:vAlign w:val="center"/>
                </w:tcPr>
                <w:p w14:paraId="141DFD10">
                  <w:pPr>
                    <w:pStyle w:val="45"/>
                    <w:rPr>
                      <w:rFonts w:ascii="Times New Roman" w:hAnsi="Times New Roman" w:cs="Times New Roman"/>
                      <w:szCs w:val="21"/>
                      <w:lang w:val="en-US"/>
                    </w:rPr>
                  </w:pPr>
                  <w:r>
                    <w:rPr>
                      <w:rFonts w:ascii="Times New Roman" w:hAnsi="Times New Roman" w:cs="Times New Roman"/>
                      <w:szCs w:val="21"/>
                      <w:lang w:val="en-US"/>
                    </w:rPr>
                    <w:t>4</w:t>
                  </w:r>
                </w:p>
              </w:tc>
              <w:tc>
                <w:tcPr>
                  <w:tcW w:w="2072" w:type="dxa"/>
                  <w:shd w:val="clear" w:color="auto" w:fill="auto"/>
                  <w:vAlign w:val="center"/>
                </w:tcPr>
                <w:p w14:paraId="4F238FA1">
                  <w:pPr>
                    <w:pStyle w:val="45"/>
                    <w:rPr>
                      <w:rFonts w:ascii="Times New Roman" w:hAnsi="Times New Roman" w:cs="Times New Roman"/>
                      <w:szCs w:val="21"/>
                      <w:lang w:val="en-US"/>
                    </w:rPr>
                  </w:pPr>
                  <w:r>
                    <w:rPr>
                      <w:rFonts w:ascii="Times New Roman" w:hAnsi="Times New Roman" w:cs="Times New Roman"/>
                      <w:szCs w:val="21"/>
                    </w:rPr>
                    <w:t>燃油泵</w:t>
                  </w:r>
                </w:p>
              </w:tc>
              <w:tc>
                <w:tcPr>
                  <w:tcW w:w="1708" w:type="dxa"/>
                  <w:shd w:val="clear" w:color="auto" w:fill="auto"/>
                  <w:vAlign w:val="center"/>
                </w:tcPr>
                <w:p w14:paraId="79636A60">
                  <w:pPr>
                    <w:pStyle w:val="45"/>
                    <w:rPr>
                      <w:rFonts w:ascii="Times New Roman" w:hAnsi="Times New Roman" w:cs="Times New Roman"/>
                      <w:szCs w:val="21"/>
                      <w:lang w:val="en-US"/>
                    </w:rPr>
                  </w:pPr>
                  <w:r>
                    <w:rPr>
                      <w:rFonts w:ascii="Times New Roman" w:hAnsi="Times New Roman" w:cs="Times New Roman"/>
                      <w:szCs w:val="21"/>
                      <w:lang w:val="en-US"/>
                    </w:rPr>
                    <w:t>/</w:t>
                  </w:r>
                </w:p>
              </w:tc>
              <w:tc>
                <w:tcPr>
                  <w:tcW w:w="915" w:type="dxa"/>
                  <w:shd w:val="clear" w:color="auto" w:fill="auto"/>
                  <w:vAlign w:val="center"/>
                </w:tcPr>
                <w:p w14:paraId="3F04F9AB">
                  <w:pPr>
                    <w:pStyle w:val="45"/>
                    <w:rPr>
                      <w:rFonts w:ascii="Times New Roman" w:hAnsi="Times New Roman" w:cs="Times New Roman"/>
                      <w:szCs w:val="21"/>
                      <w:lang w:val="en-US"/>
                    </w:rPr>
                  </w:pPr>
                  <w:r>
                    <w:rPr>
                      <w:rFonts w:ascii="Times New Roman" w:hAnsi="Times New Roman" w:cs="Times New Roman"/>
                      <w:szCs w:val="21"/>
                      <w:lang w:val="en-US"/>
                    </w:rPr>
                    <w:t>1台</w:t>
                  </w:r>
                </w:p>
              </w:tc>
              <w:tc>
                <w:tcPr>
                  <w:tcW w:w="2769" w:type="dxa"/>
                  <w:shd w:val="clear" w:color="auto" w:fill="auto"/>
                  <w:vAlign w:val="center"/>
                </w:tcPr>
                <w:p w14:paraId="03809AAC">
                  <w:pPr>
                    <w:pStyle w:val="45"/>
                    <w:rPr>
                      <w:rFonts w:ascii="Times New Roman" w:hAnsi="Times New Roman" w:cs="Times New Roman"/>
                      <w:szCs w:val="21"/>
                      <w:lang w:val="en-US"/>
                    </w:rPr>
                  </w:pPr>
                  <w:r>
                    <w:rPr>
                      <w:rFonts w:ascii="Times New Roman" w:hAnsi="Times New Roman" w:cs="Times New Roman"/>
                      <w:szCs w:val="21"/>
                      <w:lang w:val="en-US"/>
                    </w:rPr>
                    <w:t>燃料油输送</w:t>
                  </w:r>
                </w:p>
              </w:tc>
            </w:tr>
            <w:tr w14:paraId="18158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8167" w:type="dxa"/>
                  <w:gridSpan w:val="5"/>
                  <w:vAlign w:val="center"/>
                </w:tcPr>
                <w:p w14:paraId="414231F2">
                  <w:pPr>
                    <w:pStyle w:val="45"/>
                    <w:jc w:val="both"/>
                    <w:rPr>
                      <w:rFonts w:ascii="Times New Roman" w:hAnsi="Times New Roman" w:cs="Times New Roman"/>
                      <w:szCs w:val="21"/>
                      <w:lang w:val="en-US"/>
                    </w:rPr>
                  </w:pPr>
                  <w:r>
                    <w:rPr>
                      <w:rFonts w:ascii="Times New Roman" w:hAnsi="Times New Roman" w:cs="Times New Roman"/>
                      <w:b/>
                      <w:bCs/>
                      <w:szCs w:val="21"/>
                      <w:lang w:val="en-US"/>
                    </w:rPr>
                    <w:t>三、筛分称量和搅拌系统</w:t>
                  </w:r>
                </w:p>
              </w:tc>
            </w:tr>
            <w:tr w14:paraId="5C7B8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703" w:type="dxa"/>
                  <w:vAlign w:val="center"/>
                </w:tcPr>
                <w:p w14:paraId="14F63BFB">
                  <w:pPr>
                    <w:pStyle w:val="45"/>
                    <w:rPr>
                      <w:rFonts w:ascii="Times New Roman" w:hAnsi="Times New Roman" w:cs="Times New Roman"/>
                      <w:szCs w:val="21"/>
                      <w:lang w:val="en-US"/>
                    </w:rPr>
                  </w:pPr>
                  <w:r>
                    <w:rPr>
                      <w:rFonts w:ascii="Times New Roman" w:hAnsi="Times New Roman" w:cs="Times New Roman"/>
                      <w:szCs w:val="21"/>
                      <w:lang w:val="en-US"/>
                    </w:rPr>
                    <w:t>1</w:t>
                  </w:r>
                </w:p>
              </w:tc>
              <w:tc>
                <w:tcPr>
                  <w:tcW w:w="2072" w:type="dxa"/>
                  <w:shd w:val="clear" w:color="auto" w:fill="auto"/>
                  <w:vAlign w:val="center"/>
                </w:tcPr>
                <w:p w14:paraId="62B6D389">
                  <w:pPr>
                    <w:pStyle w:val="45"/>
                    <w:rPr>
                      <w:rFonts w:ascii="Times New Roman" w:hAnsi="Times New Roman" w:cs="Times New Roman"/>
                      <w:szCs w:val="21"/>
                      <w:lang w:val="en-US"/>
                    </w:rPr>
                  </w:pPr>
                  <w:r>
                    <w:rPr>
                      <w:rFonts w:ascii="Times New Roman" w:hAnsi="Times New Roman" w:cs="Times New Roman"/>
                      <w:szCs w:val="21"/>
                    </w:rPr>
                    <w:t>热料提升机</w:t>
                  </w:r>
                </w:p>
              </w:tc>
              <w:tc>
                <w:tcPr>
                  <w:tcW w:w="1708" w:type="dxa"/>
                  <w:shd w:val="clear" w:color="auto" w:fill="auto"/>
                  <w:vAlign w:val="center"/>
                </w:tcPr>
                <w:p w14:paraId="07A4F888">
                  <w:pPr>
                    <w:pStyle w:val="45"/>
                    <w:rPr>
                      <w:rFonts w:ascii="Times New Roman" w:hAnsi="Times New Roman" w:cs="Times New Roman"/>
                      <w:szCs w:val="21"/>
                      <w:lang w:val="en-US"/>
                    </w:rPr>
                  </w:pPr>
                  <w:r>
                    <w:rPr>
                      <w:rFonts w:ascii="Times New Roman" w:hAnsi="Times New Roman" w:cs="Times New Roman"/>
                      <w:szCs w:val="21"/>
                      <w:lang w:val="en-US"/>
                    </w:rPr>
                    <w:t>/</w:t>
                  </w:r>
                </w:p>
              </w:tc>
              <w:tc>
                <w:tcPr>
                  <w:tcW w:w="915" w:type="dxa"/>
                  <w:shd w:val="clear" w:color="auto" w:fill="auto"/>
                  <w:vAlign w:val="center"/>
                </w:tcPr>
                <w:p w14:paraId="3E1A83A2">
                  <w:pPr>
                    <w:pStyle w:val="45"/>
                    <w:rPr>
                      <w:rFonts w:ascii="Times New Roman" w:hAnsi="Times New Roman" w:cs="Times New Roman"/>
                      <w:szCs w:val="21"/>
                      <w:lang w:val="en-US"/>
                    </w:rPr>
                  </w:pPr>
                  <w:r>
                    <w:rPr>
                      <w:rFonts w:ascii="Times New Roman" w:hAnsi="Times New Roman" w:cs="Times New Roman"/>
                      <w:szCs w:val="21"/>
                      <w:lang w:val="en-US"/>
                    </w:rPr>
                    <w:t>1台</w:t>
                  </w:r>
                </w:p>
              </w:tc>
              <w:tc>
                <w:tcPr>
                  <w:tcW w:w="2769" w:type="dxa"/>
                  <w:shd w:val="clear" w:color="auto" w:fill="auto"/>
                  <w:vAlign w:val="center"/>
                </w:tcPr>
                <w:p w14:paraId="5AD96146">
                  <w:pPr>
                    <w:pStyle w:val="45"/>
                    <w:rPr>
                      <w:rFonts w:ascii="Times New Roman" w:hAnsi="Times New Roman" w:cs="Times New Roman"/>
                      <w:szCs w:val="21"/>
                      <w:lang w:val="en-US"/>
                    </w:rPr>
                  </w:pPr>
                  <w:r>
                    <w:rPr>
                      <w:rFonts w:ascii="Times New Roman" w:hAnsi="Times New Roman" w:cs="Times New Roman"/>
                      <w:szCs w:val="21"/>
                      <w:lang w:val="en-US"/>
                    </w:rPr>
                    <w:t>烘干后的砂石骨料提升</w:t>
                  </w:r>
                </w:p>
              </w:tc>
            </w:tr>
            <w:tr w14:paraId="05F90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exact"/>
              </w:trPr>
              <w:tc>
                <w:tcPr>
                  <w:tcW w:w="703" w:type="dxa"/>
                  <w:vAlign w:val="center"/>
                </w:tcPr>
                <w:p w14:paraId="38D6AF4A">
                  <w:pPr>
                    <w:pStyle w:val="45"/>
                    <w:rPr>
                      <w:rFonts w:ascii="Times New Roman" w:hAnsi="Times New Roman" w:cs="Times New Roman"/>
                      <w:szCs w:val="21"/>
                      <w:lang w:val="en-US"/>
                    </w:rPr>
                  </w:pPr>
                  <w:r>
                    <w:rPr>
                      <w:rFonts w:ascii="Times New Roman" w:hAnsi="Times New Roman" w:cs="Times New Roman"/>
                      <w:szCs w:val="21"/>
                      <w:lang w:val="en-US"/>
                    </w:rPr>
                    <w:t>2</w:t>
                  </w:r>
                </w:p>
              </w:tc>
              <w:tc>
                <w:tcPr>
                  <w:tcW w:w="2072" w:type="dxa"/>
                  <w:shd w:val="clear" w:color="auto" w:fill="auto"/>
                  <w:vAlign w:val="center"/>
                </w:tcPr>
                <w:p w14:paraId="33FCA1BB">
                  <w:pPr>
                    <w:pStyle w:val="45"/>
                    <w:rPr>
                      <w:rFonts w:ascii="Times New Roman" w:hAnsi="Times New Roman" w:cs="Times New Roman"/>
                      <w:szCs w:val="21"/>
                      <w:lang w:val="en-US"/>
                    </w:rPr>
                  </w:pPr>
                  <w:r>
                    <w:rPr>
                      <w:rFonts w:ascii="Times New Roman" w:hAnsi="Times New Roman" w:cs="Times New Roman"/>
                      <w:szCs w:val="21"/>
                    </w:rPr>
                    <w:t>5层快速振动筛</w:t>
                  </w:r>
                </w:p>
              </w:tc>
              <w:tc>
                <w:tcPr>
                  <w:tcW w:w="1708" w:type="dxa"/>
                  <w:shd w:val="clear" w:color="auto" w:fill="auto"/>
                  <w:vAlign w:val="center"/>
                </w:tcPr>
                <w:p w14:paraId="32091DB0">
                  <w:pPr>
                    <w:pStyle w:val="45"/>
                    <w:rPr>
                      <w:rFonts w:ascii="Times New Roman" w:hAnsi="Times New Roman" w:cs="Times New Roman"/>
                      <w:szCs w:val="21"/>
                      <w:lang w:val="en-US"/>
                    </w:rPr>
                  </w:pPr>
                  <w:r>
                    <w:rPr>
                      <w:rFonts w:ascii="Times New Roman" w:hAnsi="Times New Roman" w:cs="Times New Roman"/>
                      <w:szCs w:val="21"/>
                      <w:lang w:val="en-US"/>
                    </w:rPr>
                    <w:t>/</w:t>
                  </w:r>
                </w:p>
              </w:tc>
              <w:tc>
                <w:tcPr>
                  <w:tcW w:w="915" w:type="dxa"/>
                  <w:shd w:val="clear" w:color="auto" w:fill="auto"/>
                  <w:vAlign w:val="center"/>
                </w:tcPr>
                <w:p w14:paraId="3E361AD7">
                  <w:pPr>
                    <w:pStyle w:val="45"/>
                    <w:rPr>
                      <w:rFonts w:ascii="Times New Roman" w:hAnsi="Times New Roman" w:cs="Times New Roman"/>
                      <w:szCs w:val="21"/>
                      <w:lang w:val="en-US"/>
                    </w:rPr>
                  </w:pPr>
                  <w:r>
                    <w:rPr>
                      <w:rFonts w:ascii="Times New Roman" w:hAnsi="Times New Roman" w:cs="Times New Roman"/>
                      <w:szCs w:val="21"/>
                      <w:lang w:val="en-US"/>
                    </w:rPr>
                    <w:t>1套</w:t>
                  </w:r>
                </w:p>
              </w:tc>
              <w:tc>
                <w:tcPr>
                  <w:tcW w:w="2769" w:type="dxa"/>
                  <w:shd w:val="clear" w:color="auto" w:fill="auto"/>
                  <w:vAlign w:val="center"/>
                </w:tcPr>
                <w:p w14:paraId="67CB93A3">
                  <w:pPr>
                    <w:pStyle w:val="45"/>
                    <w:rPr>
                      <w:rFonts w:ascii="Times New Roman" w:hAnsi="Times New Roman" w:cs="Times New Roman"/>
                      <w:szCs w:val="21"/>
                      <w:lang w:val="en-US"/>
                    </w:rPr>
                  </w:pPr>
                  <w:r>
                    <w:rPr>
                      <w:rFonts w:ascii="Times New Roman" w:hAnsi="Times New Roman" w:cs="Times New Roman"/>
                      <w:szCs w:val="21"/>
                      <w:lang w:val="en-US"/>
                    </w:rPr>
                    <w:t>烘干后的砂石骨料筛分</w:t>
                  </w:r>
                </w:p>
              </w:tc>
            </w:tr>
            <w:tr w14:paraId="09039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703" w:type="dxa"/>
                  <w:vAlign w:val="center"/>
                </w:tcPr>
                <w:p w14:paraId="57058D9B">
                  <w:pPr>
                    <w:pStyle w:val="45"/>
                    <w:rPr>
                      <w:rFonts w:ascii="Times New Roman" w:hAnsi="Times New Roman" w:cs="Times New Roman"/>
                      <w:szCs w:val="21"/>
                      <w:lang w:val="en-US"/>
                    </w:rPr>
                  </w:pPr>
                  <w:r>
                    <w:rPr>
                      <w:rFonts w:ascii="Times New Roman" w:hAnsi="Times New Roman" w:cs="Times New Roman"/>
                      <w:szCs w:val="21"/>
                      <w:lang w:val="en-US"/>
                    </w:rPr>
                    <w:t>3</w:t>
                  </w:r>
                </w:p>
              </w:tc>
              <w:tc>
                <w:tcPr>
                  <w:tcW w:w="2072" w:type="dxa"/>
                  <w:shd w:val="clear" w:color="auto" w:fill="auto"/>
                  <w:vAlign w:val="center"/>
                </w:tcPr>
                <w:p w14:paraId="385EF183">
                  <w:pPr>
                    <w:pStyle w:val="45"/>
                    <w:rPr>
                      <w:rFonts w:ascii="Times New Roman" w:hAnsi="Times New Roman" w:cs="Times New Roman"/>
                      <w:szCs w:val="21"/>
                      <w:lang w:val="en-US"/>
                    </w:rPr>
                  </w:pPr>
                  <w:r>
                    <w:rPr>
                      <w:rFonts w:ascii="Times New Roman" w:hAnsi="Times New Roman" w:cs="Times New Roman"/>
                      <w:szCs w:val="21"/>
                    </w:rPr>
                    <w:t>热料仓</w:t>
                  </w:r>
                </w:p>
              </w:tc>
              <w:tc>
                <w:tcPr>
                  <w:tcW w:w="1708" w:type="dxa"/>
                  <w:shd w:val="clear" w:color="auto" w:fill="auto"/>
                  <w:vAlign w:val="center"/>
                </w:tcPr>
                <w:p w14:paraId="642F697E">
                  <w:pPr>
                    <w:pStyle w:val="45"/>
                    <w:rPr>
                      <w:rFonts w:ascii="Times New Roman" w:hAnsi="Times New Roman" w:cs="Times New Roman"/>
                      <w:szCs w:val="21"/>
                      <w:lang w:val="en-US"/>
                    </w:rPr>
                  </w:pPr>
                  <w:r>
                    <w:rPr>
                      <w:rFonts w:ascii="Times New Roman" w:hAnsi="Times New Roman" w:cs="Times New Roman"/>
                      <w:szCs w:val="21"/>
                      <w:lang w:val="en-US"/>
                    </w:rPr>
                    <w:t>5仓</w:t>
                  </w:r>
                  <w:r>
                    <w:rPr>
                      <w:rFonts w:ascii="Times New Roman" w:hAnsi="Times New Roman" w:cs="Times New Roman"/>
                      <w:szCs w:val="21"/>
                    </w:rPr>
                    <w:t>23</w:t>
                  </w:r>
                  <w:r>
                    <w:rPr>
                      <w:rFonts w:ascii="Times New Roman" w:hAnsi="Times New Roman" w:cs="Times New Roman"/>
                      <w:szCs w:val="21"/>
                      <w:lang w:val="en-US"/>
                    </w:rPr>
                    <w:t>m³</w:t>
                  </w:r>
                </w:p>
              </w:tc>
              <w:tc>
                <w:tcPr>
                  <w:tcW w:w="915" w:type="dxa"/>
                  <w:shd w:val="clear" w:color="auto" w:fill="auto"/>
                  <w:vAlign w:val="center"/>
                </w:tcPr>
                <w:p w14:paraId="178ABD5E">
                  <w:pPr>
                    <w:pStyle w:val="45"/>
                    <w:rPr>
                      <w:rFonts w:ascii="Times New Roman" w:hAnsi="Times New Roman" w:cs="Times New Roman"/>
                      <w:szCs w:val="21"/>
                      <w:lang w:val="en-US"/>
                    </w:rPr>
                  </w:pPr>
                  <w:r>
                    <w:rPr>
                      <w:rFonts w:ascii="Times New Roman" w:hAnsi="Times New Roman" w:cs="Times New Roman"/>
                      <w:szCs w:val="21"/>
                      <w:lang w:val="en-US"/>
                    </w:rPr>
                    <w:t>1套</w:t>
                  </w:r>
                </w:p>
              </w:tc>
              <w:tc>
                <w:tcPr>
                  <w:tcW w:w="2769" w:type="dxa"/>
                  <w:shd w:val="clear" w:color="auto" w:fill="auto"/>
                  <w:vAlign w:val="center"/>
                </w:tcPr>
                <w:p w14:paraId="6A44F7D6">
                  <w:pPr>
                    <w:pStyle w:val="45"/>
                    <w:rPr>
                      <w:rFonts w:ascii="Times New Roman" w:hAnsi="Times New Roman" w:cs="Times New Roman"/>
                      <w:szCs w:val="21"/>
                      <w:lang w:val="en-US"/>
                    </w:rPr>
                  </w:pPr>
                  <w:r>
                    <w:rPr>
                      <w:rFonts w:ascii="Times New Roman" w:hAnsi="Times New Roman" w:cs="Times New Roman"/>
                      <w:szCs w:val="21"/>
                      <w:lang w:val="en-US"/>
                    </w:rPr>
                    <w:t>暂存筛分后的热砂石骨料</w:t>
                  </w:r>
                </w:p>
              </w:tc>
            </w:tr>
            <w:tr w14:paraId="24ADB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703" w:type="dxa"/>
                  <w:vAlign w:val="center"/>
                </w:tcPr>
                <w:p w14:paraId="1C1396ED">
                  <w:pPr>
                    <w:pStyle w:val="45"/>
                    <w:rPr>
                      <w:rFonts w:ascii="Times New Roman" w:hAnsi="Times New Roman" w:cs="Times New Roman"/>
                      <w:szCs w:val="21"/>
                      <w:lang w:val="en-US"/>
                    </w:rPr>
                  </w:pPr>
                  <w:r>
                    <w:rPr>
                      <w:rFonts w:ascii="Times New Roman" w:hAnsi="Times New Roman" w:cs="Times New Roman"/>
                      <w:szCs w:val="21"/>
                      <w:lang w:val="en-US"/>
                    </w:rPr>
                    <w:t>4</w:t>
                  </w:r>
                </w:p>
              </w:tc>
              <w:tc>
                <w:tcPr>
                  <w:tcW w:w="2072" w:type="dxa"/>
                  <w:shd w:val="clear" w:color="auto" w:fill="auto"/>
                  <w:vAlign w:val="center"/>
                </w:tcPr>
                <w:p w14:paraId="55C267E7">
                  <w:pPr>
                    <w:pStyle w:val="45"/>
                    <w:rPr>
                      <w:rFonts w:ascii="Times New Roman" w:hAnsi="Times New Roman" w:cs="Times New Roman"/>
                      <w:szCs w:val="21"/>
                    </w:rPr>
                  </w:pPr>
                  <w:r>
                    <w:rPr>
                      <w:rFonts w:ascii="Times New Roman" w:hAnsi="Times New Roman" w:cs="Times New Roman"/>
                      <w:szCs w:val="21"/>
                    </w:rPr>
                    <w:t>筛分料称量斗</w:t>
                  </w:r>
                </w:p>
              </w:tc>
              <w:tc>
                <w:tcPr>
                  <w:tcW w:w="1708" w:type="dxa"/>
                  <w:shd w:val="clear" w:color="auto" w:fill="auto"/>
                  <w:vAlign w:val="center"/>
                </w:tcPr>
                <w:p w14:paraId="284671A1">
                  <w:pPr>
                    <w:pStyle w:val="45"/>
                    <w:rPr>
                      <w:rFonts w:ascii="Times New Roman" w:hAnsi="Times New Roman" w:cs="Times New Roman"/>
                      <w:szCs w:val="21"/>
                      <w:lang w:val="en-US"/>
                    </w:rPr>
                  </w:pPr>
                  <w:r>
                    <w:rPr>
                      <w:rFonts w:ascii="Times New Roman" w:hAnsi="Times New Roman" w:cs="Times New Roman"/>
                      <w:szCs w:val="21"/>
                      <w:lang w:val="en-US"/>
                    </w:rPr>
                    <w:t>2</w:t>
                  </w:r>
                  <w:r>
                    <w:rPr>
                      <w:rFonts w:ascii="Times New Roman" w:hAnsi="Times New Roman" w:cs="Times New Roman"/>
                      <w:szCs w:val="21"/>
                    </w:rPr>
                    <w:t>000kg</w:t>
                  </w:r>
                </w:p>
              </w:tc>
              <w:tc>
                <w:tcPr>
                  <w:tcW w:w="915" w:type="dxa"/>
                  <w:shd w:val="clear" w:color="auto" w:fill="auto"/>
                  <w:vAlign w:val="center"/>
                </w:tcPr>
                <w:p w14:paraId="0C420394">
                  <w:pPr>
                    <w:pStyle w:val="45"/>
                    <w:rPr>
                      <w:rFonts w:ascii="Times New Roman" w:hAnsi="Times New Roman" w:cs="Times New Roman"/>
                      <w:szCs w:val="21"/>
                      <w:lang w:val="en-US"/>
                    </w:rPr>
                  </w:pPr>
                  <w:r>
                    <w:rPr>
                      <w:rFonts w:ascii="Times New Roman" w:hAnsi="Times New Roman" w:cs="Times New Roman"/>
                      <w:szCs w:val="21"/>
                      <w:lang w:val="en-US"/>
                    </w:rPr>
                    <w:t>1个</w:t>
                  </w:r>
                </w:p>
              </w:tc>
              <w:tc>
                <w:tcPr>
                  <w:tcW w:w="2769" w:type="dxa"/>
                  <w:shd w:val="clear" w:color="auto" w:fill="auto"/>
                  <w:vAlign w:val="center"/>
                </w:tcPr>
                <w:p w14:paraId="1A08CAF5">
                  <w:pPr>
                    <w:pStyle w:val="45"/>
                    <w:rPr>
                      <w:rFonts w:ascii="Times New Roman" w:hAnsi="Times New Roman" w:cs="Times New Roman"/>
                      <w:szCs w:val="21"/>
                      <w:lang w:val="en-US"/>
                    </w:rPr>
                  </w:pPr>
                  <w:r>
                    <w:rPr>
                      <w:rFonts w:ascii="Times New Roman" w:hAnsi="Times New Roman" w:cs="Times New Roman"/>
                      <w:szCs w:val="21"/>
                      <w:lang w:val="en-US"/>
                    </w:rPr>
                    <w:t>砂石骨料计量</w:t>
                  </w:r>
                </w:p>
              </w:tc>
            </w:tr>
            <w:tr w14:paraId="0E353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703" w:type="dxa"/>
                  <w:vAlign w:val="center"/>
                </w:tcPr>
                <w:p w14:paraId="0C711730">
                  <w:pPr>
                    <w:pStyle w:val="45"/>
                    <w:rPr>
                      <w:rFonts w:ascii="Times New Roman" w:hAnsi="Times New Roman" w:cs="Times New Roman"/>
                      <w:szCs w:val="21"/>
                      <w:lang w:val="en-US"/>
                    </w:rPr>
                  </w:pPr>
                  <w:r>
                    <w:rPr>
                      <w:rFonts w:ascii="Times New Roman" w:hAnsi="Times New Roman" w:cs="Times New Roman"/>
                      <w:szCs w:val="21"/>
                      <w:lang w:val="en-US"/>
                    </w:rPr>
                    <w:t>5</w:t>
                  </w:r>
                </w:p>
              </w:tc>
              <w:tc>
                <w:tcPr>
                  <w:tcW w:w="2072" w:type="dxa"/>
                  <w:shd w:val="clear" w:color="auto" w:fill="auto"/>
                  <w:vAlign w:val="center"/>
                </w:tcPr>
                <w:p w14:paraId="42E974D1">
                  <w:pPr>
                    <w:pStyle w:val="45"/>
                    <w:rPr>
                      <w:rFonts w:ascii="Times New Roman" w:hAnsi="Times New Roman" w:cs="Times New Roman"/>
                      <w:szCs w:val="21"/>
                    </w:rPr>
                  </w:pPr>
                  <w:r>
                    <w:rPr>
                      <w:rFonts w:ascii="Times New Roman" w:hAnsi="Times New Roman" w:cs="Times New Roman"/>
                      <w:szCs w:val="21"/>
                    </w:rPr>
                    <w:t>沥青称量斗</w:t>
                  </w:r>
                </w:p>
              </w:tc>
              <w:tc>
                <w:tcPr>
                  <w:tcW w:w="1708" w:type="dxa"/>
                  <w:shd w:val="clear" w:color="auto" w:fill="auto"/>
                  <w:vAlign w:val="center"/>
                </w:tcPr>
                <w:p w14:paraId="2C973F50">
                  <w:pPr>
                    <w:pStyle w:val="45"/>
                    <w:rPr>
                      <w:rFonts w:ascii="Times New Roman" w:hAnsi="Times New Roman" w:cs="Times New Roman"/>
                      <w:szCs w:val="21"/>
                      <w:lang w:val="en-US"/>
                    </w:rPr>
                  </w:pPr>
                  <w:r>
                    <w:rPr>
                      <w:rFonts w:ascii="Times New Roman" w:hAnsi="Times New Roman" w:cs="Times New Roman"/>
                      <w:szCs w:val="21"/>
                    </w:rPr>
                    <w:t>300kg</w:t>
                  </w:r>
                </w:p>
              </w:tc>
              <w:tc>
                <w:tcPr>
                  <w:tcW w:w="915" w:type="dxa"/>
                  <w:shd w:val="clear" w:color="auto" w:fill="auto"/>
                  <w:vAlign w:val="center"/>
                </w:tcPr>
                <w:p w14:paraId="32D6E997">
                  <w:pPr>
                    <w:pStyle w:val="45"/>
                    <w:rPr>
                      <w:rFonts w:ascii="Times New Roman" w:hAnsi="Times New Roman" w:cs="Times New Roman"/>
                      <w:szCs w:val="21"/>
                      <w:lang w:val="en-US"/>
                    </w:rPr>
                  </w:pPr>
                  <w:r>
                    <w:rPr>
                      <w:rFonts w:ascii="Times New Roman" w:hAnsi="Times New Roman" w:cs="Times New Roman"/>
                      <w:szCs w:val="21"/>
                      <w:lang w:val="en-US"/>
                    </w:rPr>
                    <w:t>1个</w:t>
                  </w:r>
                </w:p>
              </w:tc>
              <w:tc>
                <w:tcPr>
                  <w:tcW w:w="2769" w:type="dxa"/>
                  <w:shd w:val="clear" w:color="auto" w:fill="auto"/>
                  <w:vAlign w:val="center"/>
                </w:tcPr>
                <w:p w14:paraId="2876B255">
                  <w:pPr>
                    <w:pStyle w:val="45"/>
                    <w:rPr>
                      <w:rFonts w:ascii="Times New Roman" w:hAnsi="Times New Roman" w:cs="Times New Roman"/>
                      <w:szCs w:val="21"/>
                      <w:lang w:val="en-US"/>
                    </w:rPr>
                  </w:pPr>
                  <w:r>
                    <w:rPr>
                      <w:rFonts w:ascii="Times New Roman" w:hAnsi="Times New Roman" w:cs="Times New Roman"/>
                      <w:szCs w:val="21"/>
                      <w:lang w:val="en-US"/>
                    </w:rPr>
                    <w:t>沥青计量</w:t>
                  </w:r>
                </w:p>
              </w:tc>
            </w:tr>
            <w:tr w14:paraId="3242C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703" w:type="dxa"/>
                  <w:vAlign w:val="center"/>
                </w:tcPr>
                <w:p w14:paraId="453A9346">
                  <w:pPr>
                    <w:pStyle w:val="45"/>
                    <w:rPr>
                      <w:rFonts w:ascii="Times New Roman" w:hAnsi="Times New Roman" w:cs="Times New Roman"/>
                      <w:szCs w:val="21"/>
                      <w:lang w:val="en-US"/>
                    </w:rPr>
                  </w:pPr>
                  <w:r>
                    <w:rPr>
                      <w:rFonts w:ascii="Times New Roman" w:hAnsi="Times New Roman" w:cs="Times New Roman"/>
                      <w:szCs w:val="21"/>
                      <w:lang w:val="en-US"/>
                    </w:rPr>
                    <w:t>6</w:t>
                  </w:r>
                </w:p>
              </w:tc>
              <w:tc>
                <w:tcPr>
                  <w:tcW w:w="2072" w:type="dxa"/>
                  <w:shd w:val="clear" w:color="auto" w:fill="auto"/>
                  <w:vAlign w:val="center"/>
                </w:tcPr>
                <w:p w14:paraId="5D36CAA1">
                  <w:pPr>
                    <w:pStyle w:val="45"/>
                    <w:rPr>
                      <w:rFonts w:ascii="Times New Roman" w:hAnsi="Times New Roman" w:cs="Times New Roman"/>
                      <w:szCs w:val="21"/>
                    </w:rPr>
                  </w:pPr>
                  <w:r>
                    <w:rPr>
                      <w:rFonts w:ascii="Times New Roman" w:hAnsi="Times New Roman" w:cs="Times New Roman"/>
                      <w:szCs w:val="21"/>
                    </w:rPr>
                    <w:t>粉料称量斗</w:t>
                  </w:r>
                </w:p>
              </w:tc>
              <w:tc>
                <w:tcPr>
                  <w:tcW w:w="1708" w:type="dxa"/>
                  <w:shd w:val="clear" w:color="auto" w:fill="auto"/>
                  <w:vAlign w:val="center"/>
                </w:tcPr>
                <w:p w14:paraId="3A0A0E61">
                  <w:pPr>
                    <w:pStyle w:val="45"/>
                    <w:rPr>
                      <w:rFonts w:ascii="Times New Roman" w:hAnsi="Times New Roman" w:cs="Times New Roman"/>
                      <w:szCs w:val="21"/>
                      <w:lang w:val="en-US"/>
                    </w:rPr>
                  </w:pPr>
                  <w:r>
                    <w:rPr>
                      <w:rFonts w:ascii="Times New Roman" w:hAnsi="Times New Roman" w:cs="Times New Roman"/>
                      <w:szCs w:val="21"/>
                    </w:rPr>
                    <w:t>400kg</w:t>
                  </w:r>
                </w:p>
              </w:tc>
              <w:tc>
                <w:tcPr>
                  <w:tcW w:w="915" w:type="dxa"/>
                  <w:shd w:val="clear" w:color="auto" w:fill="auto"/>
                  <w:vAlign w:val="center"/>
                </w:tcPr>
                <w:p w14:paraId="0BD8C2FA">
                  <w:pPr>
                    <w:pStyle w:val="45"/>
                    <w:rPr>
                      <w:rFonts w:ascii="Times New Roman" w:hAnsi="Times New Roman" w:cs="Times New Roman"/>
                      <w:szCs w:val="21"/>
                      <w:lang w:val="en-US"/>
                    </w:rPr>
                  </w:pPr>
                  <w:r>
                    <w:rPr>
                      <w:rFonts w:ascii="Times New Roman" w:hAnsi="Times New Roman" w:cs="Times New Roman"/>
                      <w:szCs w:val="21"/>
                      <w:lang w:val="en-US"/>
                    </w:rPr>
                    <w:t>1个</w:t>
                  </w:r>
                </w:p>
              </w:tc>
              <w:tc>
                <w:tcPr>
                  <w:tcW w:w="2769" w:type="dxa"/>
                  <w:shd w:val="clear" w:color="auto" w:fill="auto"/>
                  <w:vAlign w:val="center"/>
                </w:tcPr>
                <w:p w14:paraId="33F2674F">
                  <w:pPr>
                    <w:pStyle w:val="45"/>
                    <w:rPr>
                      <w:rFonts w:ascii="Times New Roman" w:hAnsi="Times New Roman" w:cs="Times New Roman"/>
                      <w:szCs w:val="21"/>
                      <w:lang w:val="en-US"/>
                    </w:rPr>
                  </w:pPr>
                  <w:r>
                    <w:rPr>
                      <w:rFonts w:ascii="Times New Roman" w:hAnsi="Times New Roman" w:cs="Times New Roman"/>
                      <w:szCs w:val="21"/>
                      <w:lang w:val="en-US"/>
                    </w:rPr>
                    <w:t>矿粉计量</w:t>
                  </w:r>
                </w:p>
              </w:tc>
            </w:tr>
            <w:tr w14:paraId="10FC6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703" w:type="dxa"/>
                  <w:vAlign w:val="center"/>
                </w:tcPr>
                <w:p w14:paraId="3057BC55">
                  <w:pPr>
                    <w:pStyle w:val="45"/>
                    <w:rPr>
                      <w:rFonts w:ascii="Times New Roman" w:hAnsi="Times New Roman" w:cs="Times New Roman"/>
                      <w:szCs w:val="21"/>
                      <w:lang w:val="en-US"/>
                    </w:rPr>
                  </w:pPr>
                  <w:r>
                    <w:rPr>
                      <w:rFonts w:ascii="Times New Roman" w:hAnsi="Times New Roman" w:cs="Times New Roman"/>
                      <w:szCs w:val="21"/>
                      <w:lang w:val="en-US"/>
                    </w:rPr>
                    <w:t>8</w:t>
                  </w:r>
                </w:p>
              </w:tc>
              <w:tc>
                <w:tcPr>
                  <w:tcW w:w="2072" w:type="dxa"/>
                  <w:shd w:val="clear" w:color="auto" w:fill="auto"/>
                  <w:vAlign w:val="center"/>
                </w:tcPr>
                <w:p w14:paraId="48009CB1">
                  <w:pPr>
                    <w:pStyle w:val="45"/>
                    <w:rPr>
                      <w:rFonts w:ascii="Times New Roman" w:hAnsi="Times New Roman" w:cs="Times New Roman"/>
                      <w:szCs w:val="21"/>
                      <w:lang w:val="en-US"/>
                    </w:rPr>
                  </w:pPr>
                  <w:r>
                    <w:rPr>
                      <w:rFonts w:ascii="Times New Roman" w:hAnsi="Times New Roman" w:cs="Times New Roman"/>
                      <w:szCs w:val="21"/>
                    </w:rPr>
                    <w:t>搅拌锅</w:t>
                  </w:r>
                </w:p>
              </w:tc>
              <w:tc>
                <w:tcPr>
                  <w:tcW w:w="1708" w:type="dxa"/>
                  <w:shd w:val="clear" w:color="auto" w:fill="auto"/>
                  <w:vAlign w:val="center"/>
                </w:tcPr>
                <w:p w14:paraId="510DCEEA">
                  <w:pPr>
                    <w:pStyle w:val="45"/>
                    <w:rPr>
                      <w:rFonts w:ascii="Times New Roman" w:hAnsi="Times New Roman" w:cs="Times New Roman"/>
                      <w:szCs w:val="21"/>
                      <w:lang w:val="en-US"/>
                    </w:rPr>
                  </w:pPr>
                  <w:r>
                    <w:rPr>
                      <w:rFonts w:ascii="Times New Roman" w:hAnsi="Times New Roman" w:cs="Times New Roman"/>
                      <w:szCs w:val="21"/>
                    </w:rPr>
                    <w:t>2000kg</w:t>
                  </w:r>
                </w:p>
              </w:tc>
              <w:tc>
                <w:tcPr>
                  <w:tcW w:w="915" w:type="dxa"/>
                  <w:shd w:val="clear" w:color="auto" w:fill="auto"/>
                  <w:vAlign w:val="center"/>
                </w:tcPr>
                <w:p w14:paraId="444662FE">
                  <w:pPr>
                    <w:pStyle w:val="45"/>
                    <w:rPr>
                      <w:rFonts w:ascii="Times New Roman" w:hAnsi="Times New Roman" w:cs="Times New Roman"/>
                      <w:szCs w:val="21"/>
                      <w:lang w:val="en-US"/>
                    </w:rPr>
                  </w:pPr>
                  <w:r>
                    <w:rPr>
                      <w:rFonts w:ascii="Times New Roman" w:hAnsi="Times New Roman" w:cs="Times New Roman"/>
                      <w:szCs w:val="21"/>
                      <w:lang w:val="en-US"/>
                    </w:rPr>
                    <w:t>1个</w:t>
                  </w:r>
                </w:p>
              </w:tc>
              <w:tc>
                <w:tcPr>
                  <w:tcW w:w="2769" w:type="dxa"/>
                  <w:shd w:val="clear" w:color="auto" w:fill="auto"/>
                  <w:vAlign w:val="center"/>
                </w:tcPr>
                <w:p w14:paraId="7FE793E5">
                  <w:pPr>
                    <w:pStyle w:val="45"/>
                    <w:rPr>
                      <w:rFonts w:ascii="Times New Roman" w:hAnsi="Times New Roman" w:cs="Times New Roman"/>
                      <w:szCs w:val="21"/>
                      <w:lang w:val="en-US"/>
                    </w:rPr>
                  </w:pPr>
                  <w:r>
                    <w:rPr>
                      <w:rFonts w:ascii="Times New Roman" w:hAnsi="Times New Roman" w:cs="Times New Roman"/>
                      <w:szCs w:val="21"/>
                      <w:lang w:val="en-US"/>
                    </w:rPr>
                    <w:t>沥青混凝土搅拌混合</w:t>
                  </w:r>
                </w:p>
              </w:tc>
            </w:tr>
            <w:tr w14:paraId="1EAFE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8167" w:type="dxa"/>
                  <w:gridSpan w:val="5"/>
                  <w:vAlign w:val="center"/>
                </w:tcPr>
                <w:p w14:paraId="183E7DF4">
                  <w:pPr>
                    <w:pStyle w:val="45"/>
                    <w:jc w:val="both"/>
                    <w:rPr>
                      <w:rFonts w:ascii="Times New Roman" w:hAnsi="Times New Roman" w:cs="Times New Roman"/>
                      <w:szCs w:val="21"/>
                      <w:lang w:val="en-US"/>
                    </w:rPr>
                  </w:pPr>
                  <w:r>
                    <w:rPr>
                      <w:rFonts w:ascii="Times New Roman" w:hAnsi="Times New Roman" w:cs="Times New Roman"/>
                      <w:b/>
                      <w:bCs/>
                      <w:szCs w:val="21"/>
                      <w:lang w:val="en-US"/>
                    </w:rPr>
                    <w:t>四、粉料共给系统</w:t>
                  </w:r>
                </w:p>
              </w:tc>
            </w:tr>
            <w:tr w14:paraId="59F6E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exact"/>
              </w:trPr>
              <w:tc>
                <w:tcPr>
                  <w:tcW w:w="703" w:type="dxa"/>
                  <w:vAlign w:val="center"/>
                </w:tcPr>
                <w:p w14:paraId="0A76FC2C">
                  <w:pPr>
                    <w:pStyle w:val="45"/>
                    <w:rPr>
                      <w:rFonts w:ascii="Times New Roman" w:hAnsi="Times New Roman" w:cs="Times New Roman"/>
                      <w:szCs w:val="21"/>
                      <w:lang w:val="en-US"/>
                    </w:rPr>
                  </w:pPr>
                  <w:r>
                    <w:rPr>
                      <w:rFonts w:ascii="Times New Roman" w:hAnsi="Times New Roman" w:cs="Times New Roman"/>
                      <w:szCs w:val="21"/>
                      <w:lang w:val="en-US"/>
                    </w:rPr>
                    <w:t>1</w:t>
                  </w:r>
                </w:p>
              </w:tc>
              <w:tc>
                <w:tcPr>
                  <w:tcW w:w="2072" w:type="dxa"/>
                  <w:shd w:val="clear" w:color="auto" w:fill="auto"/>
                  <w:vAlign w:val="center"/>
                </w:tcPr>
                <w:p w14:paraId="2D997512">
                  <w:pPr>
                    <w:pStyle w:val="45"/>
                    <w:rPr>
                      <w:rFonts w:ascii="Times New Roman" w:hAnsi="Times New Roman" w:cs="Times New Roman"/>
                      <w:szCs w:val="21"/>
                      <w:lang w:val="en-US"/>
                    </w:rPr>
                  </w:pPr>
                  <w:r>
                    <w:rPr>
                      <w:rFonts w:ascii="Times New Roman" w:hAnsi="Times New Roman" w:cs="Times New Roman"/>
                      <w:szCs w:val="21"/>
                      <w:lang w:val="en-US"/>
                    </w:rPr>
                    <w:t>粉料仓</w:t>
                  </w:r>
                </w:p>
              </w:tc>
              <w:tc>
                <w:tcPr>
                  <w:tcW w:w="1708" w:type="dxa"/>
                  <w:shd w:val="clear" w:color="auto" w:fill="auto"/>
                  <w:vAlign w:val="center"/>
                </w:tcPr>
                <w:p w14:paraId="5DE1E957">
                  <w:pPr>
                    <w:pStyle w:val="45"/>
                    <w:rPr>
                      <w:rFonts w:ascii="Times New Roman" w:hAnsi="Times New Roman" w:cs="Times New Roman"/>
                      <w:szCs w:val="21"/>
                      <w:lang w:val="en-US"/>
                    </w:rPr>
                  </w:pPr>
                  <w:r>
                    <w:rPr>
                      <w:rFonts w:ascii="Times New Roman" w:hAnsi="Times New Roman" w:cs="Times New Roman"/>
                      <w:szCs w:val="21"/>
                      <w:lang w:val="en-US"/>
                    </w:rPr>
                    <w:t>100m³</w:t>
                  </w:r>
                </w:p>
              </w:tc>
              <w:tc>
                <w:tcPr>
                  <w:tcW w:w="915" w:type="dxa"/>
                  <w:shd w:val="clear" w:color="auto" w:fill="auto"/>
                  <w:vAlign w:val="center"/>
                </w:tcPr>
                <w:p w14:paraId="6387E450">
                  <w:pPr>
                    <w:pStyle w:val="45"/>
                    <w:rPr>
                      <w:rFonts w:ascii="Times New Roman" w:hAnsi="Times New Roman" w:cs="Times New Roman"/>
                      <w:szCs w:val="21"/>
                      <w:lang w:val="en-US"/>
                    </w:rPr>
                  </w:pPr>
                  <w:r>
                    <w:rPr>
                      <w:rFonts w:ascii="Times New Roman" w:hAnsi="Times New Roman" w:cs="Times New Roman"/>
                      <w:szCs w:val="21"/>
                      <w:lang w:val="en-US"/>
                    </w:rPr>
                    <w:t>1个</w:t>
                  </w:r>
                </w:p>
              </w:tc>
              <w:tc>
                <w:tcPr>
                  <w:tcW w:w="2769" w:type="dxa"/>
                  <w:shd w:val="clear" w:color="auto" w:fill="auto"/>
                  <w:vAlign w:val="center"/>
                </w:tcPr>
                <w:p w14:paraId="0F5A2B99">
                  <w:pPr>
                    <w:pStyle w:val="45"/>
                    <w:rPr>
                      <w:rFonts w:ascii="Times New Roman" w:hAnsi="Times New Roman" w:cs="Times New Roman"/>
                      <w:szCs w:val="21"/>
                      <w:lang w:val="en-US"/>
                    </w:rPr>
                  </w:pPr>
                  <w:r>
                    <w:rPr>
                      <w:rFonts w:ascii="Times New Roman" w:hAnsi="Times New Roman" w:cs="Times New Roman"/>
                      <w:szCs w:val="21"/>
                      <w:lang w:val="en-US"/>
                    </w:rPr>
                    <w:t>排气口配套设置脉冲除尘器及自动清吹系</w:t>
                  </w:r>
                </w:p>
              </w:tc>
            </w:tr>
            <w:tr w14:paraId="03290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703" w:type="dxa"/>
                  <w:vAlign w:val="center"/>
                </w:tcPr>
                <w:p w14:paraId="4A8E8CDE">
                  <w:pPr>
                    <w:pStyle w:val="45"/>
                    <w:rPr>
                      <w:rFonts w:ascii="Times New Roman" w:hAnsi="Times New Roman" w:cs="Times New Roman"/>
                      <w:szCs w:val="21"/>
                      <w:lang w:val="en-US"/>
                    </w:rPr>
                  </w:pPr>
                  <w:r>
                    <w:rPr>
                      <w:rFonts w:ascii="Times New Roman" w:hAnsi="Times New Roman" w:cs="Times New Roman"/>
                      <w:szCs w:val="21"/>
                      <w:lang w:val="en-US"/>
                    </w:rPr>
                    <w:t>2</w:t>
                  </w:r>
                </w:p>
              </w:tc>
              <w:tc>
                <w:tcPr>
                  <w:tcW w:w="2072" w:type="dxa"/>
                  <w:shd w:val="clear" w:color="auto" w:fill="auto"/>
                  <w:vAlign w:val="center"/>
                </w:tcPr>
                <w:p w14:paraId="0FCF9DBF">
                  <w:pPr>
                    <w:pStyle w:val="45"/>
                    <w:rPr>
                      <w:rFonts w:ascii="Times New Roman" w:hAnsi="Times New Roman" w:cs="Times New Roman"/>
                      <w:szCs w:val="21"/>
                      <w:lang w:val="en-US"/>
                    </w:rPr>
                  </w:pPr>
                  <w:r>
                    <w:rPr>
                      <w:rFonts w:ascii="Times New Roman" w:hAnsi="Times New Roman" w:cs="Times New Roman"/>
                      <w:szCs w:val="21"/>
                      <w:lang w:val="en-US"/>
                    </w:rPr>
                    <w:t>螺旋输送器</w:t>
                  </w:r>
                </w:p>
              </w:tc>
              <w:tc>
                <w:tcPr>
                  <w:tcW w:w="1708" w:type="dxa"/>
                  <w:shd w:val="clear" w:color="auto" w:fill="auto"/>
                  <w:vAlign w:val="center"/>
                </w:tcPr>
                <w:p w14:paraId="60094848">
                  <w:pPr>
                    <w:pStyle w:val="45"/>
                    <w:rPr>
                      <w:rFonts w:ascii="Times New Roman" w:hAnsi="Times New Roman" w:cs="Times New Roman"/>
                      <w:szCs w:val="21"/>
                      <w:lang w:val="en-US"/>
                    </w:rPr>
                  </w:pPr>
                  <w:r>
                    <w:rPr>
                      <w:rFonts w:ascii="Times New Roman" w:hAnsi="Times New Roman" w:cs="Times New Roman"/>
                      <w:szCs w:val="21"/>
                      <w:lang w:val="en-US"/>
                    </w:rPr>
                    <w:t>/</w:t>
                  </w:r>
                </w:p>
              </w:tc>
              <w:tc>
                <w:tcPr>
                  <w:tcW w:w="915" w:type="dxa"/>
                  <w:shd w:val="clear" w:color="auto" w:fill="auto"/>
                  <w:vAlign w:val="center"/>
                </w:tcPr>
                <w:p w14:paraId="062D4627">
                  <w:pPr>
                    <w:pStyle w:val="45"/>
                    <w:rPr>
                      <w:rFonts w:ascii="Times New Roman" w:hAnsi="Times New Roman" w:cs="Times New Roman"/>
                      <w:szCs w:val="21"/>
                      <w:lang w:val="en-US"/>
                    </w:rPr>
                  </w:pPr>
                  <w:r>
                    <w:rPr>
                      <w:rFonts w:ascii="Times New Roman" w:hAnsi="Times New Roman" w:cs="Times New Roman"/>
                      <w:szCs w:val="21"/>
                      <w:lang w:val="en-US"/>
                    </w:rPr>
                    <w:t>3台</w:t>
                  </w:r>
                </w:p>
              </w:tc>
              <w:tc>
                <w:tcPr>
                  <w:tcW w:w="2769" w:type="dxa"/>
                  <w:shd w:val="clear" w:color="auto" w:fill="auto"/>
                  <w:vAlign w:val="center"/>
                </w:tcPr>
                <w:p w14:paraId="15A6A5C4">
                  <w:pPr>
                    <w:pStyle w:val="45"/>
                    <w:rPr>
                      <w:rFonts w:ascii="Times New Roman" w:hAnsi="Times New Roman" w:cs="Times New Roman"/>
                      <w:szCs w:val="21"/>
                      <w:lang w:val="en-US"/>
                    </w:rPr>
                  </w:pPr>
                  <w:r>
                    <w:rPr>
                      <w:rFonts w:ascii="Times New Roman" w:hAnsi="Times New Roman" w:cs="Times New Roman"/>
                      <w:szCs w:val="21"/>
                      <w:lang w:val="en-US"/>
                    </w:rPr>
                    <w:t>粉料输送</w:t>
                  </w:r>
                </w:p>
              </w:tc>
            </w:tr>
            <w:tr w14:paraId="571E7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8167" w:type="dxa"/>
                  <w:gridSpan w:val="5"/>
                  <w:vAlign w:val="center"/>
                </w:tcPr>
                <w:p w14:paraId="3332FDA7">
                  <w:pPr>
                    <w:pStyle w:val="45"/>
                    <w:jc w:val="both"/>
                    <w:rPr>
                      <w:rFonts w:ascii="Times New Roman" w:hAnsi="Times New Roman" w:cs="Times New Roman"/>
                      <w:szCs w:val="21"/>
                      <w:lang w:val="en-US"/>
                    </w:rPr>
                  </w:pPr>
                  <w:r>
                    <w:rPr>
                      <w:rFonts w:ascii="Times New Roman" w:hAnsi="Times New Roman" w:cs="Times New Roman"/>
                      <w:b/>
                      <w:bCs/>
                      <w:szCs w:val="21"/>
                      <w:lang w:val="en-US"/>
                    </w:rPr>
                    <w:t>五、沥青系统</w:t>
                  </w:r>
                </w:p>
              </w:tc>
            </w:tr>
            <w:tr w14:paraId="217EC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703" w:type="dxa"/>
                  <w:vAlign w:val="center"/>
                </w:tcPr>
                <w:p w14:paraId="25D86B6A">
                  <w:pPr>
                    <w:pStyle w:val="45"/>
                    <w:rPr>
                      <w:rFonts w:ascii="Times New Roman" w:hAnsi="Times New Roman" w:cs="Times New Roman"/>
                      <w:szCs w:val="21"/>
                      <w:lang w:val="en-US"/>
                    </w:rPr>
                  </w:pPr>
                  <w:r>
                    <w:rPr>
                      <w:rFonts w:hint="eastAsia" w:ascii="Times New Roman" w:hAnsi="Times New Roman" w:cs="Times New Roman"/>
                      <w:szCs w:val="21"/>
                      <w:lang w:val="en-US"/>
                    </w:rPr>
                    <w:t>1</w:t>
                  </w:r>
                </w:p>
                <w:p w14:paraId="172564C9">
                  <w:pPr>
                    <w:pStyle w:val="45"/>
                    <w:rPr>
                      <w:rFonts w:ascii="Times New Roman" w:hAnsi="Times New Roman" w:cs="Times New Roman"/>
                      <w:szCs w:val="21"/>
                      <w:lang w:val="en-US"/>
                    </w:rPr>
                  </w:pPr>
                </w:p>
              </w:tc>
              <w:tc>
                <w:tcPr>
                  <w:tcW w:w="2072" w:type="dxa"/>
                  <w:shd w:val="clear" w:color="auto" w:fill="auto"/>
                  <w:vAlign w:val="center"/>
                </w:tcPr>
                <w:p w14:paraId="2E1569D6">
                  <w:pPr>
                    <w:pStyle w:val="45"/>
                    <w:rPr>
                      <w:rFonts w:ascii="Times New Roman" w:hAnsi="Times New Roman" w:cs="Times New Roman"/>
                      <w:szCs w:val="21"/>
                    </w:rPr>
                  </w:pPr>
                  <w:r>
                    <w:rPr>
                      <w:rFonts w:ascii="Times New Roman" w:hAnsi="Times New Roman" w:cs="Times New Roman"/>
                      <w:szCs w:val="21"/>
                      <w:lang w:val="en-US"/>
                    </w:rPr>
                    <w:t>沥青罐</w:t>
                  </w:r>
                </w:p>
              </w:tc>
              <w:tc>
                <w:tcPr>
                  <w:tcW w:w="1708" w:type="dxa"/>
                  <w:shd w:val="clear" w:color="auto" w:fill="auto"/>
                  <w:vAlign w:val="center"/>
                </w:tcPr>
                <w:p w14:paraId="26221C9D">
                  <w:pPr>
                    <w:pStyle w:val="45"/>
                    <w:rPr>
                      <w:rFonts w:ascii="Times New Roman" w:hAnsi="Times New Roman" w:cs="Times New Roman"/>
                      <w:szCs w:val="21"/>
                      <w:lang w:val="en-US"/>
                    </w:rPr>
                  </w:pPr>
                  <w:r>
                    <w:rPr>
                      <w:rFonts w:ascii="Times New Roman" w:hAnsi="Times New Roman" w:cs="Times New Roman"/>
                      <w:szCs w:val="21"/>
                      <w:lang w:val="en-US"/>
                    </w:rPr>
                    <w:t>50m³</w:t>
                  </w:r>
                </w:p>
              </w:tc>
              <w:tc>
                <w:tcPr>
                  <w:tcW w:w="915" w:type="dxa"/>
                  <w:shd w:val="clear" w:color="auto" w:fill="auto"/>
                  <w:vAlign w:val="center"/>
                </w:tcPr>
                <w:p w14:paraId="1E2F527E">
                  <w:pPr>
                    <w:pStyle w:val="45"/>
                    <w:rPr>
                      <w:rFonts w:ascii="Times New Roman" w:hAnsi="Times New Roman" w:cs="Times New Roman"/>
                      <w:szCs w:val="21"/>
                      <w:lang w:val="en-US"/>
                    </w:rPr>
                  </w:pPr>
                  <w:r>
                    <w:rPr>
                      <w:rFonts w:ascii="Times New Roman" w:hAnsi="Times New Roman" w:cs="Times New Roman"/>
                      <w:szCs w:val="21"/>
                      <w:lang w:val="en-US"/>
                    </w:rPr>
                    <w:t>3个</w:t>
                  </w:r>
                </w:p>
              </w:tc>
              <w:tc>
                <w:tcPr>
                  <w:tcW w:w="2769" w:type="dxa"/>
                  <w:shd w:val="clear" w:color="auto" w:fill="auto"/>
                  <w:vAlign w:val="center"/>
                </w:tcPr>
                <w:p w14:paraId="02CAACBF">
                  <w:pPr>
                    <w:pStyle w:val="45"/>
                    <w:rPr>
                      <w:rFonts w:ascii="Times New Roman" w:hAnsi="Times New Roman" w:cs="Times New Roman"/>
                      <w:szCs w:val="21"/>
                      <w:lang w:val="en-US"/>
                    </w:rPr>
                  </w:pPr>
                  <w:r>
                    <w:rPr>
                      <w:rFonts w:ascii="Times New Roman" w:hAnsi="Times New Roman" w:cs="Times New Roman"/>
                      <w:szCs w:val="21"/>
                      <w:lang w:val="en-US"/>
                    </w:rPr>
                    <w:t>基质沥青存储</w:t>
                  </w:r>
                </w:p>
              </w:tc>
            </w:tr>
            <w:tr w14:paraId="7C7A3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703" w:type="dxa"/>
                  <w:vAlign w:val="center"/>
                </w:tcPr>
                <w:p w14:paraId="595C9883">
                  <w:pPr>
                    <w:pStyle w:val="45"/>
                    <w:rPr>
                      <w:rFonts w:ascii="Times New Roman" w:hAnsi="Times New Roman" w:cs="Times New Roman"/>
                      <w:szCs w:val="21"/>
                      <w:lang w:val="en-US"/>
                    </w:rPr>
                  </w:pPr>
                  <w:r>
                    <w:rPr>
                      <w:rFonts w:hint="eastAsia" w:ascii="Times New Roman" w:hAnsi="Times New Roman" w:cs="Times New Roman"/>
                      <w:szCs w:val="21"/>
                      <w:lang w:val="en-US"/>
                    </w:rPr>
                    <w:t>2</w:t>
                  </w:r>
                </w:p>
              </w:tc>
              <w:tc>
                <w:tcPr>
                  <w:tcW w:w="2072" w:type="dxa"/>
                  <w:shd w:val="clear" w:color="auto" w:fill="auto"/>
                  <w:vAlign w:val="center"/>
                </w:tcPr>
                <w:p w14:paraId="0AA606DE">
                  <w:pPr>
                    <w:pStyle w:val="45"/>
                    <w:rPr>
                      <w:rFonts w:ascii="Times New Roman" w:hAnsi="Times New Roman" w:cs="Times New Roman"/>
                      <w:szCs w:val="21"/>
                    </w:rPr>
                  </w:pPr>
                  <w:r>
                    <w:rPr>
                      <w:rFonts w:ascii="Times New Roman" w:hAnsi="Times New Roman" w:cs="Times New Roman"/>
                      <w:szCs w:val="21"/>
                      <w:lang w:val="en-US"/>
                    </w:rPr>
                    <w:t>沥青泵</w:t>
                  </w:r>
                </w:p>
              </w:tc>
              <w:tc>
                <w:tcPr>
                  <w:tcW w:w="1708" w:type="dxa"/>
                  <w:shd w:val="clear" w:color="auto" w:fill="auto"/>
                  <w:vAlign w:val="center"/>
                </w:tcPr>
                <w:p w14:paraId="05CA32CB">
                  <w:pPr>
                    <w:pStyle w:val="45"/>
                    <w:rPr>
                      <w:rFonts w:ascii="Times New Roman" w:hAnsi="Times New Roman" w:cs="Times New Roman"/>
                      <w:szCs w:val="21"/>
                      <w:lang w:val="en-US"/>
                    </w:rPr>
                  </w:pPr>
                  <w:r>
                    <w:rPr>
                      <w:rFonts w:ascii="Times New Roman" w:hAnsi="Times New Roman" w:cs="Times New Roman"/>
                      <w:szCs w:val="21"/>
                      <w:lang w:val="en-US"/>
                    </w:rPr>
                    <w:t>7.5kW 400L/min</w:t>
                  </w:r>
                </w:p>
              </w:tc>
              <w:tc>
                <w:tcPr>
                  <w:tcW w:w="915" w:type="dxa"/>
                  <w:shd w:val="clear" w:color="auto" w:fill="auto"/>
                  <w:vAlign w:val="center"/>
                </w:tcPr>
                <w:p w14:paraId="618D6DB7">
                  <w:pPr>
                    <w:pStyle w:val="45"/>
                    <w:rPr>
                      <w:rFonts w:ascii="Times New Roman" w:hAnsi="Times New Roman" w:cs="Times New Roman"/>
                      <w:szCs w:val="21"/>
                      <w:lang w:val="en-US"/>
                    </w:rPr>
                  </w:pPr>
                  <w:r>
                    <w:rPr>
                      <w:rFonts w:ascii="Times New Roman" w:hAnsi="Times New Roman" w:cs="Times New Roman"/>
                      <w:szCs w:val="21"/>
                      <w:lang w:val="en-US"/>
                    </w:rPr>
                    <w:t>3台</w:t>
                  </w:r>
                </w:p>
              </w:tc>
              <w:tc>
                <w:tcPr>
                  <w:tcW w:w="2769" w:type="dxa"/>
                  <w:shd w:val="clear" w:color="auto" w:fill="auto"/>
                  <w:vAlign w:val="center"/>
                </w:tcPr>
                <w:p w14:paraId="24468CA4">
                  <w:pPr>
                    <w:pStyle w:val="45"/>
                    <w:rPr>
                      <w:rFonts w:ascii="Times New Roman" w:hAnsi="Times New Roman" w:cs="Times New Roman"/>
                      <w:szCs w:val="21"/>
                      <w:lang w:val="en-US"/>
                    </w:rPr>
                  </w:pPr>
                  <w:r>
                    <w:rPr>
                      <w:rFonts w:ascii="Times New Roman" w:hAnsi="Times New Roman" w:cs="Times New Roman"/>
                      <w:szCs w:val="21"/>
                      <w:lang w:val="en-US"/>
                    </w:rPr>
                    <w:t>沥青输送</w:t>
                  </w:r>
                </w:p>
              </w:tc>
            </w:tr>
            <w:tr w14:paraId="3CF5E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703" w:type="dxa"/>
                  <w:vAlign w:val="center"/>
                </w:tcPr>
                <w:p w14:paraId="50CA2568">
                  <w:pPr>
                    <w:pStyle w:val="45"/>
                    <w:rPr>
                      <w:rFonts w:ascii="Times New Roman" w:hAnsi="Times New Roman" w:cs="Times New Roman"/>
                      <w:szCs w:val="21"/>
                      <w:lang w:val="en-US"/>
                    </w:rPr>
                  </w:pPr>
                  <w:r>
                    <w:rPr>
                      <w:rFonts w:hint="eastAsia" w:ascii="Times New Roman" w:hAnsi="Times New Roman" w:cs="Times New Roman"/>
                      <w:szCs w:val="21"/>
                      <w:lang w:val="en-US"/>
                    </w:rPr>
                    <w:t>3</w:t>
                  </w:r>
                </w:p>
              </w:tc>
              <w:tc>
                <w:tcPr>
                  <w:tcW w:w="2072" w:type="dxa"/>
                  <w:shd w:val="clear" w:color="auto" w:fill="auto"/>
                  <w:vAlign w:val="center"/>
                </w:tcPr>
                <w:p w14:paraId="69BAC08E">
                  <w:pPr>
                    <w:pStyle w:val="45"/>
                    <w:rPr>
                      <w:rFonts w:ascii="Times New Roman" w:hAnsi="Times New Roman" w:cs="Times New Roman"/>
                      <w:szCs w:val="21"/>
                    </w:rPr>
                  </w:pPr>
                  <w:r>
                    <w:rPr>
                      <w:rFonts w:ascii="Times New Roman" w:hAnsi="Times New Roman" w:cs="Times New Roman"/>
                      <w:szCs w:val="21"/>
                    </w:rPr>
                    <w:t>导热油</w:t>
                  </w:r>
                  <w:r>
                    <w:rPr>
                      <w:rFonts w:ascii="Times New Roman" w:hAnsi="Times New Roman" w:cs="Times New Roman"/>
                      <w:szCs w:val="21"/>
                      <w:lang w:val="en-US"/>
                    </w:rPr>
                    <w:t>炉</w:t>
                  </w:r>
                </w:p>
              </w:tc>
              <w:tc>
                <w:tcPr>
                  <w:tcW w:w="1708" w:type="dxa"/>
                  <w:shd w:val="clear" w:color="auto" w:fill="auto"/>
                  <w:vAlign w:val="center"/>
                </w:tcPr>
                <w:p w14:paraId="64C33DC9">
                  <w:pPr>
                    <w:pStyle w:val="45"/>
                    <w:rPr>
                      <w:rFonts w:ascii="Times New Roman" w:hAnsi="Times New Roman" w:cs="Times New Roman"/>
                      <w:szCs w:val="21"/>
                      <w:lang w:val="en-US"/>
                    </w:rPr>
                  </w:pPr>
                  <w:r>
                    <w:rPr>
                      <w:rFonts w:ascii="Times New Roman" w:hAnsi="Times New Roman" w:cs="Times New Roman"/>
                      <w:szCs w:val="21"/>
                    </w:rPr>
                    <w:t>50万大卡</w:t>
                  </w:r>
                </w:p>
              </w:tc>
              <w:tc>
                <w:tcPr>
                  <w:tcW w:w="915" w:type="dxa"/>
                  <w:shd w:val="clear" w:color="auto" w:fill="auto"/>
                  <w:vAlign w:val="center"/>
                </w:tcPr>
                <w:p w14:paraId="3B0A8C65">
                  <w:pPr>
                    <w:pStyle w:val="45"/>
                    <w:rPr>
                      <w:rFonts w:ascii="Times New Roman" w:hAnsi="Times New Roman" w:cs="Times New Roman"/>
                      <w:szCs w:val="21"/>
                      <w:lang w:val="en-US"/>
                    </w:rPr>
                  </w:pPr>
                  <w:r>
                    <w:rPr>
                      <w:rFonts w:ascii="Times New Roman" w:hAnsi="Times New Roman" w:cs="Times New Roman"/>
                      <w:szCs w:val="21"/>
                      <w:lang w:val="en-US"/>
                    </w:rPr>
                    <w:t>1台</w:t>
                  </w:r>
                </w:p>
              </w:tc>
              <w:tc>
                <w:tcPr>
                  <w:tcW w:w="2769" w:type="dxa"/>
                  <w:shd w:val="clear" w:color="auto" w:fill="auto"/>
                  <w:vAlign w:val="center"/>
                </w:tcPr>
                <w:p w14:paraId="2E26B429">
                  <w:pPr>
                    <w:pStyle w:val="45"/>
                    <w:rPr>
                      <w:rFonts w:ascii="Times New Roman" w:hAnsi="Times New Roman" w:cs="Times New Roman"/>
                      <w:szCs w:val="21"/>
                      <w:lang w:val="en-US"/>
                    </w:rPr>
                  </w:pPr>
                  <w:r>
                    <w:rPr>
                      <w:rFonts w:ascii="Times New Roman" w:hAnsi="Times New Roman" w:cs="Times New Roman"/>
                      <w:szCs w:val="21"/>
                      <w:lang w:val="en-US"/>
                    </w:rPr>
                    <w:t>沥青加热</w:t>
                  </w:r>
                </w:p>
              </w:tc>
            </w:tr>
            <w:tr w14:paraId="760D9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8167" w:type="dxa"/>
                  <w:gridSpan w:val="5"/>
                  <w:vAlign w:val="center"/>
                </w:tcPr>
                <w:p w14:paraId="35D32CA2">
                  <w:pPr>
                    <w:pStyle w:val="45"/>
                    <w:jc w:val="both"/>
                    <w:rPr>
                      <w:rFonts w:ascii="Times New Roman" w:hAnsi="Times New Roman" w:cs="Times New Roman"/>
                      <w:szCs w:val="21"/>
                      <w:lang w:val="en-US"/>
                    </w:rPr>
                  </w:pPr>
                  <w:r>
                    <w:rPr>
                      <w:rFonts w:ascii="Times New Roman" w:hAnsi="Times New Roman" w:cs="Times New Roman"/>
                      <w:b/>
                      <w:bCs/>
                      <w:szCs w:val="21"/>
                      <w:lang w:val="en-US"/>
                    </w:rPr>
                    <w:t>六、成品料储存仓</w:t>
                  </w:r>
                </w:p>
              </w:tc>
            </w:tr>
            <w:tr w14:paraId="04350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703" w:type="dxa"/>
                  <w:vAlign w:val="center"/>
                </w:tcPr>
                <w:p w14:paraId="2AD2E841">
                  <w:pPr>
                    <w:pStyle w:val="45"/>
                    <w:rPr>
                      <w:rFonts w:ascii="Times New Roman" w:hAnsi="Times New Roman" w:cs="Times New Roman"/>
                      <w:szCs w:val="21"/>
                      <w:lang w:val="en-US"/>
                    </w:rPr>
                  </w:pPr>
                  <w:r>
                    <w:rPr>
                      <w:rFonts w:ascii="Times New Roman" w:hAnsi="Times New Roman" w:cs="Times New Roman"/>
                      <w:szCs w:val="21"/>
                      <w:lang w:val="en-US"/>
                    </w:rPr>
                    <w:t>1</w:t>
                  </w:r>
                </w:p>
              </w:tc>
              <w:tc>
                <w:tcPr>
                  <w:tcW w:w="2072" w:type="dxa"/>
                  <w:shd w:val="clear" w:color="auto" w:fill="auto"/>
                  <w:vAlign w:val="center"/>
                </w:tcPr>
                <w:p w14:paraId="454C02D6">
                  <w:pPr>
                    <w:pStyle w:val="45"/>
                    <w:rPr>
                      <w:rFonts w:ascii="Times New Roman" w:hAnsi="Times New Roman" w:cs="Times New Roman"/>
                      <w:szCs w:val="21"/>
                    </w:rPr>
                  </w:pPr>
                  <w:r>
                    <w:rPr>
                      <w:rFonts w:ascii="Times New Roman" w:hAnsi="Times New Roman" w:cs="Times New Roman"/>
                      <w:szCs w:val="21"/>
                    </w:rPr>
                    <w:t>双仓料仓</w:t>
                  </w:r>
                </w:p>
              </w:tc>
              <w:tc>
                <w:tcPr>
                  <w:tcW w:w="1708" w:type="dxa"/>
                  <w:shd w:val="clear" w:color="auto" w:fill="auto"/>
                  <w:vAlign w:val="center"/>
                </w:tcPr>
                <w:p w14:paraId="77F9B130">
                  <w:pPr>
                    <w:pStyle w:val="45"/>
                    <w:rPr>
                      <w:rFonts w:ascii="Times New Roman" w:hAnsi="Times New Roman" w:cs="Times New Roman"/>
                      <w:szCs w:val="21"/>
                      <w:lang w:val="en-US"/>
                    </w:rPr>
                  </w:pPr>
                  <w:r>
                    <w:rPr>
                      <w:rFonts w:ascii="Times New Roman" w:hAnsi="Times New Roman" w:cs="Times New Roman"/>
                      <w:szCs w:val="21"/>
                    </w:rPr>
                    <w:t>60T</w:t>
                  </w:r>
                </w:p>
              </w:tc>
              <w:tc>
                <w:tcPr>
                  <w:tcW w:w="915" w:type="dxa"/>
                  <w:shd w:val="clear" w:color="auto" w:fill="auto"/>
                  <w:vAlign w:val="center"/>
                </w:tcPr>
                <w:p w14:paraId="6186A7CC">
                  <w:pPr>
                    <w:pStyle w:val="45"/>
                    <w:rPr>
                      <w:rFonts w:ascii="Times New Roman" w:hAnsi="Times New Roman" w:cs="Times New Roman"/>
                      <w:szCs w:val="21"/>
                      <w:lang w:val="en-US"/>
                    </w:rPr>
                  </w:pPr>
                  <w:r>
                    <w:rPr>
                      <w:rFonts w:ascii="Times New Roman" w:hAnsi="Times New Roman" w:cs="Times New Roman"/>
                      <w:szCs w:val="21"/>
                      <w:lang w:val="en-US"/>
                    </w:rPr>
                    <w:t>1套</w:t>
                  </w:r>
                </w:p>
              </w:tc>
              <w:tc>
                <w:tcPr>
                  <w:tcW w:w="2769" w:type="dxa"/>
                  <w:shd w:val="clear" w:color="auto" w:fill="auto"/>
                  <w:vAlign w:val="center"/>
                </w:tcPr>
                <w:p w14:paraId="4E919D9A">
                  <w:pPr>
                    <w:pStyle w:val="45"/>
                    <w:rPr>
                      <w:rFonts w:ascii="Times New Roman" w:hAnsi="Times New Roman" w:cs="Times New Roman"/>
                      <w:szCs w:val="21"/>
                      <w:lang w:val="en-US"/>
                    </w:rPr>
                  </w:pPr>
                  <w:r>
                    <w:rPr>
                      <w:rFonts w:ascii="Times New Roman" w:hAnsi="Times New Roman" w:cs="Times New Roman"/>
                      <w:szCs w:val="21"/>
                      <w:lang w:val="en-US"/>
                    </w:rPr>
                    <w:t>沥青混凝土储存</w:t>
                  </w:r>
                </w:p>
              </w:tc>
            </w:tr>
            <w:tr w14:paraId="06260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8167" w:type="dxa"/>
                  <w:gridSpan w:val="5"/>
                  <w:vAlign w:val="center"/>
                </w:tcPr>
                <w:p w14:paraId="6F31F768">
                  <w:pPr>
                    <w:pStyle w:val="45"/>
                    <w:jc w:val="both"/>
                    <w:rPr>
                      <w:rFonts w:ascii="Times New Roman" w:hAnsi="Times New Roman" w:cs="Times New Roman"/>
                      <w:szCs w:val="21"/>
                      <w:lang w:val="en-US"/>
                    </w:rPr>
                  </w:pPr>
                  <w:r>
                    <w:rPr>
                      <w:rFonts w:ascii="Times New Roman" w:hAnsi="Times New Roman" w:cs="Times New Roman"/>
                      <w:b/>
                      <w:bCs/>
                      <w:szCs w:val="21"/>
                      <w:lang w:val="en-US"/>
                    </w:rPr>
                    <w:t>七、除尘系统</w:t>
                  </w:r>
                </w:p>
              </w:tc>
            </w:tr>
            <w:tr w14:paraId="08AC2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exact"/>
              </w:trPr>
              <w:tc>
                <w:tcPr>
                  <w:tcW w:w="703" w:type="dxa"/>
                  <w:vAlign w:val="center"/>
                </w:tcPr>
                <w:p w14:paraId="6DFEBD41">
                  <w:pPr>
                    <w:pStyle w:val="45"/>
                    <w:rPr>
                      <w:rFonts w:ascii="Times New Roman" w:hAnsi="Times New Roman" w:cs="Times New Roman"/>
                      <w:szCs w:val="21"/>
                      <w:lang w:val="en-US"/>
                    </w:rPr>
                  </w:pPr>
                  <w:r>
                    <w:rPr>
                      <w:rFonts w:hint="eastAsia" w:ascii="Times New Roman" w:hAnsi="Times New Roman" w:cs="Times New Roman"/>
                      <w:szCs w:val="21"/>
                      <w:lang w:val="en-US"/>
                    </w:rPr>
                    <w:t>1</w:t>
                  </w:r>
                </w:p>
              </w:tc>
              <w:tc>
                <w:tcPr>
                  <w:tcW w:w="2072" w:type="dxa"/>
                  <w:shd w:val="clear" w:color="auto" w:fill="auto"/>
                  <w:vAlign w:val="center"/>
                </w:tcPr>
                <w:p w14:paraId="69F09BEE">
                  <w:pPr>
                    <w:pStyle w:val="45"/>
                    <w:rPr>
                      <w:rFonts w:ascii="Times New Roman" w:hAnsi="Times New Roman" w:cs="Times New Roman"/>
                      <w:szCs w:val="21"/>
                      <w:lang w:val="en-US"/>
                    </w:rPr>
                  </w:pPr>
                  <w:r>
                    <w:rPr>
                      <w:rFonts w:ascii="Times New Roman" w:hAnsi="Times New Roman" w:cs="Times New Roman"/>
                      <w:szCs w:val="21"/>
                    </w:rPr>
                    <w:t>惯性除尘</w:t>
                  </w:r>
                  <w:r>
                    <w:rPr>
                      <w:rFonts w:ascii="Times New Roman" w:hAnsi="Times New Roman" w:cs="Times New Roman"/>
                      <w:szCs w:val="21"/>
                      <w:lang w:val="en-US"/>
                    </w:rPr>
                    <w:t>+</w:t>
                  </w:r>
                  <w:r>
                    <w:rPr>
                      <w:rFonts w:ascii="Times New Roman" w:hAnsi="Times New Roman" w:cs="Times New Roman"/>
                      <w:szCs w:val="21"/>
                    </w:rPr>
                    <w:t>袋式除尘</w:t>
                  </w:r>
                </w:p>
              </w:tc>
              <w:tc>
                <w:tcPr>
                  <w:tcW w:w="1708" w:type="dxa"/>
                  <w:shd w:val="clear" w:color="auto" w:fill="auto"/>
                  <w:vAlign w:val="center"/>
                </w:tcPr>
                <w:p w14:paraId="510FEAEE">
                  <w:pPr>
                    <w:pStyle w:val="45"/>
                    <w:rPr>
                      <w:rFonts w:ascii="Times New Roman" w:hAnsi="Times New Roman" w:cs="Times New Roman"/>
                      <w:szCs w:val="21"/>
                      <w:lang w:val="en-US"/>
                    </w:rPr>
                  </w:pPr>
                  <w:r>
                    <w:rPr>
                      <w:rFonts w:ascii="Times New Roman" w:hAnsi="Times New Roman" w:cs="Times New Roman"/>
                      <w:szCs w:val="21"/>
                      <w:lang w:val="en-US"/>
                    </w:rPr>
                    <w:t>风量</w:t>
                  </w:r>
                  <w:r>
                    <w:rPr>
                      <w:rFonts w:ascii="Times New Roman" w:hAnsi="Times New Roman" w:cs="Times New Roman"/>
                      <w:szCs w:val="21"/>
                    </w:rPr>
                    <w:t>75000m</w:t>
                  </w:r>
                  <w:r>
                    <w:rPr>
                      <w:rFonts w:ascii="Times New Roman" w:hAnsi="Times New Roman" w:cs="Times New Roman"/>
                      <w:szCs w:val="21"/>
                      <w:vertAlign w:val="superscript"/>
                    </w:rPr>
                    <w:t>3</w:t>
                  </w:r>
                  <w:r>
                    <w:rPr>
                      <w:rFonts w:ascii="Times New Roman" w:hAnsi="Times New Roman" w:cs="Times New Roman"/>
                      <w:szCs w:val="21"/>
                    </w:rPr>
                    <w:t>/h</w:t>
                  </w:r>
                </w:p>
              </w:tc>
              <w:tc>
                <w:tcPr>
                  <w:tcW w:w="915" w:type="dxa"/>
                  <w:shd w:val="clear" w:color="auto" w:fill="auto"/>
                  <w:vAlign w:val="center"/>
                </w:tcPr>
                <w:p w14:paraId="78415806">
                  <w:pPr>
                    <w:pStyle w:val="45"/>
                    <w:rPr>
                      <w:rFonts w:ascii="Times New Roman" w:hAnsi="Times New Roman" w:cs="Times New Roman"/>
                      <w:szCs w:val="21"/>
                      <w:lang w:val="en-US"/>
                    </w:rPr>
                  </w:pPr>
                  <w:r>
                    <w:rPr>
                      <w:rFonts w:ascii="Times New Roman" w:hAnsi="Times New Roman" w:cs="Times New Roman"/>
                      <w:szCs w:val="21"/>
                      <w:lang w:val="en-US"/>
                    </w:rPr>
                    <w:t>1套</w:t>
                  </w:r>
                </w:p>
              </w:tc>
              <w:tc>
                <w:tcPr>
                  <w:tcW w:w="2769" w:type="dxa"/>
                  <w:shd w:val="clear" w:color="auto" w:fill="auto"/>
                  <w:vAlign w:val="center"/>
                </w:tcPr>
                <w:p w14:paraId="72367287">
                  <w:pPr>
                    <w:pStyle w:val="45"/>
                    <w:rPr>
                      <w:rFonts w:ascii="Times New Roman" w:hAnsi="Times New Roman" w:cs="Times New Roman"/>
                      <w:szCs w:val="21"/>
                      <w:lang w:val="en-US"/>
                    </w:rPr>
                  </w:pPr>
                  <w:r>
                    <w:rPr>
                      <w:rFonts w:ascii="Times New Roman" w:hAnsi="Times New Roman" w:cs="Times New Roman"/>
                      <w:szCs w:val="21"/>
                      <w:lang w:val="en-US"/>
                    </w:rPr>
                    <w:t>烘干、提升和筛分等粉尘处理</w:t>
                  </w:r>
                </w:p>
              </w:tc>
            </w:tr>
            <w:tr w14:paraId="00553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703" w:type="dxa"/>
                  <w:vAlign w:val="center"/>
                </w:tcPr>
                <w:p w14:paraId="0F01BD32">
                  <w:pPr>
                    <w:pStyle w:val="45"/>
                    <w:rPr>
                      <w:rFonts w:ascii="Times New Roman" w:hAnsi="Times New Roman" w:cs="Times New Roman"/>
                      <w:szCs w:val="21"/>
                      <w:lang w:val="en-US"/>
                    </w:rPr>
                  </w:pPr>
                  <w:r>
                    <w:rPr>
                      <w:rFonts w:hint="eastAsia" w:ascii="Times New Roman" w:hAnsi="Times New Roman" w:cs="Times New Roman"/>
                      <w:szCs w:val="21"/>
                      <w:lang w:val="en-US"/>
                    </w:rPr>
                    <w:t>2</w:t>
                  </w:r>
                </w:p>
              </w:tc>
              <w:tc>
                <w:tcPr>
                  <w:tcW w:w="2072" w:type="dxa"/>
                  <w:shd w:val="clear" w:color="auto" w:fill="auto"/>
                  <w:vAlign w:val="center"/>
                </w:tcPr>
                <w:p w14:paraId="447F88A6">
                  <w:pPr>
                    <w:pStyle w:val="45"/>
                    <w:rPr>
                      <w:rFonts w:ascii="Times New Roman" w:hAnsi="Times New Roman" w:cs="Times New Roman"/>
                      <w:szCs w:val="21"/>
                      <w:lang w:val="en-US"/>
                    </w:rPr>
                  </w:pPr>
                  <w:r>
                    <w:rPr>
                      <w:rFonts w:ascii="Times New Roman" w:hAnsi="Times New Roman" w:cs="Times New Roman"/>
                      <w:szCs w:val="21"/>
                    </w:rPr>
                    <w:t>螺旋</w:t>
                  </w:r>
                  <w:r>
                    <w:rPr>
                      <w:rFonts w:ascii="Times New Roman" w:hAnsi="Times New Roman" w:cs="Times New Roman"/>
                      <w:szCs w:val="21"/>
                      <w:lang w:val="en-US"/>
                    </w:rPr>
                    <w:t>输送器</w:t>
                  </w:r>
                </w:p>
              </w:tc>
              <w:tc>
                <w:tcPr>
                  <w:tcW w:w="1708" w:type="dxa"/>
                  <w:shd w:val="clear" w:color="auto" w:fill="auto"/>
                  <w:vAlign w:val="center"/>
                </w:tcPr>
                <w:p w14:paraId="221182B6">
                  <w:pPr>
                    <w:pStyle w:val="45"/>
                    <w:rPr>
                      <w:rFonts w:ascii="Times New Roman" w:hAnsi="Times New Roman" w:cs="Times New Roman"/>
                      <w:szCs w:val="21"/>
                      <w:lang w:val="en-US"/>
                    </w:rPr>
                  </w:pPr>
                  <w:r>
                    <w:rPr>
                      <w:rFonts w:ascii="Times New Roman" w:hAnsi="Times New Roman" w:cs="Times New Roman"/>
                      <w:szCs w:val="21"/>
                    </w:rPr>
                    <w:t>7.5kW</w:t>
                  </w:r>
                </w:p>
              </w:tc>
              <w:tc>
                <w:tcPr>
                  <w:tcW w:w="915" w:type="dxa"/>
                  <w:shd w:val="clear" w:color="auto" w:fill="auto"/>
                  <w:vAlign w:val="center"/>
                </w:tcPr>
                <w:p w14:paraId="007F3B40">
                  <w:pPr>
                    <w:pStyle w:val="45"/>
                    <w:rPr>
                      <w:rFonts w:ascii="Times New Roman" w:hAnsi="Times New Roman" w:cs="Times New Roman"/>
                      <w:szCs w:val="21"/>
                      <w:lang w:val="en-US"/>
                    </w:rPr>
                  </w:pPr>
                  <w:r>
                    <w:rPr>
                      <w:rFonts w:ascii="Times New Roman" w:hAnsi="Times New Roman" w:cs="Times New Roman"/>
                      <w:szCs w:val="21"/>
                      <w:lang w:val="en-US"/>
                    </w:rPr>
                    <w:t>1台</w:t>
                  </w:r>
                </w:p>
              </w:tc>
              <w:tc>
                <w:tcPr>
                  <w:tcW w:w="2769" w:type="dxa"/>
                  <w:shd w:val="clear" w:color="auto" w:fill="auto"/>
                  <w:vAlign w:val="center"/>
                </w:tcPr>
                <w:p w14:paraId="13E6E1EB">
                  <w:pPr>
                    <w:pStyle w:val="45"/>
                    <w:rPr>
                      <w:rFonts w:ascii="Times New Roman" w:hAnsi="Times New Roman" w:cs="Times New Roman"/>
                      <w:szCs w:val="21"/>
                      <w:lang w:val="en-US"/>
                    </w:rPr>
                  </w:pPr>
                  <w:r>
                    <w:rPr>
                      <w:rFonts w:ascii="Times New Roman" w:hAnsi="Times New Roman" w:cs="Times New Roman"/>
                      <w:szCs w:val="21"/>
                      <w:lang w:val="en-US"/>
                    </w:rPr>
                    <w:t>收集粉尘输送</w:t>
                  </w:r>
                </w:p>
              </w:tc>
            </w:tr>
            <w:tr w14:paraId="3A896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8167" w:type="dxa"/>
                  <w:gridSpan w:val="5"/>
                  <w:vAlign w:val="center"/>
                </w:tcPr>
                <w:p w14:paraId="3F003B44">
                  <w:pPr>
                    <w:pStyle w:val="45"/>
                    <w:jc w:val="both"/>
                    <w:rPr>
                      <w:rFonts w:ascii="Times New Roman" w:hAnsi="Times New Roman" w:cs="Times New Roman"/>
                      <w:szCs w:val="21"/>
                      <w:lang w:val="en-US"/>
                    </w:rPr>
                  </w:pPr>
                  <w:r>
                    <w:rPr>
                      <w:rFonts w:ascii="Times New Roman" w:hAnsi="Times New Roman" w:cs="Times New Roman"/>
                      <w:b/>
                      <w:bCs/>
                      <w:szCs w:val="21"/>
                      <w:lang w:val="en-US"/>
                    </w:rPr>
                    <w:t>八、其他设备</w:t>
                  </w:r>
                </w:p>
              </w:tc>
            </w:tr>
            <w:tr w14:paraId="4E72A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703" w:type="dxa"/>
                  <w:vAlign w:val="center"/>
                </w:tcPr>
                <w:p w14:paraId="0C9A603C">
                  <w:pPr>
                    <w:pStyle w:val="45"/>
                    <w:rPr>
                      <w:rFonts w:ascii="Times New Roman" w:hAnsi="Times New Roman" w:cs="Times New Roman"/>
                      <w:szCs w:val="21"/>
                      <w:lang w:val="en-US"/>
                    </w:rPr>
                  </w:pPr>
                  <w:r>
                    <w:rPr>
                      <w:rFonts w:ascii="Times New Roman" w:hAnsi="Times New Roman" w:cs="Times New Roman"/>
                      <w:szCs w:val="21"/>
                      <w:lang w:val="en-US"/>
                    </w:rPr>
                    <w:t>1</w:t>
                  </w:r>
                </w:p>
              </w:tc>
              <w:tc>
                <w:tcPr>
                  <w:tcW w:w="2072" w:type="dxa"/>
                  <w:shd w:val="clear" w:color="auto" w:fill="auto"/>
                  <w:vAlign w:val="center"/>
                </w:tcPr>
                <w:p w14:paraId="4D5FD140">
                  <w:pPr>
                    <w:pStyle w:val="45"/>
                    <w:rPr>
                      <w:rFonts w:ascii="Times New Roman" w:hAnsi="Times New Roman" w:cs="Times New Roman"/>
                      <w:szCs w:val="21"/>
                      <w:lang w:val="en-US"/>
                    </w:rPr>
                  </w:pPr>
                  <w:r>
                    <w:rPr>
                      <w:rFonts w:ascii="Times New Roman" w:hAnsi="Times New Roman" w:cs="Times New Roman"/>
                      <w:szCs w:val="21"/>
                      <w:lang w:val="en-US"/>
                    </w:rPr>
                    <w:t>装载机</w:t>
                  </w:r>
                </w:p>
              </w:tc>
              <w:tc>
                <w:tcPr>
                  <w:tcW w:w="1708" w:type="dxa"/>
                  <w:shd w:val="clear" w:color="auto" w:fill="auto"/>
                  <w:vAlign w:val="center"/>
                </w:tcPr>
                <w:p w14:paraId="03DC912E">
                  <w:pPr>
                    <w:pStyle w:val="45"/>
                    <w:rPr>
                      <w:rFonts w:ascii="Times New Roman" w:hAnsi="Times New Roman" w:cs="Times New Roman"/>
                      <w:szCs w:val="21"/>
                      <w:lang w:val="en-US"/>
                    </w:rPr>
                  </w:pPr>
                  <w:r>
                    <w:rPr>
                      <w:rFonts w:ascii="Times New Roman" w:hAnsi="Times New Roman" w:cs="Times New Roman"/>
                      <w:szCs w:val="21"/>
                      <w:lang w:val="en-US"/>
                    </w:rPr>
                    <w:t>/</w:t>
                  </w:r>
                </w:p>
              </w:tc>
              <w:tc>
                <w:tcPr>
                  <w:tcW w:w="915" w:type="dxa"/>
                  <w:shd w:val="clear" w:color="auto" w:fill="auto"/>
                  <w:vAlign w:val="center"/>
                </w:tcPr>
                <w:p w14:paraId="78E8E84B">
                  <w:pPr>
                    <w:pStyle w:val="45"/>
                    <w:rPr>
                      <w:rFonts w:ascii="Times New Roman" w:hAnsi="Times New Roman" w:cs="Times New Roman"/>
                      <w:szCs w:val="21"/>
                      <w:lang w:val="en-US"/>
                    </w:rPr>
                  </w:pPr>
                  <w:r>
                    <w:rPr>
                      <w:rFonts w:ascii="Times New Roman" w:hAnsi="Times New Roman" w:cs="Times New Roman"/>
                      <w:szCs w:val="21"/>
                      <w:lang w:val="en-US"/>
                    </w:rPr>
                    <w:t>2台</w:t>
                  </w:r>
                </w:p>
              </w:tc>
              <w:tc>
                <w:tcPr>
                  <w:tcW w:w="2769" w:type="dxa"/>
                  <w:shd w:val="clear" w:color="auto" w:fill="auto"/>
                  <w:vAlign w:val="center"/>
                </w:tcPr>
                <w:p w14:paraId="53969CC1">
                  <w:pPr>
                    <w:pStyle w:val="45"/>
                    <w:rPr>
                      <w:rFonts w:ascii="Times New Roman" w:hAnsi="Times New Roman" w:cs="Times New Roman"/>
                      <w:szCs w:val="21"/>
                      <w:lang w:val="en-US"/>
                    </w:rPr>
                  </w:pPr>
                  <w:r>
                    <w:rPr>
                      <w:rFonts w:ascii="Times New Roman" w:hAnsi="Times New Roman" w:cs="Times New Roman"/>
                      <w:szCs w:val="21"/>
                      <w:lang w:val="en-US"/>
                    </w:rPr>
                    <w:t>砂石骨料上料</w:t>
                  </w:r>
                </w:p>
              </w:tc>
            </w:tr>
            <w:tr w14:paraId="586CB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703" w:type="dxa"/>
                  <w:vAlign w:val="center"/>
                </w:tcPr>
                <w:p w14:paraId="0667AA91">
                  <w:pPr>
                    <w:pStyle w:val="45"/>
                    <w:rPr>
                      <w:rFonts w:ascii="Times New Roman" w:hAnsi="Times New Roman" w:cs="Times New Roman"/>
                      <w:szCs w:val="21"/>
                      <w:lang w:val="en-US"/>
                    </w:rPr>
                  </w:pPr>
                  <w:r>
                    <w:rPr>
                      <w:rFonts w:ascii="Times New Roman" w:hAnsi="Times New Roman" w:cs="Times New Roman"/>
                      <w:szCs w:val="21"/>
                      <w:lang w:val="en-US"/>
                    </w:rPr>
                    <w:t>2</w:t>
                  </w:r>
                </w:p>
              </w:tc>
              <w:tc>
                <w:tcPr>
                  <w:tcW w:w="2072" w:type="dxa"/>
                  <w:shd w:val="clear" w:color="auto" w:fill="auto"/>
                  <w:vAlign w:val="center"/>
                </w:tcPr>
                <w:p w14:paraId="5590B556">
                  <w:pPr>
                    <w:pStyle w:val="45"/>
                    <w:rPr>
                      <w:rFonts w:ascii="Times New Roman" w:hAnsi="Times New Roman" w:cs="Times New Roman"/>
                      <w:szCs w:val="21"/>
                      <w:lang w:val="en-US"/>
                    </w:rPr>
                  </w:pPr>
                  <w:r>
                    <w:rPr>
                      <w:rFonts w:ascii="Times New Roman" w:hAnsi="Times New Roman" w:cs="Times New Roman"/>
                      <w:szCs w:val="21"/>
                      <w:lang w:val="en-US"/>
                    </w:rPr>
                    <w:t>电捕焦油器+三级活性炭吸附装置</w:t>
                  </w:r>
                </w:p>
              </w:tc>
              <w:tc>
                <w:tcPr>
                  <w:tcW w:w="1708" w:type="dxa"/>
                  <w:shd w:val="clear" w:color="auto" w:fill="auto"/>
                  <w:vAlign w:val="center"/>
                </w:tcPr>
                <w:p w14:paraId="40E90456">
                  <w:pPr>
                    <w:pStyle w:val="45"/>
                    <w:rPr>
                      <w:rFonts w:ascii="Times New Roman" w:hAnsi="Times New Roman" w:cs="Times New Roman"/>
                      <w:szCs w:val="21"/>
                      <w:lang w:val="en-US"/>
                    </w:rPr>
                  </w:pPr>
                  <w:r>
                    <w:rPr>
                      <w:rFonts w:ascii="Times New Roman" w:hAnsi="Times New Roman" w:cs="Times New Roman"/>
                      <w:szCs w:val="21"/>
                      <w:lang w:val="en-US"/>
                    </w:rPr>
                    <w:t>风量3</w:t>
                  </w:r>
                  <w:r>
                    <w:rPr>
                      <w:rFonts w:ascii="Times New Roman" w:hAnsi="Times New Roman" w:cs="Times New Roman"/>
                      <w:szCs w:val="21"/>
                    </w:rPr>
                    <w:t>5000m</w:t>
                  </w:r>
                  <w:r>
                    <w:rPr>
                      <w:rFonts w:ascii="Times New Roman" w:hAnsi="Times New Roman" w:cs="Times New Roman"/>
                      <w:szCs w:val="21"/>
                      <w:vertAlign w:val="superscript"/>
                    </w:rPr>
                    <w:t>3</w:t>
                  </w:r>
                  <w:r>
                    <w:rPr>
                      <w:rFonts w:ascii="Times New Roman" w:hAnsi="Times New Roman" w:cs="Times New Roman"/>
                      <w:szCs w:val="21"/>
                    </w:rPr>
                    <w:t>/h</w:t>
                  </w:r>
                </w:p>
              </w:tc>
              <w:tc>
                <w:tcPr>
                  <w:tcW w:w="915" w:type="dxa"/>
                  <w:shd w:val="clear" w:color="auto" w:fill="auto"/>
                  <w:vAlign w:val="center"/>
                </w:tcPr>
                <w:p w14:paraId="43B616B0">
                  <w:pPr>
                    <w:pStyle w:val="45"/>
                    <w:rPr>
                      <w:rFonts w:ascii="Times New Roman" w:hAnsi="Times New Roman" w:cs="Times New Roman"/>
                      <w:szCs w:val="21"/>
                      <w:lang w:val="en-US"/>
                    </w:rPr>
                  </w:pPr>
                  <w:r>
                    <w:rPr>
                      <w:rFonts w:ascii="Times New Roman" w:hAnsi="Times New Roman" w:cs="Times New Roman"/>
                      <w:szCs w:val="21"/>
                      <w:lang w:val="en-US"/>
                    </w:rPr>
                    <w:t>1套</w:t>
                  </w:r>
                </w:p>
              </w:tc>
              <w:tc>
                <w:tcPr>
                  <w:tcW w:w="2769" w:type="dxa"/>
                  <w:shd w:val="clear" w:color="auto" w:fill="auto"/>
                  <w:vAlign w:val="center"/>
                </w:tcPr>
                <w:p w14:paraId="3CBD07DC">
                  <w:pPr>
                    <w:pStyle w:val="45"/>
                    <w:rPr>
                      <w:rFonts w:ascii="Times New Roman" w:hAnsi="Times New Roman" w:cs="Times New Roman"/>
                      <w:szCs w:val="21"/>
                      <w:lang w:val="en-US"/>
                    </w:rPr>
                  </w:pPr>
                  <w:r>
                    <w:rPr>
                      <w:rFonts w:ascii="Times New Roman" w:hAnsi="Times New Roman" w:cs="Times New Roman"/>
                      <w:szCs w:val="21"/>
                      <w:lang w:val="en-US"/>
                    </w:rPr>
                    <w:t>沥青烟气处理</w:t>
                  </w:r>
                </w:p>
              </w:tc>
            </w:tr>
          </w:tbl>
          <w:p w14:paraId="6430DAC7">
            <w:pPr>
              <w:numPr>
                <w:ilvl w:val="0"/>
                <w:numId w:val="5"/>
              </w:numPr>
              <w:adjustRightInd w:val="0"/>
              <w:snapToGrid w:val="0"/>
              <w:ind w:firstLine="482"/>
              <w:rPr>
                <w:rFonts w:cs="宋体"/>
                <w:b/>
              </w:rPr>
            </w:pPr>
            <w:r>
              <w:rPr>
                <w:rFonts w:hint="eastAsia" w:cs="宋体"/>
                <w:b/>
              </w:rPr>
              <w:t>劳动定员及工作制度</w:t>
            </w:r>
          </w:p>
          <w:p w14:paraId="42FD0D20">
            <w:pPr>
              <w:adjustRightInd w:val="0"/>
              <w:snapToGrid w:val="0"/>
              <w:ind w:firstLine="480"/>
              <w:rPr>
                <w:rFonts w:cs="宋体"/>
                <w:bCs/>
              </w:rPr>
            </w:pPr>
            <w:r>
              <w:rPr>
                <w:rFonts w:hint="eastAsia" w:cs="宋体"/>
                <w:bCs/>
              </w:rPr>
              <w:t>（1）劳动定员：员工共10人，其中5人在项目内食宿。</w:t>
            </w:r>
          </w:p>
          <w:p w14:paraId="6C79A86E">
            <w:pPr>
              <w:adjustRightInd w:val="0"/>
              <w:snapToGrid w:val="0"/>
              <w:ind w:firstLine="480"/>
              <w:rPr>
                <w:rFonts w:cs="宋体"/>
                <w:bCs/>
              </w:rPr>
            </w:pPr>
            <w:r>
              <w:rPr>
                <w:rFonts w:hint="eastAsia" w:cs="宋体"/>
                <w:bCs/>
              </w:rPr>
              <w:t>（2）工作制度：本项目年工作30</w:t>
            </w:r>
            <w:r>
              <w:rPr>
                <w:rFonts w:hint="eastAsia" w:cs="宋体"/>
                <w:bCs/>
                <w:color w:val="000000" w:themeColor="text1"/>
                <w14:textFill>
                  <w14:solidFill>
                    <w14:schemeClr w14:val="tx1"/>
                  </w14:solidFill>
                </w14:textFill>
              </w:rPr>
              <w:t>0天，每天昼间8小时，夜间不生产，全年生产2400h。</w:t>
            </w:r>
          </w:p>
          <w:p w14:paraId="125457DE">
            <w:pPr>
              <w:numPr>
                <w:ilvl w:val="0"/>
                <w:numId w:val="5"/>
              </w:numPr>
              <w:adjustRightInd w:val="0"/>
              <w:snapToGrid w:val="0"/>
              <w:ind w:firstLine="482"/>
              <w:rPr>
                <w:rFonts w:cs="宋体"/>
                <w:b/>
              </w:rPr>
            </w:pPr>
            <w:r>
              <w:rPr>
                <w:rFonts w:hint="eastAsia" w:cs="宋体"/>
                <w:b/>
              </w:rPr>
              <w:t>总平面布置</w:t>
            </w:r>
          </w:p>
          <w:p w14:paraId="318AB722">
            <w:pPr>
              <w:adjustRightInd w:val="0"/>
              <w:snapToGrid w:val="0"/>
              <w:ind w:firstLine="480"/>
              <w:rPr>
                <w:rFonts w:cs="宋体"/>
                <w:bCs/>
                <w:color w:val="000000" w:themeColor="text1"/>
                <w:highlight w:val="yellow"/>
                <w14:textFill>
                  <w14:solidFill>
                    <w14:schemeClr w14:val="tx1"/>
                  </w14:solidFill>
                </w14:textFill>
              </w:rPr>
            </w:pPr>
            <w:r>
              <w:rPr>
                <w:rFonts w:hint="eastAsia" w:cs="宋体"/>
                <w:bCs/>
              </w:rPr>
              <w:t>按照工艺过程、运转顺序和安全生产的需要将沥青混凝土生产线进行合理布局，北侧布置原料仓库（砂石骨料堆场），沥青混凝土生产线布置在场地中部，生产线和原料仓库之间为装载机上料区，装载机上料区和原料仓库均布置在三面封闭+顶棚的厂房内。矿粉筒仓位于原料仓内，</w:t>
            </w:r>
            <w:r>
              <w:rPr>
                <w:rFonts w:hint="eastAsia" w:cs="宋体"/>
                <w:bCs/>
                <w:color w:val="000000" w:themeColor="text1"/>
                <w14:textFill>
                  <w14:solidFill>
                    <w14:schemeClr w14:val="tx1"/>
                  </w14:solidFill>
                </w14:textFill>
              </w:rPr>
              <w:t>危险废物贮存设施位于整个厂区南侧，有利于危险废物的收集暂存及清运处理；初期雨水收集池位于厂区东南侧，属于整个厂区地势较低处，有利于初期雨水的收集处理。</w:t>
            </w:r>
          </w:p>
          <w:p w14:paraId="6A05451B">
            <w:pPr>
              <w:adjustRightInd w:val="0"/>
              <w:snapToGrid w:val="0"/>
              <w:ind w:firstLine="480"/>
              <w:rPr>
                <w:rFonts w:cs="宋体"/>
                <w:bCs/>
              </w:rPr>
            </w:pPr>
            <w:r>
              <w:rPr>
                <w:rFonts w:hint="eastAsia" w:cs="宋体"/>
                <w:bCs/>
              </w:rPr>
              <w:t>办公生活区位于场地东南侧，位于整个厂区侧上风向，生产区及办公生活区有一定的距离，即方便厂区管理又不影响工作人员的办公及生活。</w:t>
            </w:r>
          </w:p>
          <w:p w14:paraId="049153BC">
            <w:pPr>
              <w:adjustRightInd w:val="0"/>
              <w:snapToGrid w:val="0"/>
              <w:ind w:firstLine="480"/>
              <w:rPr>
                <w:rFonts w:cs="宋体"/>
                <w:bCs/>
              </w:rPr>
            </w:pPr>
            <w:r>
              <w:rPr>
                <w:rFonts w:hint="eastAsia" w:cs="宋体"/>
                <w:bCs/>
              </w:rPr>
              <w:t>项目平面布局满足了工艺流程的合理顺畅，使生产设备集中布置。生产与生活分区明显，互不干扰、交叉，项目平面布置合理。</w:t>
            </w:r>
          </w:p>
          <w:p w14:paraId="77B09492">
            <w:pPr>
              <w:numPr>
                <w:ilvl w:val="0"/>
                <w:numId w:val="5"/>
              </w:numPr>
              <w:adjustRightInd w:val="0"/>
              <w:snapToGrid w:val="0"/>
              <w:ind w:firstLine="482"/>
              <w:rPr>
                <w:rFonts w:cs="宋体"/>
                <w:b/>
              </w:rPr>
            </w:pPr>
            <w:r>
              <w:rPr>
                <w:rFonts w:hint="eastAsia" w:cs="宋体"/>
                <w:b/>
              </w:rPr>
              <w:t>物料平衡</w:t>
            </w:r>
          </w:p>
          <w:p w14:paraId="6C56D37B">
            <w:pPr>
              <w:adjustRightInd w:val="0"/>
              <w:snapToGrid w:val="0"/>
              <w:ind w:firstLine="480"/>
              <w:rPr>
                <w:b/>
                <w:bCs/>
              </w:rPr>
            </w:pPr>
            <w:r>
              <w:t>根据</w:t>
            </w:r>
            <w:r>
              <w:rPr>
                <w:rFonts w:hint="eastAsia"/>
              </w:rPr>
              <w:t>建设单位</w:t>
            </w:r>
            <w:r>
              <w:t>提供的</w:t>
            </w:r>
            <w:r>
              <w:rPr>
                <w:rFonts w:hint="eastAsia"/>
              </w:rPr>
              <w:t>资料、</w:t>
            </w:r>
            <w:r>
              <w:t>生产工艺</w:t>
            </w:r>
            <w:r>
              <w:rPr>
                <w:rFonts w:hint="eastAsia"/>
              </w:rPr>
              <w:t>及相关行业生产经验</w:t>
            </w:r>
            <w:r>
              <w:t>，</w:t>
            </w:r>
            <w:r>
              <w:rPr>
                <w:rFonts w:hint="eastAsia"/>
              </w:rPr>
              <w:t>项目运营期物料平衡见下表。</w:t>
            </w:r>
          </w:p>
          <w:p w14:paraId="7D63AE95">
            <w:pPr>
              <w:adjustRightInd w:val="0"/>
              <w:snapToGrid w:val="0"/>
              <w:ind w:firstLine="422"/>
              <w:jc w:val="center"/>
              <w:rPr>
                <w:b/>
                <w:bCs/>
                <w:sz w:val="21"/>
                <w:szCs w:val="21"/>
              </w:rPr>
            </w:pPr>
            <w:r>
              <w:rPr>
                <w:rFonts w:hint="eastAsia"/>
                <w:b/>
                <w:bCs/>
                <w:sz w:val="21"/>
                <w:szCs w:val="21"/>
              </w:rPr>
              <w:t>表2-6  项目运营期物料平衡表</w:t>
            </w:r>
          </w:p>
          <w:tbl>
            <w:tblPr>
              <w:tblStyle w:val="26"/>
              <w:tblW w:w="492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37"/>
              <w:gridCol w:w="1599"/>
              <w:gridCol w:w="2742"/>
              <w:gridCol w:w="1404"/>
            </w:tblGrid>
            <w:tr w14:paraId="53D94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45" w:type="pct"/>
                  <w:vAlign w:val="center"/>
                </w:tcPr>
                <w:p w14:paraId="673DB18E">
                  <w:pPr>
                    <w:adjustRightInd w:val="0"/>
                    <w:snapToGrid w:val="0"/>
                    <w:spacing w:line="240" w:lineRule="auto"/>
                    <w:ind w:firstLine="0" w:firstLineChars="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投入</w:t>
                  </w:r>
                  <w:r>
                    <w:rPr>
                      <w:rFonts w:hint="eastAsia"/>
                      <w:b/>
                      <w:bCs/>
                      <w:color w:val="000000" w:themeColor="text1"/>
                      <w:sz w:val="21"/>
                      <w:szCs w:val="21"/>
                      <w14:textFill>
                        <w14:solidFill>
                          <w14:schemeClr w14:val="tx1"/>
                        </w14:solidFill>
                      </w14:textFill>
                    </w:rPr>
                    <w:t>物料名称</w:t>
                  </w:r>
                </w:p>
              </w:tc>
              <w:tc>
                <w:tcPr>
                  <w:tcW w:w="989" w:type="pct"/>
                  <w:vAlign w:val="center"/>
                </w:tcPr>
                <w:p w14:paraId="6B87A400">
                  <w:pPr>
                    <w:adjustRightInd w:val="0"/>
                    <w:snapToGrid w:val="0"/>
                    <w:spacing w:line="240" w:lineRule="auto"/>
                    <w:ind w:firstLine="0" w:firstLineChars="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投入量（t/a</w:t>
                  </w:r>
                  <w:r>
                    <w:rPr>
                      <w:rFonts w:hint="eastAsia"/>
                      <w:b/>
                      <w:bCs/>
                      <w:color w:val="000000" w:themeColor="text1"/>
                      <w:sz w:val="21"/>
                      <w:szCs w:val="21"/>
                      <w14:textFill>
                        <w14:solidFill>
                          <w14:schemeClr w14:val="tx1"/>
                        </w14:solidFill>
                      </w14:textFill>
                    </w:rPr>
                    <w:t>）</w:t>
                  </w:r>
                </w:p>
              </w:tc>
              <w:tc>
                <w:tcPr>
                  <w:tcW w:w="1696" w:type="pct"/>
                  <w:vAlign w:val="center"/>
                </w:tcPr>
                <w:p w14:paraId="0E4956D7">
                  <w:pPr>
                    <w:adjustRightInd w:val="0"/>
                    <w:snapToGrid w:val="0"/>
                    <w:spacing w:line="240" w:lineRule="auto"/>
                    <w:ind w:firstLine="0" w:firstLineChars="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产出</w:t>
                  </w:r>
                  <w:r>
                    <w:rPr>
                      <w:rFonts w:hint="eastAsia"/>
                      <w:b/>
                      <w:bCs/>
                      <w:color w:val="000000" w:themeColor="text1"/>
                      <w:sz w:val="21"/>
                      <w:szCs w:val="21"/>
                      <w14:textFill>
                        <w14:solidFill>
                          <w14:schemeClr w14:val="tx1"/>
                        </w14:solidFill>
                      </w14:textFill>
                    </w:rPr>
                    <w:t>物料名称</w:t>
                  </w:r>
                </w:p>
              </w:tc>
              <w:tc>
                <w:tcPr>
                  <w:tcW w:w="868" w:type="pct"/>
                  <w:vAlign w:val="center"/>
                </w:tcPr>
                <w:p w14:paraId="3D10BEF0">
                  <w:pPr>
                    <w:adjustRightInd w:val="0"/>
                    <w:snapToGrid w:val="0"/>
                    <w:spacing w:line="240" w:lineRule="auto"/>
                    <w:ind w:firstLine="0" w:firstLineChars="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产出量（t/a</w:t>
                  </w:r>
                  <w:r>
                    <w:rPr>
                      <w:rFonts w:hint="eastAsia"/>
                      <w:b/>
                      <w:bCs/>
                      <w:color w:val="000000" w:themeColor="text1"/>
                      <w:sz w:val="21"/>
                      <w:szCs w:val="21"/>
                      <w14:textFill>
                        <w14:solidFill>
                          <w14:schemeClr w14:val="tx1"/>
                        </w14:solidFill>
                      </w14:textFill>
                    </w:rPr>
                    <w:t>）</w:t>
                  </w:r>
                </w:p>
              </w:tc>
            </w:tr>
            <w:tr w14:paraId="3D205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45" w:type="pct"/>
                  <w:shd w:val="clear" w:color="auto" w:fill="auto"/>
                  <w:vAlign w:val="center"/>
                </w:tcPr>
                <w:p w14:paraId="3AD02B75">
                  <w:pPr>
                    <w:widowControl/>
                    <w:adjustRightInd w:val="0"/>
                    <w:snapToGrid w:val="0"/>
                    <w:spacing w:line="240" w:lineRule="auto"/>
                    <w:ind w:firstLine="0" w:firstLineChars="0"/>
                    <w:jc w:val="center"/>
                    <w:textAlignment w:val="center"/>
                    <w:rPr>
                      <w:color w:val="000000" w:themeColor="text1"/>
                      <w:sz w:val="21"/>
                      <w:szCs w:val="21"/>
                      <w14:textFill>
                        <w14:solidFill>
                          <w14:schemeClr w14:val="tx1"/>
                        </w14:solidFill>
                      </w14:textFill>
                    </w:rPr>
                  </w:pPr>
                  <w:r>
                    <w:rPr>
                      <w:color w:val="000000" w:themeColor="text1"/>
                      <w:kern w:val="0"/>
                      <w:sz w:val="21"/>
                      <w:szCs w:val="21"/>
                      <w14:textFill>
                        <w14:solidFill>
                          <w14:schemeClr w14:val="tx1"/>
                        </w14:solidFill>
                      </w14:textFill>
                    </w:rPr>
                    <w:t>沥青</w:t>
                  </w:r>
                </w:p>
              </w:tc>
              <w:tc>
                <w:tcPr>
                  <w:tcW w:w="989" w:type="pct"/>
                  <w:shd w:val="clear" w:color="auto" w:fill="auto"/>
                  <w:vAlign w:val="center"/>
                </w:tcPr>
                <w:p w14:paraId="3BBA6115">
                  <w:pPr>
                    <w:widowControl/>
                    <w:adjustRightInd w:val="0"/>
                    <w:snapToGrid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8000</w:t>
                  </w:r>
                </w:p>
              </w:tc>
              <w:tc>
                <w:tcPr>
                  <w:tcW w:w="1696" w:type="pct"/>
                  <w:shd w:val="clear" w:color="auto" w:fill="auto"/>
                  <w:vAlign w:val="center"/>
                </w:tcPr>
                <w:p w14:paraId="3F8B6C4A">
                  <w:pPr>
                    <w:widowControl/>
                    <w:adjustRightInd w:val="0"/>
                    <w:snapToGrid w:val="0"/>
                    <w:spacing w:line="240" w:lineRule="auto"/>
                    <w:ind w:firstLine="0" w:firstLineChars="0"/>
                    <w:jc w:val="center"/>
                    <w:textAlignment w:val="center"/>
                    <w:rPr>
                      <w:color w:val="000000" w:themeColor="text1"/>
                      <w:sz w:val="21"/>
                      <w:szCs w:val="21"/>
                      <w:lang w:eastAsia="en-US"/>
                      <w14:textFill>
                        <w14:solidFill>
                          <w14:schemeClr w14:val="tx1"/>
                        </w14:solidFill>
                      </w14:textFill>
                    </w:rPr>
                  </w:pPr>
                  <w:r>
                    <w:rPr>
                      <w:color w:val="000000" w:themeColor="text1"/>
                      <w:kern w:val="0"/>
                      <w:sz w:val="21"/>
                      <w:szCs w:val="21"/>
                      <w14:textFill>
                        <w14:solidFill>
                          <w14:schemeClr w14:val="tx1"/>
                        </w14:solidFill>
                      </w14:textFill>
                    </w:rPr>
                    <w:t>沥青混凝土</w:t>
                  </w:r>
                </w:p>
              </w:tc>
              <w:tc>
                <w:tcPr>
                  <w:tcW w:w="868" w:type="pct"/>
                  <w:shd w:val="clear" w:color="auto" w:fill="auto"/>
                  <w:vAlign w:val="center"/>
                </w:tcPr>
                <w:p w14:paraId="16AE64CB">
                  <w:pPr>
                    <w:adjustRightInd w:val="0"/>
                    <w:snapToGrid w:val="0"/>
                    <w:spacing w:before="86"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200000</w:t>
                  </w:r>
                </w:p>
              </w:tc>
            </w:tr>
            <w:tr w14:paraId="02300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exact"/>
                <w:jc w:val="center"/>
              </w:trPr>
              <w:tc>
                <w:tcPr>
                  <w:tcW w:w="1445" w:type="pct"/>
                  <w:shd w:val="clear" w:color="auto" w:fill="auto"/>
                  <w:vAlign w:val="center"/>
                </w:tcPr>
                <w:p w14:paraId="426BDF36">
                  <w:pPr>
                    <w:widowControl/>
                    <w:adjustRightInd w:val="0"/>
                    <w:snapToGrid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石料</w:t>
                  </w:r>
                </w:p>
              </w:tc>
              <w:tc>
                <w:tcPr>
                  <w:tcW w:w="989" w:type="pct"/>
                  <w:shd w:val="clear" w:color="auto" w:fill="auto"/>
                  <w:vAlign w:val="center"/>
                </w:tcPr>
                <w:p w14:paraId="0156017A">
                  <w:pPr>
                    <w:widowControl/>
                    <w:adjustRightInd w:val="0"/>
                    <w:snapToGrid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124001.2863</w:t>
                  </w:r>
                </w:p>
              </w:tc>
              <w:tc>
                <w:tcPr>
                  <w:tcW w:w="1696" w:type="pct"/>
                  <w:shd w:val="clear" w:color="auto" w:fill="auto"/>
                  <w:vAlign w:val="center"/>
                </w:tcPr>
                <w:p w14:paraId="10F1A9FD">
                  <w:pPr>
                    <w:widowControl/>
                    <w:adjustRightInd w:val="0"/>
                    <w:snapToGrid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燃烧器燃烧，砂石骨料烘干、筛分等工序布袋除尘器收集的粉尘</w:t>
                  </w:r>
                </w:p>
              </w:tc>
              <w:tc>
                <w:tcPr>
                  <w:tcW w:w="868" w:type="pct"/>
                  <w:shd w:val="clear" w:color="auto" w:fill="auto"/>
                  <w:vAlign w:val="center"/>
                </w:tcPr>
                <w:p w14:paraId="23FD40FF">
                  <w:pPr>
                    <w:adjustRightInd w:val="0"/>
                    <w:snapToGrid w:val="0"/>
                    <w:spacing w:before="86"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45.093</w:t>
                  </w:r>
                </w:p>
              </w:tc>
            </w:tr>
            <w:tr w14:paraId="43159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exact"/>
                <w:jc w:val="center"/>
              </w:trPr>
              <w:tc>
                <w:tcPr>
                  <w:tcW w:w="1445" w:type="pct"/>
                  <w:shd w:val="clear" w:color="auto" w:fill="auto"/>
                  <w:vAlign w:val="center"/>
                </w:tcPr>
                <w:p w14:paraId="348245FC">
                  <w:pPr>
                    <w:widowControl/>
                    <w:adjustRightInd w:val="0"/>
                    <w:snapToGrid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砂料</w:t>
                  </w:r>
                </w:p>
              </w:tc>
              <w:tc>
                <w:tcPr>
                  <w:tcW w:w="989" w:type="pct"/>
                  <w:shd w:val="clear" w:color="auto" w:fill="auto"/>
                  <w:vAlign w:val="center"/>
                </w:tcPr>
                <w:p w14:paraId="47C98FBB">
                  <w:pPr>
                    <w:widowControl/>
                    <w:adjustRightInd w:val="0"/>
                    <w:snapToGrid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60000.7884</w:t>
                  </w:r>
                </w:p>
              </w:tc>
              <w:tc>
                <w:tcPr>
                  <w:tcW w:w="1696" w:type="pct"/>
                  <w:shd w:val="clear" w:color="auto" w:fill="auto"/>
                  <w:vAlign w:val="center"/>
                </w:tcPr>
                <w:p w14:paraId="5D95770E">
                  <w:pPr>
                    <w:widowControl/>
                    <w:adjustRightInd w:val="0"/>
                    <w:snapToGrid w:val="0"/>
                    <w:spacing w:line="240" w:lineRule="auto"/>
                    <w:ind w:firstLine="0" w:firstLineChars="0"/>
                    <w:jc w:val="center"/>
                    <w:textAlignment w:val="center"/>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矿粉仓顶布袋除尘器收集的粉尘</w:t>
                  </w:r>
                </w:p>
              </w:tc>
              <w:tc>
                <w:tcPr>
                  <w:tcW w:w="868" w:type="pct"/>
                  <w:shd w:val="clear" w:color="auto" w:fill="auto"/>
                  <w:vAlign w:val="center"/>
                </w:tcPr>
                <w:p w14:paraId="1195E0FE">
                  <w:pPr>
                    <w:adjustRightInd w:val="0"/>
                    <w:snapToGrid w:val="0"/>
                    <w:spacing w:before="86"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0.9408</w:t>
                  </w:r>
                </w:p>
              </w:tc>
            </w:tr>
            <w:tr w14:paraId="6036C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45" w:type="pct"/>
                  <w:shd w:val="clear" w:color="auto" w:fill="auto"/>
                  <w:vAlign w:val="center"/>
                </w:tcPr>
                <w:p w14:paraId="5B329B46">
                  <w:pPr>
                    <w:widowControl/>
                    <w:adjustRightInd w:val="0"/>
                    <w:snapToGrid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矿粉</w:t>
                  </w:r>
                </w:p>
              </w:tc>
              <w:tc>
                <w:tcPr>
                  <w:tcW w:w="989" w:type="pct"/>
                  <w:shd w:val="clear" w:color="auto" w:fill="auto"/>
                  <w:vAlign w:val="center"/>
                </w:tcPr>
                <w:p w14:paraId="5560CC99">
                  <w:pPr>
                    <w:widowControl/>
                    <w:adjustRightInd w:val="0"/>
                    <w:snapToGrid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8000</w:t>
                  </w:r>
                </w:p>
              </w:tc>
              <w:tc>
                <w:tcPr>
                  <w:tcW w:w="1696" w:type="pct"/>
                  <w:shd w:val="clear" w:color="auto" w:fill="auto"/>
                  <w:vAlign w:val="center"/>
                </w:tcPr>
                <w:p w14:paraId="40F8743B">
                  <w:pPr>
                    <w:widowControl/>
                    <w:adjustRightInd w:val="0"/>
                    <w:snapToGrid w:val="0"/>
                    <w:spacing w:line="240" w:lineRule="auto"/>
                    <w:ind w:firstLine="0" w:firstLineChars="0"/>
                    <w:jc w:val="center"/>
                    <w:textAlignment w:val="center"/>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电铺焦油器收集的废焦油</w:t>
                  </w:r>
                </w:p>
              </w:tc>
              <w:tc>
                <w:tcPr>
                  <w:tcW w:w="868" w:type="pct"/>
                  <w:shd w:val="clear" w:color="auto" w:fill="auto"/>
                  <w:vAlign w:val="center"/>
                </w:tcPr>
                <w:p w14:paraId="0C7D9750">
                  <w:pPr>
                    <w:adjustRightInd w:val="0"/>
                    <w:snapToGrid w:val="0"/>
                    <w:spacing w:before="86"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0.2759</w:t>
                  </w:r>
                </w:p>
              </w:tc>
            </w:tr>
            <w:tr w14:paraId="13B86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45" w:type="pct"/>
                  <w:shd w:val="clear" w:color="auto" w:fill="auto"/>
                  <w:vAlign w:val="center"/>
                </w:tcPr>
                <w:p w14:paraId="7C9CB1CF">
                  <w:pPr>
                    <w:widowControl/>
                    <w:adjustRightInd w:val="0"/>
                    <w:snapToGrid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布袋除尘器收集的粉尘</w:t>
                  </w:r>
                </w:p>
              </w:tc>
              <w:tc>
                <w:tcPr>
                  <w:tcW w:w="989" w:type="pct"/>
                  <w:shd w:val="clear" w:color="auto" w:fill="auto"/>
                  <w:vAlign w:val="center"/>
                </w:tcPr>
                <w:p w14:paraId="16018F30">
                  <w:pPr>
                    <w:widowControl/>
                    <w:adjustRightInd w:val="0"/>
                    <w:snapToGrid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46.0338</w:t>
                  </w:r>
                </w:p>
              </w:tc>
              <w:tc>
                <w:tcPr>
                  <w:tcW w:w="1696" w:type="pct"/>
                  <w:shd w:val="clear" w:color="auto" w:fill="auto"/>
                  <w:vAlign w:val="center"/>
                </w:tcPr>
                <w:p w14:paraId="7BDCAA85">
                  <w:pPr>
                    <w:widowControl/>
                    <w:adjustRightInd w:val="0"/>
                    <w:snapToGrid w:val="0"/>
                    <w:spacing w:line="240" w:lineRule="auto"/>
                    <w:ind w:firstLine="0" w:firstLineChars="0"/>
                    <w:jc w:val="center"/>
                    <w:textAlignment w:val="center"/>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吸附去除的有机物</w:t>
                  </w:r>
                </w:p>
              </w:tc>
              <w:tc>
                <w:tcPr>
                  <w:tcW w:w="868" w:type="pct"/>
                  <w:shd w:val="clear" w:color="auto" w:fill="auto"/>
                  <w:vAlign w:val="center"/>
                </w:tcPr>
                <w:p w14:paraId="67AFA464">
                  <w:pPr>
                    <w:adjustRightInd w:val="0"/>
                    <w:snapToGrid w:val="0"/>
                    <w:spacing w:before="86"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0.0923</w:t>
                  </w:r>
                </w:p>
              </w:tc>
            </w:tr>
            <w:tr w14:paraId="0D55C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45" w:type="pct"/>
                  <w:shd w:val="clear" w:color="auto" w:fill="auto"/>
                  <w:vAlign w:val="center"/>
                </w:tcPr>
                <w:p w14:paraId="669531BC">
                  <w:pPr>
                    <w:widowControl/>
                    <w:adjustRightInd w:val="0"/>
                    <w:snapToGrid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w:t>
                  </w:r>
                </w:p>
              </w:tc>
              <w:tc>
                <w:tcPr>
                  <w:tcW w:w="989" w:type="pct"/>
                  <w:shd w:val="clear" w:color="auto" w:fill="auto"/>
                  <w:vAlign w:val="center"/>
                </w:tcPr>
                <w:p w14:paraId="5B1261DD">
                  <w:pPr>
                    <w:adjustRightInd w:val="0"/>
                    <w:snapToGrid w:val="0"/>
                    <w:spacing w:before="86"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w:t>
                  </w:r>
                </w:p>
              </w:tc>
              <w:tc>
                <w:tcPr>
                  <w:tcW w:w="1696" w:type="pct"/>
                  <w:shd w:val="clear" w:color="auto" w:fill="auto"/>
                  <w:vAlign w:val="center"/>
                </w:tcPr>
                <w:p w14:paraId="0ADE83A2">
                  <w:pPr>
                    <w:widowControl/>
                    <w:adjustRightInd w:val="0"/>
                    <w:snapToGrid w:val="0"/>
                    <w:spacing w:line="240" w:lineRule="auto"/>
                    <w:ind w:firstLine="0" w:firstLineChars="0"/>
                    <w:jc w:val="center"/>
                    <w:textAlignment w:val="center"/>
                    <w:rPr>
                      <w:color w:val="000000" w:themeColor="text1"/>
                      <w:kern w:val="0"/>
                      <w:sz w:val="21"/>
                      <w:szCs w:val="21"/>
                      <w14:textFill>
                        <w14:solidFill>
                          <w14:schemeClr w14:val="tx1"/>
                        </w14:solidFill>
                      </w14:textFill>
                    </w:rPr>
                  </w:pPr>
                  <w:r>
                    <w:rPr>
                      <w:rFonts w:hint="eastAsia" w:ascii="宋体" w:hAnsi="宋体" w:cs="宋体"/>
                      <w:color w:val="000000" w:themeColor="text1"/>
                      <w:kern w:val="0"/>
                      <w:sz w:val="21"/>
                      <w:szCs w:val="21"/>
                      <w14:textFill>
                        <w14:solidFill>
                          <w14:schemeClr w14:val="tx1"/>
                        </w14:solidFill>
                      </w14:textFill>
                    </w:rPr>
                    <w:t>有组织排放的有机物</w:t>
                  </w:r>
                </w:p>
              </w:tc>
              <w:tc>
                <w:tcPr>
                  <w:tcW w:w="868" w:type="pct"/>
                  <w:shd w:val="clear" w:color="auto" w:fill="auto"/>
                  <w:vAlign w:val="center"/>
                </w:tcPr>
                <w:p w14:paraId="4DA8E425">
                  <w:pPr>
                    <w:adjustRightInd w:val="0"/>
                    <w:snapToGrid w:val="0"/>
                    <w:spacing w:before="86"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0.039</w:t>
                  </w:r>
                </w:p>
              </w:tc>
            </w:tr>
            <w:tr w14:paraId="4E9A8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45" w:type="pct"/>
                  <w:shd w:val="clear" w:color="auto" w:fill="auto"/>
                  <w:vAlign w:val="center"/>
                </w:tcPr>
                <w:p w14:paraId="43C2401C">
                  <w:pPr>
                    <w:widowControl/>
                    <w:adjustRightInd w:val="0"/>
                    <w:snapToGrid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w:t>
                  </w:r>
                </w:p>
              </w:tc>
              <w:tc>
                <w:tcPr>
                  <w:tcW w:w="989" w:type="pct"/>
                  <w:shd w:val="clear" w:color="auto" w:fill="auto"/>
                  <w:vAlign w:val="center"/>
                </w:tcPr>
                <w:p w14:paraId="269F0D8B">
                  <w:pPr>
                    <w:adjustRightInd w:val="0"/>
                    <w:snapToGrid w:val="0"/>
                    <w:spacing w:before="86"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w:t>
                  </w:r>
                </w:p>
              </w:tc>
              <w:tc>
                <w:tcPr>
                  <w:tcW w:w="1696" w:type="pct"/>
                  <w:shd w:val="clear" w:color="auto" w:fill="auto"/>
                  <w:vAlign w:val="center"/>
                </w:tcPr>
                <w:p w14:paraId="6B0FBE1D">
                  <w:pPr>
                    <w:widowControl/>
                    <w:adjustRightInd w:val="0"/>
                    <w:snapToGrid w:val="0"/>
                    <w:spacing w:line="240" w:lineRule="auto"/>
                    <w:ind w:firstLine="0" w:firstLineChars="0"/>
                    <w:jc w:val="center"/>
                    <w:textAlignment w:val="center"/>
                    <w:rPr>
                      <w:color w:val="000000" w:themeColor="text1"/>
                      <w:kern w:val="0"/>
                      <w:sz w:val="21"/>
                      <w:szCs w:val="21"/>
                      <w14:textFill>
                        <w14:solidFill>
                          <w14:schemeClr w14:val="tx1"/>
                        </w14:solidFill>
                      </w14:textFill>
                    </w:rPr>
                  </w:pPr>
                  <w:r>
                    <w:rPr>
                      <w:rFonts w:hint="eastAsia" w:ascii="宋体" w:hAnsi="宋体" w:cs="宋体"/>
                      <w:color w:val="000000" w:themeColor="text1"/>
                      <w:kern w:val="0"/>
                      <w:sz w:val="21"/>
                      <w:szCs w:val="21"/>
                      <w14:textFill>
                        <w14:solidFill>
                          <w14:schemeClr w14:val="tx1"/>
                        </w14:solidFill>
                      </w14:textFill>
                    </w:rPr>
                    <w:t>有组织排放的沥青烟</w:t>
                  </w:r>
                </w:p>
              </w:tc>
              <w:tc>
                <w:tcPr>
                  <w:tcW w:w="868" w:type="pct"/>
                  <w:shd w:val="clear" w:color="auto" w:fill="auto"/>
                  <w:vAlign w:val="center"/>
                </w:tcPr>
                <w:p w14:paraId="47E074DC">
                  <w:pPr>
                    <w:widowControl/>
                    <w:adjustRightInd w:val="0"/>
                    <w:snapToGrid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0.0145</w:t>
                  </w:r>
                </w:p>
              </w:tc>
            </w:tr>
            <w:tr w14:paraId="17D8C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45" w:type="pct"/>
                  <w:shd w:val="clear" w:color="auto" w:fill="auto"/>
                  <w:vAlign w:val="center"/>
                </w:tcPr>
                <w:p w14:paraId="3D827047">
                  <w:pPr>
                    <w:widowControl/>
                    <w:adjustRightInd w:val="0"/>
                    <w:snapToGrid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w:t>
                  </w:r>
                </w:p>
              </w:tc>
              <w:tc>
                <w:tcPr>
                  <w:tcW w:w="989" w:type="pct"/>
                  <w:shd w:val="clear" w:color="auto" w:fill="auto"/>
                  <w:vAlign w:val="center"/>
                </w:tcPr>
                <w:p w14:paraId="39CEABF2">
                  <w:pPr>
                    <w:adjustRightInd w:val="0"/>
                    <w:snapToGrid w:val="0"/>
                    <w:spacing w:before="86"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w:t>
                  </w:r>
                </w:p>
              </w:tc>
              <w:tc>
                <w:tcPr>
                  <w:tcW w:w="1696" w:type="pct"/>
                  <w:shd w:val="clear" w:color="auto" w:fill="auto"/>
                  <w:vAlign w:val="center"/>
                </w:tcPr>
                <w:p w14:paraId="3C2F15B2">
                  <w:pPr>
                    <w:widowControl/>
                    <w:adjustRightInd w:val="0"/>
                    <w:snapToGrid w:val="0"/>
                    <w:spacing w:line="240" w:lineRule="auto"/>
                    <w:ind w:firstLine="0" w:firstLineChars="0"/>
                    <w:jc w:val="center"/>
                    <w:textAlignment w:val="center"/>
                    <w:rPr>
                      <w:color w:val="000000" w:themeColor="text1"/>
                      <w:kern w:val="0"/>
                      <w:sz w:val="21"/>
                      <w:szCs w:val="21"/>
                      <w14:textFill>
                        <w14:solidFill>
                          <w14:schemeClr w14:val="tx1"/>
                        </w14:solidFill>
                      </w14:textFill>
                    </w:rPr>
                  </w:pPr>
                  <w:r>
                    <w:rPr>
                      <w:rFonts w:hint="eastAsia" w:ascii="宋体" w:hAnsi="宋体" w:cs="宋体"/>
                      <w:color w:val="000000" w:themeColor="text1"/>
                      <w:kern w:val="0"/>
                      <w:sz w:val="21"/>
                      <w:szCs w:val="21"/>
                      <w14:textFill>
                        <w14:solidFill>
                          <w14:schemeClr w14:val="tx1"/>
                        </w14:solidFill>
                      </w14:textFill>
                    </w:rPr>
                    <w:t>无组织排放的有机物</w:t>
                  </w:r>
                </w:p>
              </w:tc>
              <w:tc>
                <w:tcPr>
                  <w:tcW w:w="868" w:type="pct"/>
                  <w:shd w:val="clear" w:color="auto" w:fill="auto"/>
                  <w:vAlign w:val="center"/>
                </w:tcPr>
                <w:p w14:paraId="39FCD34D">
                  <w:pPr>
                    <w:widowControl/>
                    <w:adjustRightInd w:val="0"/>
                    <w:snapToGrid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0.0057</w:t>
                  </w:r>
                </w:p>
              </w:tc>
            </w:tr>
            <w:tr w14:paraId="3E97A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45" w:type="pct"/>
                  <w:shd w:val="clear" w:color="auto" w:fill="auto"/>
                  <w:vAlign w:val="center"/>
                </w:tcPr>
                <w:p w14:paraId="271885F4">
                  <w:pPr>
                    <w:widowControl/>
                    <w:adjustRightInd w:val="0"/>
                    <w:snapToGrid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w:t>
                  </w:r>
                </w:p>
              </w:tc>
              <w:tc>
                <w:tcPr>
                  <w:tcW w:w="989" w:type="pct"/>
                  <w:shd w:val="clear" w:color="auto" w:fill="auto"/>
                  <w:vAlign w:val="center"/>
                </w:tcPr>
                <w:p w14:paraId="036A7DC3">
                  <w:pPr>
                    <w:adjustRightInd w:val="0"/>
                    <w:snapToGrid w:val="0"/>
                    <w:spacing w:before="86"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w:t>
                  </w:r>
                </w:p>
              </w:tc>
              <w:tc>
                <w:tcPr>
                  <w:tcW w:w="1696" w:type="pct"/>
                  <w:shd w:val="clear" w:color="auto" w:fill="auto"/>
                  <w:vAlign w:val="center"/>
                </w:tcPr>
                <w:p w14:paraId="2AC78383">
                  <w:pPr>
                    <w:widowControl/>
                    <w:adjustRightInd w:val="0"/>
                    <w:snapToGrid w:val="0"/>
                    <w:spacing w:line="240" w:lineRule="auto"/>
                    <w:ind w:firstLine="0" w:firstLineChars="0"/>
                    <w:jc w:val="center"/>
                    <w:textAlignment w:val="center"/>
                    <w:rPr>
                      <w:color w:val="000000" w:themeColor="text1"/>
                      <w:kern w:val="0"/>
                      <w:sz w:val="21"/>
                      <w:szCs w:val="21"/>
                      <w14:textFill>
                        <w14:solidFill>
                          <w14:schemeClr w14:val="tx1"/>
                        </w14:solidFill>
                      </w14:textFill>
                    </w:rPr>
                  </w:pPr>
                  <w:r>
                    <w:rPr>
                      <w:rFonts w:hint="eastAsia" w:ascii="宋体" w:hAnsi="宋体" w:cs="宋体"/>
                      <w:color w:val="000000" w:themeColor="text1"/>
                      <w:kern w:val="0"/>
                      <w:sz w:val="21"/>
                      <w:szCs w:val="21"/>
                      <w14:textFill>
                        <w14:solidFill>
                          <w14:schemeClr w14:val="tx1"/>
                        </w14:solidFill>
                      </w14:textFill>
                    </w:rPr>
                    <w:t>无组织排放的沥青烟</w:t>
                  </w:r>
                </w:p>
              </w:tc>
              <w:tc>
                <w:tcPr>
                  <w:tcW w:w="868" w:type="pct"/>
                  <w:shd w:val="clear" w:color="auto" w:fill="auto"/>
                  <w:vAlign w:val="center"/>
                </w:tcPr>
                <w:p w14:paraId="693E1236">
                  <w:pPr>
                    <w:widowControl/>
                    <w:adjustRightInd w:val="0"/>
                    <w:snapToGrid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0.0126</w:t>
                  </w:r>
                </w:p>
              </w:tc>
            </w:tr>
            <w:tr w14:paraId="6EC3C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45" w:type="pct"/>
                  <w:shd w:val="clear" w:color="auto" w:fill="auto"/>
                  <w:vAlign w:val="center"/>
                </w:tcPr>
                <w:p w14:paraId="609A6698">
                  <w:pPr>
                    <w:widowControl/>
                    <w:adjustRightInd w:val="0"/>
                    <w:snapToGrid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w:t>
                  </w:r>
                </w:p>
              </w:tc>
              <w:tc>
                <w:tcPr>
                  <w:tcW w:w="989" w:type="pct"/>
                  <w:shd w:val="clear" w:color="auto" w:fill="auto"/>
                  <w:vAlign w:val="center"/>
                </w:tcPr>
                <w:p w14:paraId="56CBD8DB">
                  <w:pPr>
                    <w:adjustRightInd w:val="0"/>
                    <w:snapToGrid w:val="0"/>
                    <w:spacing w:before="86"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w:t>
                  </w:r>
                </w:p>
              </w:tc>
              <w:tc>
                <w:tcPr>
                  <w:tcW w:w="1696" w:type="pct"/>
                  <w:shd w:val="clear" w:color="auto" w:fill="auto"/>
                  <w:vAlign w:val="center"/>
                </w:tcPr>
                <w:p w14:paraId="447F27F9">
                  <w:pPr>
                    <w:widowControl/>
                    <w:adjustRightInd w:val="0"/>
                    <w:snapToGrid w:val="0"/>
                    <w:spacing w:line="240" w:lineRule="auto"/>
                    <w:ind w:firstLine="0" w:firstLineChars="0"/>
                    <w:jc w:val="center"/>
                    <w:textAlignment w:val="center"/>
                    <w:rPr>
                      <w:rFonts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有组织排放的粉尘</w:t>
                  </w:r>
                </w:p>
              </w:tc>
              <w:tc>
                <w:tcPr>
                  <w:tcW w:w="868" w:type="pct"/>
                  <w:shd w:val="clear" w:color="auto" w:fill="auto"/>
                  <w:vAlign w:val="center"/>
                </w:tcPr>
                <w:p w14:paraId="2EB9C00E">
                  <w:pPr>
                    <w:widowControl/>
                    <w:adjustRightInd w:val="0"/>
                    <w:snapToGrid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0.92</w:t>
                  </w:r>
                </w:p>
              </w:tc>
            </w:tr>
            <w:tr w14:paraId="4BCFF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45" w:type="pct"/>
                  <w:shd w:val="clear" w:color="auto" w:fill="auto"/>
                  <w:vAlign w:val="center"/>
                </w:tcPr>
                <w:p w14:paraId="37392596">
                  <w:pPr>
                    <w:widowControl/>
                    <w:adjustRightInd w:val="0"/>
                    <w:snapToGrid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w:t>
                  </w:r>
                </w:p>
              </w:tc>
              <w:tc>
                <w:tcPr>
                  <w:tcW w:w="989" w:type="pct"/>
                  <w:shd w:val="clear" w:color="auto" w:fill="auto"/>
                  <w:vAlign w:val="center"/>
                </w:tcPr>
                <w:p w14:paraId="5032B050">
                  <w:pPr>
                    <w:adjustRightInd w:val="0"/>
                    <w:snapToGrid w:val="0"/>
                    <w:spacing w:before="86"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w:t>
                  </w:r>
                </w:p>
              </w:tc>
              <w:tc>
                <w:tcPr>
                  <w:tcW w:w="1696" w:type="pct"/>
                  <w:shd w:val="clear" w:color="auto" w:fill="auto"/>
                  <w:vAlign w:val="center"/>
                </w:tcPr>
                <w:p w14:paraId="7602A5EA">
                  <w:pPr>
                    <w:widowControl/>
                    <w:adjustRightInd w:val="0"/>
                    <w:snapToGrid w:val="0"/>
                    <w:spacing w:line="240" w:lineRule="auto"/>
                    <w:ind w:firstLine="0" w:firstLineChars="0"/>
                    <w:jc w:val="center"/>
                    <w:textAlignment w:val="center"/>
                    <w:rPr>
                      <w:rFonts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无织排组放的粉尘</w:t>
                  </w:r>
                </w:p>
              </w:tc>
              <w:tc>
                <w:tcPr>
                  <w:tcW w:w="868" w:type="pct"/>
                  <w:shd w:val="clear" w:color="auto" w:fill="auto"/>
                  <w:vAlign w:val="center"/>
                </w:tcPr>
                <w:p w14:paraId="36A8A4E8">
                  <w:pPr>
                    <w:adjustRightInd w:val="0"/>
                    <w:snapToGrid w:val="0"/>
                    <w:spacing w:before="86"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0.0685</w:t>
                  </w:r>
                </w:p>
              </w:tc>
            </w:tr>
            <w:tr w14:paraId="6FE04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45" w:type="pct"/>
                  <w:vAlign w:val="center"/>
                </w:tcPr>
                <w:p w14:paraId="67070929">
                  <w:pPr>
                    <w:widowControl/>
                    <w:adjustRightInd w:val="0"/>
                    <w:snapToGrid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w:t>
                  </w:r>
                </w:p>
              </w:tc>
              <w:tc>
                <w:tcPr>
                  <w:tcW w:w="989" w:type="pct"/>
                  <w:vAlign w:val="center"/>
                </w:tcPr>
                <w:p w14:paraId="4DA45C1E">
                  <w:pPr>
                    <w:adjustRightInd w:val="0"/>
                    <w:snapToGrid w:val="0"/>
                    <w:spacing w:before="86"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w:t>
                  </w:r>
                </w:p>
              </w:tc>
              <w:tc>
                <w:tcPr>
                  <w:tcW w:w="1696" w:type="pct"/>
                  <w:shd w:val="clear" w:color="auto" w:fill="auto"/>
                  <w:vAlign w:val="center"/>
                </w:tcPr>
                <w:p w14:paraId="18B15152">
                  <w:pPr>
                    <w:widowControl/>
                    <w:adjustRightInd w:val="0"/>
                    <w:snapToGrid w:val="0"/>
                    <w:spacing w:line="240" w:lineRule="auto"/>
                    <w:ind w:firstLine="0" w:firstLineChars="0"/>
                    <w:jc w:val="center"/>
                    <w:textAlignment w:val="center"/>
                    <w:rPr>
                      <w:rFonts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kern w:val="0"/>
                      <w:sz w:val="21"/>
                      <w:szCs w:val="21"/>
                      <w14:textFill>
                        <w14:solidFill>
                          <w14:schemeClr w14:val="tx1"/>
                        </w14:solidFill>
                      </w14:textFill>
                    </w:rPr>
                    <w:t>洒水降尘去除的粉尘</w:t>
                  </w:r>
                </w:p>
              </w:tc>
              <w:tc>
                <w:tcPr>
                  <w:tcW w:w="868" w:type="pct"/>
                  <w:shd w:val="clear" w:color="auto" w:fill="auto"/>
                  <w:vAlign w:val="center"/>
                </w:tcPr>
                <w:p w14:paraId="16F0E807">
                  <w:pPr>
                    <w:adjustRightInd w:val="0"/>
                    <w:snapToGrid w:val="0"/>
                    <w:spacing w:before="86"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0.6462</w:t>
                  </w:r>
                </w:p>
              </w:tc>
            </w:tr>
            <w:tr w14:paraId="4E61E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45" w:type="pct"/>
                  <w:vAlign w:val="center"/>
                </w:tcPr>
                <w:p w14:paraId="77656890">
                  <w:pPr>
                    <w:widowControl/>
                    <w:adjustRightInd w:val="0"/>
                    <w:snapToGrid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合计</w:t>
                  </w:r>
                </w:p>
              </w:tc>
              <w:tc>
                <w:tcPr>
                  <w:tcW w:w="989" w:type="pct"/>
                  <w:vAlign w:val="center"/>
                </w:tcPr>
                <w:p w14:paraId="055BC954">
                  <w:pPr>
                    <w:adjustRightInd w:val="0"/>
                    <w:snapToGrid w:val="0"/>
                    <w:spacing w:before="86" w:line="240" w:lineRule="auto"/>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200048.1085</w:t>
                  </w:r>
                </w:p>
              </w:tc>
              <w:tc>
                <w:tcPr>
                  <w:tcW w:w="1696" w:type="pct"/>
                  <w:shd w:val="clear" w:color="auto" w:fill="auto"/>
                  <w:vAlign w:val="center"/>
                </w:tcPr>
                <w:p w14:paraId="253F21AB">
                  <w:pPr>
                    <w:widowControl/>
                    <w:adjustRightInd w:val="0"/>
                    <w:snapToGrid w:val="0"/>
                    <w:spacing w:line="240" w:lineRule="auto"/>
                    <w:ind w:firstLine="0" w:firstLineChars="0"/>
                    <w:jc w:val="center"/>
                    <w:textAlignment w:val="center"/>
                    <w:rPr>
                      <w:rFonts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w:t>
                  </w:r>
                </w:p>
              </w:tc>
              <w:tc>
                <w:tcPr>
                  <w:tcW w:w="868" w:type="pct"/>
                  <w:shd w:val="clear" w:color="auto" w:fill="auto"/>
                  <w:vAlign w:val="center"/>
                </w:tcPr>
                <w:p w14:paraId="55813CEA">
                  <w:pPr>
                    <w:widowControl/>
                    <w:adjustRightInd w:val="0"/>
                    <w:snapToGrid w:val="0"/>
                    <w:spacing w:line="240" w:lineRule="auto"/>
                    <w:ind w:firstLine="0" w:firstLineChars="0"/>
                    <w:jc w:val="center"/>
                    <w:textAlignment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200048.1085</w:t>
                  </w:r>
                </w:p>
              </w:tc>
            </w:tr>
          </w:tbl>
          <w:p w14:paraId="7B9F6F56">
            <w:pPr>
              <w:adjustRightInd w:val="0"/>
              <w:snapToGrid w:val="0"/>
              <w:ind w:firstLine="482"/>
              <w:rPr>
                <w:rFonts w:cs="宋体"/>
                <w:b/>
              </w:rPr>
            </w:pPr>
            <w:r>
              <w:rPr>
                <w:rFonts w:hint="eastAsia" w:cs="宋体"/>
                <w:b/>
              </w:rPr>
              <w:t>9、水平衡分析</w:t>
            </w:r>
          </w:p>
          <w:p w14:paraId="6443E53C">
            <w:pPr>
              <w:adjustRightInd w:val="0"/>
              <w:snapToGrid w:val="0"/>
              <w:ind w:firstLine="480"/>
              <w:rPr>
                <w:bCs/>
                <w:highlight w:val="yellow"/>
              </w:rPr>
            </w:pPr>
            <w:r>
              <w:rPr>
                <w:rFonts w:hint="eastAsia" w:cs="宋体"/>
                <w:bCs/>
              </w:rPr>
              <w:t>项目生产过程无废水产生，运营期用水主要为运输车辆车轮清洗用水、员工办公用水、降尘用水、绿化用水等。</w:t>
            </w:r>
          </w:p>
          <w:p w14:paraId="258E1B4D">
            <w:pPr>
              <w:numPr>
                <w:ilvl w:val="0"/>
                <w:numId w:val="6"/>
              </w:numPr>
              <w:adjustRightInd w:val="0"/>
              <w:snapToGrid w:val="0"/>
              <w:ind w:firstLine="482"/>
              <w:rPr>
                <w:rFonts w:cs="宋体"/>
                <w:b/>
              </w:rPr>
            </w:pPr>
            <w:r>
              <w:rPr>
                <w:rFonts w:hint="eastAsia" w:cs="宋体"/>
                <w:b/>
              </w:rPr>
              <w:t>运输车辆车轮清洗用水</w:t>
            </w:r>
          </w:p>
          <w:p w14:paraId="567D7B24">
            <w:pPr>
              <w:adjustRightInd w:val="0"/>
              <w:snapToGrid w:val="0"/>
              <w:ind w:firstLine="480"/>
              <w:rPr>
                <w:rFonts w:cs="宋体"/>
                <w:bCs/>
              </w:rPr>
            </w:pPr>
            <w:r>
              <w:rPr>
                <w:rFonts w:hint="eastAsia" w:cs="宋体"/>
                <w:bCs/>
              </w:rPr>
              <w:t>项目运输车辆进出厂区时，车轮上沾有的泥土灰尘会导致运输道路扬尘的产生。</w:t>
            </w:r>
          </w:p>
          <w:p w14:paraId="3DA8A273">
            <w:pPr>
              <w:adjustRightInd w:val="0"/>
              <w:snapToGrid w:val="0"/>
              <w:ind w:firstLine="480"/>
              <w:rPr>
                <w:rFonts w:cs="宋体"/>
                <w:bCs/>
              </w:rPr>
            </w:pPr>
            <w:r>
              <w:rPr>
                <w:rFonts w:hint="eastAsia" w:cs="宋体"/>
                <w:bCs/>
              </w:rPr>
              <w:t>项目物料运输量约为400000t/a（原料和产品各20万t/a），运输车辆平均载重约20t，则共运输20000车次/a。参考《云南省地方标准 用水定额》（DB53/T 168-2026）表13自动洗车（中型），运输车辆清洗用水量按0.036m</w:t>
            </w:r>
            <w:r>
              <w:rPr>
                <w:rFonts w:hint="eastAsia" w:cs="宋体"/>
                <w:bCs/>
                <w:vertAlign w:val="superscript"/>
              </w:rPr>
              <w:t>3</w:t>
            </w:r>
            <w:r>
              <w:rPr>
                <w:rFonts w:hint="eastAsia" w:cs="宋体"/>
                <w:bCs/>
              </w:rPr>
              <w:t>/次计，则洗车用水量为2.4m</w:t>
            </w:r>
            <w:r>
              <w:rPr>
                <w:rFonts w:hint="eastAsia" w:cs="宋体"/>
                <w:bCs/>
                <w:vertAlign w:val="superscript"/>
              </w:rPr>
              <w:t>3</w:t>
            </w:r>
            <w:r>
              <w:rPr>
                <w:rFonts w:hint="eastAsia" w:cs="宋体"/>
                <w:bCs/>
              </w:rPr>
              <w:t>/d（720m</w:t>
            </w:r>
            <w:r>
              <w:rPr>
                <w:rFonts w:hint="eastAsia" w:cs="宋体"/>
                <w:bCs/>
                <w:vertAlign w:val="superscript"/>
              </w:rPr>
              <w:t>3</w:t>
            </w:r>
            <w:r>
              <w:rPr>
                <w:rFonts w:hint="eastAsia" w:cs="宋体"/>
                <w:bCs/>
              </w:rPr>
              <w:t>/a）。拟在项目两个进出口处</w:t>
            </w:r>
            <w:r>
              <w:rPr>
                <w:rFonts w:hint="eastAsia" w:cs="宋体"/>
                <w:bCs/>
                <w:color w:val="000000" w:themeColor="text1"/>
                <w14:textFill>
                  <w14:solidFill>
                    <w14:schemeClr w14:val="tx1"/>
                  </w14:solidFill>
                </w14:textFill>
              </w:rPr>
              <w:t>各设置1个容积为1m</w:t>
            </w:r>
            <w:r>
              <w:rPr>
                <w:rFonts w:hint="eastAsia" w:cs="宋体"/>
                <w:bCs/>
                <w:color w:val="000000" w:themeColor="text1"/>
                <w:vertAlign w:val="superscript"/>
                <w14:textFill>
                  <w14:solidFill>
                    <w14:schemeClr w14:val="tx1"/>
                  </w14:solidFill>
                </w14:textFill>
              </w:rPr>
              <w:t>3</w:t>
            </w:r>
            <w:r>
              <w:rPr>
                <w:rFonts w:hint="eastAsia" w:cs="宋体"/>
                <w:bCs/>
                <w:color w:val="000000" w:themeColor="text1"/>
                <w14:textFill>
                  <w14:solidFill>
                    <w14:schemeClr w14:val="tx1"/>
                  </w14:solidFill>
                </w14:textFill>
              </w:rPr>
              <w:t>洗车池收集运输车辆清洗废水，清洗废水循环使用，当不</w:t>
            </w:r>
            <w:r>
              <w:rPr>
                <w:rFonts w:hint="eastAsia" w:cs="宋体"/>
                <w:bCs/>
              </w:rPr>
              <w:t>能满足洗车条件后用于厂区洒水降尘，不外排。清洗过程中存在一定损耗，损耗约为用水量的10％，每天定期补充损耗，补充量为0.24m</w:t>
            </w:r>
            <w:r>
              <w:rPr>
                <w:rFonts w:hint="eastAsia" w:cs="宋体"/>
                <w:bCs/>
                <w:vertAlign w:val="superscript"/>
              </w:rPr>
              <w:t>3</w:t>
            </w:r>
            <w:r>
              <w:rPr>
                <w:rFonts w:hint="eastAsia" w:cs="宋体"/>
                <w:bCs/>
              </w:rPr>
              <w:t>/d（72m</w:t>
            </w:r>
            <w:r>
              <w:rPr>
                <w:rFonts w:hint="eastAsia" w:cs="宋体"/>
                <w:bCs/>
                <w:vertAlign w:val="superscript"/>
              </w:rPr>
              <w:t>3</w:t>
            </w:r>
            <w:r>
              <w:rPr>
                <w:rFonts w:hint="eastAsia" w:cs="宋体"/>
                <w:bCs/>
              </w:rPr>
              <w:t>/a）。</w:t>
            </w:r>
          </w:p>
          <w:p w14:paraId="1656EE99">
            <w:pPr>
              <w:numPr>
                <w:ilvl w:val="0"/>
                <w:numId w:val="6"/>
              </w:numPr>
              <w:adjustRightInd w:val="0"/>
              <w:snapToGrid w:val="0"/>
              <w:ind w:firstLine="482"/>
              <w:rPr>
                <w:rFonts w:cs="宋体"/>
                <w:b/>
              </w:rPr>
            </w:pPr>
            <w:r>
              <w:rPr>
                <w:rFonts w:hint="eastAsia" w:cs="宋体"/>
                <w:b/>
              </w:rPr>
              <w:t>生活用水</w:t>
            </w:r>
          </w:p>
          <w:p w14:paraId="0E759B9B">
            <w:pPr>
              <w:adjustRightInd w:val="0"/>
              <w:snapToGrid w:val="0"/>
              <w:ind w:firstLine="480"/>
            </w:pPr>
            <w:r>
              <w:rPr>
                <w:rFonts w:hint="eastAsia" w:cs="宋体"/>
                <w:bCs/>
              </w:rPr>
              <w:t>本次项目共有员工1</w:t>
            </w:r>
            <w:r>
              <w:rPr>
                <w:rFonts w:hint="eastAsia"/>
                <w:bCs/>
              </w:rPr>
              <w:t>0</w:t>
            </w:r>
            <w:r>
              <w:rPr>
                <w:rFonts w:hint="eastAsia" w:cs="宋体"/>
                <w:bCs/>
              </w:rPr>
              <w:t>人，其中5人在项目内食宿。食宿员工办公生活用水量</w:t>
            </w:r>
            <w:r>
              <w:t>根据</w:t>
            </w:r>
            <w:r>
              <w:rPr>
                <w:rFonts w:hint="eastAsia" w:cs="宋体"/>
                <w:bCs/>
              </w:rPr>
              <w:t>《云南省地方标准 用水定额》（DB53/T 168-2026）</w:t>
            </w:r>
            <w:r>
              <w:rPr>
                <w:rFonts w:hint="eastAsia"/>
              </w:rPr>
              <w:t>表14</w:t>
            </w:r>
            <w:r>
              <w:t>-城镇居民生活用水</w:t>
            </w:r>
            <w:r>
              <w:rPr>
                <w:rFonts w:hint="eastAsia"/>
              </w:rPr>
              <w:t>定额为</w:t>
            </w:r>
            <w:r>
              <w:t>100L/（人·d）计</w:t>
            </w:r>
            <w:r>
              <w:rPr>
                <w:rFonts w:hint="eastAsia"/>
              </w:rPr>
              <w:t>（其中食堂用水取</w:t>
            </w:r>
            <w:r>
              <w:t>30L/</w:t>
            </w:r>
            <w:r>
              <w:rPr>
                <w:rFonts w:hint="eastAsia" w:cs="宋体"/>
              </w:rPr>
              <w:t>人·d天</w:t>
            </w:r>
            <w:r>
              <w:rPr>
                <w:rFonts w:hint="eastAsia"/>
              </w:rPr>
              <w:t>）</w:t>
            </w:r>
            <w:r>
              <w:t>，</w:t>
            </w:r>
            <w:r>
              <w:rPr>
                <w:rFonts w:hint="eastAsia"/>
              </w:rPr>
              <w:t>不食宿员工</w:t>
            </w:r>
            <w:r>
              <w:rPr>
                <w:rFonts w:hint="eastAsia" w:cs="宋体"/>
                <w:bCs/>
              </w:rPr>
              <w:t>办公生活用水量</w:t>
            </w:r>
            <w:r>
              <w:t>根据</w:t>
            </w:r>
            <w:r>
              <w:rPr>
                <w:rFonts w:hint="eastAsia" w:cs="宋体"/>
                <w:bCs/>
              </w:rPr>
              <w:t>《云南省地方标准 用水定额》（DB53/T 168-2026）表13-国家行政机构无食堂</w:t>
            </w:r>
            <w:r>
              <w:rPr>
                <w:rFonts w:hint="eastAsia" w:cs="宋体"/>
              </w:rPr>
              <w:t>，用水定额为11m³/（人</w:t>
            </w:r>
            <w:r>
              <w:t>·</w:t>
            </w:r>
            <w:r>
              <w:rPr>
                <w:rFonts w:hint="eastAsia"/>
              </w:rPr>
              <w:t>a</w:t>
            </w:r>
            <w:r>
              <w:rPr>
                <w:rFonts w:hint="eastAsia" w:cs="宋体"/>
              </w:rPr>
              <w:t>）。则项目员工办公生活用水量为</w:t>
            </w:r>
            <w:r>
              <w:rPr>
                <w:rFonts w:hint="eastAsia"/>
              </w:rPr>
              <w:t>0.683</w:t>
            </w:r>
            <w:r>
              <w:t>m</w:t>
            </w:r>
            <w:r>
              <w:rPr>
                <w:vertAlign w:val="superscript"/>
              </w:rPr>
              <w:t>3</w:t>
            </w:r>
            <w:r>
              <w:t>/d</w:t>
            </w:r>
            <w:r>
              <w:rPr>
                <w:rFonts w:hint="eastAsia" w:cs="宋体"/>
              </w:rPr>
              <w:t>，</w:t>
            </w:r>
            <w:r>
              <w:rPr>
                <w:rFonts w:hint="eastAsia"/>
              </w:rPr>
              <w:t>205</w:t>
            </w:r>
            <w:r>
              <w:t>m</w:t>
            </w:r>
            <w:r>
              <w:rPr>
                <w:vertAlign w:val="superscript"/>
              </w:rPr>
              <w:t>3</w:t>
            </w:r>
            <w:r>
              <w:t>/a</w:t>
            </w:r>
            <w:r>
              <w:rPr>
                <w:rFonts w:hint="eastAsia" w:cs="宋体"/>
              </w:rPr>
              <w:t>，产污系数取</w:t>
            </w:r>
            <w:r>
              <w:t>0.8</w:t>
            </w:r>
            <w:r>
              <w:rPr>
                <w:rFonts w:hint="eastAsia" w:cs="宋体"/>
              </w:rPr>
              <w:t>，则项目员工生活污水产生量为</w:t>
            </w:r>
            <w:r>
              <w:rPr>
                <w:rFonts w:hint="eastAsia"/>
              </w:rPr>
              <w:t>0.546</w:t>
            </w:r>
            <w:r>
              <w:t>m</w:t>
            </w:r>
            <w:r>
              <w:rPr>
                <w:vertAlign w:val="superscript"/>
              </w:rPr>
              <w:t>3</w:t>
            </w:r>
            <w:r>
              <w:t>/d</w:t>
            </w:r>
            <w:r>
              <w:rPr>
                <w:rFonts w:hint="eastAsia" w:cs="宋体"/>
              </w:rPr>
              <w:t>，</w:t>
            </w:r>
            <w:r>
              <w:rPr>
                <w:rFonts w:hint="eastAsia"/>
              </w:rPr>
              <w:t>164</w:t>
            </w:r>
            <w:r>
              <w:t>m</w:t>
            </w:r>
            <w:r>
              <w:rPr>
                <w:vertAlign w:val="superscript"/>
              </w:rPr>
              <w:t>3</w:t>
            </w:r>
            <w:r>
              <w:t>/a</w:t>
            </w:r>
            <w:r>
              <w:rPr>
                <w:rFonts w:hint="eastAsia"/>
              </w:rPr>
              <w:t>。其中</w:t>
            </w:r>
            <w:r>
              <w:rPr>
                <w:rFonts w:hint="eastAsia" w:cs="宋体"/>
                <w:bCs/>
              </w:rPr>
              <w:t>食堂用水量为</w:t>
            </w:r>
            <w:r>
              <w:rPr>
                <w:rFonts w:hint="eastAsia"/>
              </w:rPr>
              <w:t>0.15</w:t>
            </w:r>
            <w:r>
              <w:t>m</w:t>
            </w:r>
            <w:r>
              <w:rPr>
                <w:vertAlign w:val="superscript"/>
              </w:rPr>
              <w:t>3</w:t>
            </w:r>
            <w:r>
              <w:t>/d</w:t>
            </w:r>
            <w:r>
              <w:rPr>
                <w:rFonts w:hint="eastAsia" w:cs="宋体"/>
              </w:rPr>
              <w:t>、</w:t>
            </w:r>
            <w:r>
              <w:rPr>
                <w:rFonts w:hint="eastAsia"/>
              </w:rPr>
              <w:t>45</w:t>
            </w:r>
            <w:r>
              <w:t>m</w:t>
            </w:r>
            <w:r>
              <w:rPr>
                <w:vertAlign w:val="superscript"/>
              </w:rPr>
              <w:t>3</w:t>
            </w:r>
            <w:r>
              <w:t>/a</w:t>
            </w:r>
            <w:r>
              <w:rPr>
                <w:rFonts w:hint="eastAsia" w:cs="宋体"/>
              </w:rPr>
              <w:t>，食堂污水量为</w:t>
            </w:r>
            <w:r>
              <w:rPr>
                <w:rFonts w:hint="eastAsia"/>
              </w:rPr>
              <w:t>0.12</w:t>
            </w:r>
            <w:r>
              <w:t>m</w:t>
            </w:r>
            <w:r>
              <w:rPr>
                <w:vertAlign w:val="superscript"/>
              </w:rPr>
              <w:t>3</w:t>
            </w:r>
            <w:r>
              <w:t>/d</w:t>
            </w:r>
            <w:r>
              <w:rPr>
                <w:rFonts w:hint="eastAsia" w:cs="宋体"/>
              </w:rPr>
              <w:t>，</w:t>
            </w:r>
            <w:r>
              <w:rPr>
                <w:rFonts w:hint="eastAsia"/>
              </w:rPr>
              <w:t>36</w:t>
            </w:r>
            <w:r>
              <w:t>m</w:t>
            </w:r>
            <w:r>
              <w:rPr>
                <w:vertAlign w:val="superscript"/>
              </w:rPr>
              <w:t>3</w:t>
            </w:r>
            <w:r>
              <w:t>/a</w:t>
            </w:r>
            <w:r>
              <w:rPr>
                <w:rFonts w:hint="eastAsia"/>
              </w:rPr>
              <w:t>。</w:t>
            </w:r>
          </w:p>
          <w:p w14:paraId="72291090">
            <w:pPr>
              <w:adjustRightInd w:val="0"/>
              <w:snapToGrid w:val="0"/>
              <w:ind w:firstLine="480"/>
              <w:rPr>
                <w:rFonts w:cs="宋体"/>
                <w:bCs/>
              </w:rPr>
            </w:pPr>
            <w:r>
              <w:rPr>
                <w:rFonts w:hint="eastAsia" w:cs="宋体"/>
                <w:bCs/>
              </w:rPr>
              <w:t>项目食堂废水经隔油池处理后与其他生活废水一起经化粪池、一体化污水处理设备处理后回用于厂区绿化和洒水降尘，不外排。</w:t>
            </w:r>
          </w:p>
          <w:p w14:paraId="653333AB">
            <w:pPr>
              <w:numPr>
                <w:ilvl w:val="0"/>
                <w:numId w:val="6"/>
              </w:numPr>
              <w:adjustRightInd w:val="0"/>
              <w:snapToGrid w:val="0"/>
              <w:ind w:firstLine="482"/>
              <w:rPr>
                <w:b/>
                <w:bCs/>
              </w:rPr>
            </w:pPr>
            <w:r>
              <w:rPr>
                <w:rFonts w:hint="eastAsia"/>
                <w:b/>
                <w:bCs/>
              </w:rPr>
              <w:t>降尘用水</w:t>
            </w:r>
          </w:p>
          <w:p w14:paraId="28545CA3">
            <w:pPr>
              <w:adjustRightInd w:val="0"/>
              <w:snapToGrid w:val="0"/>
              <w:ind w:firstLine="480"/>
            </w:pPr>
            <w:r>
              <w:rPr>
                <w:rFonts w:hint="eastAsia"/>
              </w:rPr>
              <w:t>项目运营期厂区原料仓库、装载机上料和运输道路</w:t>
            </w:r>
            <w:r>
              <w:t>等</w:t>
            </w:r>
            <w:r>
              <w:rPr>
                <w:rFonts w:hint="eastAsia"/>
              </w:rPr>
              <w:t>会产生扬尘，需定期对</w:t>
            </w:r>
            <w:r>
              <w:t>厂区运输</w:t>
            </w:r>
            <w:r>
              <w:rPr>
                <w:rFonts w:hint="eastAsia"/>
              </w:rPr>
              <w:t>道路、原料仓库和上料区</w:t>
            </w:r>
            <w:r>
              <w:t>等</w:t>
            </w:r>
            <w:r>
              <w:rPr>
                <w:rFonts w:hint="eastAsia"/>
              </w:rPr>
              <w:t>进行洒水降尘。</w:t>
            </w:r>
          </w:p>
          <w:p w14:paraId="32C2898B">
            <w:pPr>
              <w:adjustRightInd w:val="0"/>
              <w:snapToGrid w:val="0"/>
              <w:ind w:left="240" w:leftChars="100" w:firstLine="240" w:firstLineChars="100"/>
            </w:pPr>
            <w:r>
              <w:rPr>
                <w:rFonts w:hint="eastAsia"/>
              </w:rPr>
              <w:t>①原料仓库、装载机上料区</w:t>
            </w:r>
          </w:p>
          <w:p w14:paraId="45AE625A">
            <w:pPr>
              <w:adjustRightInd w:val="0"/>
              <w:snapToGrid w:val="0"/>
              <w:ind w:left="240" w:leftChars="100" w:firstLine="240" w:firstLineChars="100"/>
            </w:pPr>
            <w:r>
              <w:rPr>
                <w:rFonts w:hint="eastAsia"/>
              </w:rPr>
              <w:t>项目拟采用高压喷雾降尘系统对原料仓库、装载机上料区进行降尘</w:t>
            </w:r>
            <w:r>
              <w:rPr>
                <w:rFonts w:hint="eastAsia"/>
                <w:color w:val="000000"/>
              </w:rPr>
              <w:t>，喷水量约为0.48</w:t>
            </w:r>
            <w:r>
              <w:rPr>
                <w:color w:val="000000"/>
              </w:rPr>
              <w:t>L/</w:t>
            </w:r>
            <w:r>
              <w:rPr>
                <w:rFonts w:hint="eastAsia"/>
                <w:color w:val="000000"/>
              </w:rPr>
              <w:t>h</w:t>
            </w:r>
            <w:r>
              <w:rPr>
                <w:color w:val="000000"/>
              </w:rPr>
              <w:t>·</w:t>
            </w:r>
            <w:r>
              <w:rPr>
                <w:rFonts w:hint="eastAsia"/>
                <w:color w:val="000000"/>
              </w:rPr>
              <w:t>m</w:t>
            </w:r>
            <w:r>
              <w:rPr>
                <w:rFonts w:hint="eastAsia"/>
                <w:color w:val="000000"/>
                <w:vertAlign w:val="superscript"/>
              </w:rPr>
              <w:t>2</w:t>
            </w:r>
            <w:r>
              <w:rPr>
                <w:rFonts w:hint="eastAsia"/>
                <w:color w:val="000000"/>
              </w:rPr>
              <w:t>，项目</w:t>
            </w:r>
            <w:r>
              <w:rPr>
                <w:rFonts w:hint="eastAsia"/>
              </w:rPr>
              <w:t>原料仓库和上料区面积约1200m</w:t>
            </w:r>
            <w:r>
              <w:rPr>
                <w:rFonts w:hint="eastAsia"/>
                <w:vertAlign w:val="superscript"/>
              </w:rPr>
              <w:t>2</w:t>
            </w:r>
            <w:r>
              <w:rPr>
                <w:rFonts w:hint="eastAsia"/>
              </w:rPr>
              <w:t>，</w:t>
            </w:r>
            <w:r>
              <w:rPr>
                <w:rFonts w:hint="eastAsia"/>
                <w:color w:val="000000"/>
              </w:rPr>
              <w:t>平均每天喷水时间约为8h，则</w:t>
            </w:r>
            <w:r>
              <w:rPr>
                <w:rFonts w:hint="eastAsia"/>
              </w:rPr>
              <w:t>原料仓库和上料区</w:t>
            </w:r>
            <w:r>
              <w:rPr>
                <w:rFonts w:hint="eastAsia"/>
                <w:color w:val="000000"/>
              </w:rPr>
              <w:t>降尘用水量约为4.608m</w:t>
            </w:r>
            <w:r>
              <w:rPr>
                <w:rFonts w:hint="eastAsia"/>
                <w:color w:val="000000"/>
                <w:vertAlign w:val="superscript"/>
              </w:rPr>
              <w:t>3</w:t>
            </w:r>
            <w:r>
              <w:rPr>
                <w:rFonts w:hint="eastAsia"/>
                <w:color w:val="000000"/>
              </w:rPr>
              <w:t>/d、1382m</w:t>
            </w:r>
            <w:r>
              <w:rPr>
                <w:rFonts w:hint="eastAsia"/>
                <w:color w:val="000000"/>
                <w:vertAlign w:val="superscript"/>
              </w:rPr>
              <w:t>3</w:t>
            </w:r>
            <w:r>
              <w:rPr>
                <w:rFonts w:hint="eastAsia"/>
                <w:color w:val="000000"/>
              </w:rPr>
              <w:t>/a，该部分水自然蒸发，无废水产生。</w:t>
            </w:r>
          </w:p>
          <w:p w14:paraId="46738E46">
            <w:pPr>
              <w:adjustRightInd w:val="0"/>
              <w:snapToGrid w:val="0"/>
              <w:ind w:firstLine="480"/>
            </w:pPr>
            <w:r>
              <w:rPr>
                <w:rFonts w:hint="eastAsia"/>
              </w:rPr>
              <w:t>②场地降尘用水</w:t>
            </w:r>
          </w:p>
          <w:p w14:paraId="519F1A03">
            <w:pPr>
              <w:adjustRightInd w:val="0"/>
              <w:snapToGrid w:val="0"/>
              <w:ind w:firstLine="480"/>
            </w:pPr>
            <w:r>
              <w:rPr>
                <w:rFonts w:hint="eastAsia"/>
              </w:rPr>
              <w:t>场地包括厂区内运输道路和硬化地面，</w:t>
            </w:r>
            <w:r>
              <w:t>降尘面积约为</w:t>
            </w:r>
            <w:r>
              <w:rPr>
                <w:rFonts w:hint="eastAsia"/>
                <w:kern w:val="0"/>
              </w:rPr>
              <w:t>800</w:t>
            </w:r>
            <w:r>
              <w:rPr>
                <w:kern w:val="0"/>
              </w:rPr>
              <w:t>m</w:t>
            </w:r>
            <w:r>
              <w:rPr>
                <w:kern w:val="0"/>
                <w:vertAlign w:val="superscript"/>
              </w:rPr>
              <w:t>2</w:t>
            </w:r>
            <w:r>
              <w:rPr>
                <w:kern w:val="0"/>
              </w:rPr>
              <w:t>，</w:t>
            </w:r>
            <w:r>
              <w:rPr>
                <w:rFonts w:hint="eastAsia" w:cs="宋体"/>
                <w:bCs/>
              </w:rPr>
              <w:t>《云南省地方标准 用水定额》（DB53/T 168-2026）表13环境卫生管理道路场地浇洒</w:t>
            </w:r>
            <w:r>
              <w:t>，洒水降尘用水量按2L</w:t>
            </w:r>
            <w:r>
              <w:rPr>
                <w:rFonts w:hint="eastAsia"/>
              </w:rPr>
              <w:t>/</w:t>
            </w:r>
            <w:r>
              <w:t>m</w:t>
            </w:r>
            <w:r>
              <w:rPr>
                <w:vertAlign w:val="superscript"/>
              </w:rPr>
              <w:t>2</w:t>
            </w:r>
            <w:r>
              <w:t>·次，每天进行</w:t>
            </w:r>
            <w:r>
              <w:rPr>
                <w:rFonts w:hint="eastAsia"/>
              </w:rPr>
              <w:t>2</w:t>
            </w:r>
            <w:r>
              <w:t>次洒水降尘，则</w:t>
            </w:r>
            <w:r>
              <w:rPr>
                <w:rFonts w:hint="eastAsia"/>
              </w:rPr>
              <w:t>场地降尘</w:t>
            </w:r>
            <w:r>
              <w:t>用水量为</w:t>
            </w:r>
            <w:r>
              <w:rPr>
                <w:rFonts w:hint="eastAsia"/>
              </w:rPr>
              <w:t>3.6</w:t>
            </w:r>
            <w:r>
              <w:t>m</w:t>
            </w:r>
            <w:r>
              <w:rPr>
                <w:vertAlign w:val="superscript"/>
              </w:rPr>
              <w:t>3</w:t>
            </w:r>
            <w:r>
              <w:t>/d、</w:t>
            </w:r>
            <w:r>
              <w:rPr>
                <w:rFonts w:hint="eastAsia"/>
              </w:rPr>
              <w:t>720</w:t>
            </w:r>
            <w:r>
              <w:t>m</w:t>
            </w:r>
            <w:r>
              <w:rPr>
                <w:vertAlign w:val="superscript"/>
              </w:rPr>
              <w:t>3</w:t>
            </w:r>
            <w:r>
              <w:t>/a（晴天以</w:t>
            </w:r>
            <w:r>
              <w:rPr>
                <w:rFonts w:hint="eastAsia"/>
              </w:rPr>
              <w:t>200</w:t>
            </w:r>
            <w:r>
              <w:t>天计），</w:t>
            </w:r>
            <w:r>
              <w:rPr>
                <w:rFonts w:hint="eastAsia"/>
              </w:rPr>
              <w:t>降尘</w:t>
            </w:r>
            <w:r>
              <w:t>用水全部蒸发，不产生废水。</w:t>
            </w:r>
          </w:p>
          <w:p w14:paraId="65E07B23">
            <w:pPr>
              <w:numPr>
                <w:ilvl w:val="0"/>
                <w:numId w:val="6"/>
              </w:numPr>
              <w:adjustRightInd w:val="0"/>
              <w:snapToGrid w:val="0"/>
              <w:ind w:firstLine="482"/>
              <w:rPr>
                <w:b/>
                <w:bCs/>
              </w:rPr>
            </w:pPr>
            <w:r>
              <w:rPr>
                <w:rFonts w:hint="eastAsia"/>
                <w:b/>
                <w:bCs/>
              </w:rPr>
              <w:t>绿化用水</w:t>
            </w:r>
          </w:p>
          <w:p w14:paraId="3C8FF6B3">
            <w:pPr>
              <w:adjustRightInd w:val="0"/>
              <w:snapToGrid w:val="0"/>
              <w:ind w:firstLine="480"/>
            </w:pPr>
            <w:r>
              <w:rPr>
                <w:rFonts w:hint="eastAsia"/>
              </w:rPr>
              <w:t>本项目共设置面积约为958m</w:t>
            </w:r>
            <w:r>
              <w:rPr>
                <w:rFonts w:hint="eastAsia"/>
                <w:vertAlign w:val="superscript"/>
              </w:rPr>
              <w:t>2</w:t>
            </w:r>
            <w:r>
              <w:rPr>
                <w:rFonts w:hint="eastAsia"/>
              </w:rPr>
              <w:t>的绿化，根据</w:t>
            </w:r>
            <w:r>
              <w:rPr>
                <w:rFonts w:hint="eastAsia" w:cs="宋体"/>
                <w:bCs/>
              </w:rPr>
              <w:t>《云南省地方标准 用水定额》（DB53/T 168-2026）表13</w:t>
            </w:r>
            <w:r>
              <w:rPr>
                <w:rFonts w:hint="eastAsia"/>
              </w:rPr>
              <w:t>，园林绿化用水定额为2.6L/（m</w:t>
            </w:r>
            <w:r>
              <w:rPr>
                <w:rFonts w:hint="eastAsia"/>
                <w:vertAlign w:val="superscript"/>
              </w:rPr>
              <w:t>2</w:t>
            </w:r>
            <w:r>
              <w:rPr>
                <w:rFonts w:hint="eastAsia"/>
              </w:rPr>
              <w:t>.d）。本项目非雨天每天进行一次绿化，则绿化用水量为2.49m</w:t>
            </w:r>
            <w:r>
              <w:rPr>
                <w:rFonts w:hint="eastAsia"/>
                <w:vertAlign w:val="superscript"/>
              </w:rPr>
              <w:t>3</w:t>
            </w:r>
            <w:r>
              <w:rPr>
                <w:rFonts w:hint="eastAsia"/>
              </w:rPr>
              <w:t>/d，498m</w:t>
            </w:r>
            <w:r>
              <w:rPr>
                <w:rFonts w:hint="eastAsia"/>
                <w:vertAlign w:val="superscript"/>
              </w:rPr>
              <w:t>3</w:t>
            </w:r>
            <w:r>
              <w:rPr>
                <w:rFonts w:hint="eastAsia"/>
              </w:rPr>
              <w:t>/a（非雨天按照200天计），全部自然蒸发损耗。</w:t>
            </w:r>
          </w:p>
          <w:p w14:paraId="1F005907">
            <w:pPr>
              <w:numPr>
                <w:ilvl w:val="0"/>
                <w:numId w:val="6"/>
              </w:numPr>
              <w:adjustRightInd w:val="0"/>
              <w:snapToGrid w:val="0"/>
              <w:ind w:firstLine="482"/>
              <w:rPr>
                <w:b/>
                <w:bCs/>
              </w:rPr>
            </w:pPr>
            <w:r>
              <w:rPr>
                <w:rFonts w:hint="eastAsia"/>
                <w:b/>
                <w:bCs/>
              </w:rPr>
              <w:t>初期雨水</w:t>
            </w:r>
          </w:p>
          <w:p w14:paraId="453D8DDF">
            <w:pPr>
              <w:ind w:firstLine="480"/>
              <w:rPr>
                <w:color w:val="000000"/>
              </w:rPr>
            </w:pPr>
            <w:r>
              <w:rPr>
                <w:color w:val="000000"/>
              </w:rPr>
              <w:t>初期雨水按下式计算：</w:t>
            </w:r>
          </w:p>
          <w:p w14:paraId="69E24D72">
            <w:pPr>
              <w:spacing w:before="139" w:line="322" w:lineRule="exact"/>
              <w:ind w:left="3759" w:firstLine="464"/>
              <w:rPr>
                <w:rFonts w:eastAsia="Times New Roman"/>
              </w:rPr>
            </w:pPr>
            <w:r>
              <w:rPr>
                <w:rFonts w:eastAsia="Times New Roman"/>
                <w:spacing w:val="-4"/>
                <w:position w:val="4"/>
              </w:rPr>
              <w:t>V=ψ</w:t>
            </w:r>
            <w:r>
              <w:rPr>
                <w:rFonts w:eastAsia="Times New Roman"/>
                <w:spacing w:val="-35"/>
                <w:position w:val="4"/>
              </w:rPr>
              <w:t xml:space="preserve"> </w:t>
            </w:r>
            <w:r>
              <w:rPr>
                <w:rFonts w:eastAsia="Times New Roman"/>
                <w:spacing w:val="-4"/>
                <w:position w:val="4"/>
              </w:rPr>
              <w:t>×H×F</w:t>
            </w:r>
          </w:p>
          <w:p w14:paraId="659902E1">
            <w:pPr>
              <w:pStyle w:val="56"/>
              <w:spacing w:before="191" w:line="219" w:lineRule="auto"/>
              <w:ind w:left="586" w:firstLine="476"/>
              <w:rPr>
                <w:rFonts w:ascii="Times New Roman" w:hAnsi="Times New Roman" w:cs="Times New Roman"/>
                <w:sz w:val="24"/>
                <w:szCs w:val="24"/>
              </w:rPr>
            </w:pPr>
            <w:r>
              <w:rPr>
                <w:rFonts w:ascii="Times New Roman" w:hAnsi="Times New Roman" w:cs="Times New Roman"/>
                <w:spacing w:val="-1"/>
                <w:sz w:val="24"/>
                <w:szCs w:val="24"/>
              </w:rPr>
              <w:t>式中：</w:t>
            </w:r>
            <w:r>
              <w:rPr>
                <w:rFonts w:ascii="Times New Roman" w:hAnsi="Times New Roman" w:eastAsia="Times New Roman" w:cs="Times New Roman"/>
                <w:spacing w:val="-1"/>
                <w:sz w:val="24"/>
                <w:szCs w:val="24"/>
              </w:rPr>
              <w:t>V</w:t>
            </w:r>
            <w:r>
              <w:rPr>
                <w:rFonts w:ascii="Times New Roman" w:hAnsi="Times New Roman" w:cs="Times New Roman"/>
                <w:spacing w:val="-1"/>
                <w:sz w:val="24"/>
                <w:szCs w:val="24"/>
              </w:rPr>
              <w:t>—径流雨量，</w:t>
            </w:r>
            <w:r>
              <w:rPr>
                <w:rFonts w:hint="eastAsia" w:ascii="Times New Roman" w:hAnsi="Times New Roman" w:cs="Times New Roman"/>
                <w:spacing w:val="-1"/>
                <w:sz w:val="24"/>
                <w:szCs w:val="24"/>
                <w:lang w:eastAsia="zh-CN"/>
              </w:rPr>
              <w:t>m</w:t>
            </w:r>
            <w:r>
              <w:rPr>
                <w:rFonts w:hint="eastAsia" w:ascii="Times New Roman" w:hAnsi="Times New Roman" w:cs="Times New Roman"/>
                <w:spacing w:val="-1"/>
                <w:sz w:val="24"/>
                <w:szCs w:val="24"/>
                <w:vertAlign w:val="superscript"/>
                <w:lang w:eastAsia="zh-CN"/>
              </w:rPr>
              <w:t>3</w:t>
            </w:r>
            <w:r>
              <w:rPr>
                <w:rFonts w:ascii="Times New Roman" w:hAnsi="Times New Roman" w:cs="Times New Roman"/>
                <w:spacing w:val="-1"/>
                <w:sz w:val="24"/>
                <w:szCs w:val="24"/>
              </w:rPr>
              <w:t>；</w:t>
            </w:r>
          </w:p>
          <w:p w14:paraId="18D8E872">
            <w:pPr>
              <w:pStyle w:val="56"/>
              <w:spacing w:before="183"/>
              <w:ind w:left="103" w:right="131" w:firstLine="472"/>
              <w:rPr>
                <w:rFonts w:ascii="Times New Roman" w:hAnsi="Times New Roman" w:cs="Times New Roman"/>
                <w:sz w:val="24"/>
                <w:szCs w:val="24"/>
              </w:rPr>
            </w:pPr>
            <w:r>
              <w:rPr>
                <w:rFonts w:ascii="Times New Roman" w:hAnsi="Times New Roman" w:cs="Times New Roman"/>
                <w:spacing w:val="-2"/>
                <w:sz w:val="24"/>
                <w:szCs w:val="24"/>
              </w:rPr>
              <w:t>ψ—径流系数，根据</w:t>
            </w:r>
            <w:r>
              <w:rPr>
                <w:rFonts w:ascii="Times New Roman" w:hAnsi="Times New Roman" w:eastAsia="Times New Roman" w:cs="Times New Roman"/>
                <w:spacing w:val="-2"/>
                <w:sz w:val="24"/>
                <w:szCs w:val="24"/>
              </w:rPr>
              <w:t>GB50014-2021</w:t>
            </w:r>
            <w:r>
              <w:rPr>
                <w:rFonts w:ascii="Times New Roman" w:hAnsi="Times New Roman" w:cs="Times New Roman"/>
                <w:spacing w:val="-2"/>
                <w:sz w:val="24"/>
                <w:szCs w:val="24"/>
              </w:rPr>
              <w:t>《室外排水设计规范》，本次计算取</w:t>
            </w:r>
            <w:r>
              <w:rPr>
                <w:rFonts w:ascii="Times New Roman" w:hAnsi="Times New Roman" w:cs="Times New Roman"/>
                <w:spacing w:val="-51"/>
                <w:sz w:val="24"/>
                <w:szCs w:val="24"/>
              </w:rPr>
              <w:t xml:space="preserve"> </w:t>
            </w:r>
            <w:r>
              <w:rPr>
                <w:rFonts w:ascii="Times New Roman" w:hAnsi="Times New Roman" w:eastAsia="Times New Roman" w:cs="Times New Roman"/>
                <w:spacing w:val="-2"/>
                <w:sz w:val="24"/>
                <w:szCs w:val="24"/>
              </w:rPr>
              <w:t>0.9</w:t>
            </w:r>
            <w:r>
              <w:rPr>
                <w:rFonts w:ascii="Times New Roman" w:hAnsi="Times New Roman" w:cs="Times New Roman"/>
                <w:spacing w:val="-2"/>
                <w:sz w:val="24"/>
                <w:szCs w:val="24"/>
              </w:rPr>
              <w:t>（混凝土或沥青路面</w:t>
            </w:r>
            <w:r>
              <w:rPr>
                <w:rFonts w:ascii="Times New Roman" w:hAnsi="Times New Roman" w:cs="Times New Roman"/>
                <w:spacing w:val="3"/>
                <w:sz w:val="24"/>
                <w:szCs w:val="24"/>
              </w:rPr>
              <w:t>）；</w:t>
            </w:r>
          </w:p>
          <w:p w14:paraId="2A995C7F">
            <w:pPr>
              <w:pStyle w:val="56"/>
              <w:spacing w:before="3" w:line="359" w:lineRule="auto"/>
              <w:ind w:left="101" w:right="97" w:firstLine="468"/>
              <w:rPr>
                <w:rFonts w:ascii="Times New Roman" w:hAnsi="Times New Roman" w:cs="Times New Roman"/>
                <w:sz w:val="24"/>
                <w:szCs w:val="24"/>
              </w:rPr>
            </w:pPr>
            <w:r>
              <w:rPr>
                <w:rFonts w:ascii="Times New Roman" w:hAnsi="Times New Roman" w:eastAsia="Times New Roman" w:cs="Times New Roman"/>
                <w:spacing w:val="-3"/>
                <w:sz w:val="24"/>
                <w:szCs w:val="24"/>
              </w:rPr>
              <w:t>H</w:t>
            </w:r>
            <w:r>
              <w:rPr>
                <w:rFonts w:ascii="Times New Roman" w:hAnsi="Times New Roman" w:cs="Times New Roman"/>
                <w:spacing w:val="-3"/>
                <w:sz w:val="24"/>
                <w:szCs w:val="24"/>
              </w:rPr>
              <w:t>—根据寻甸县</w:t>
            </w:r>
            <w:r>
              <w:rPr>
                <w:rFonts w:ascii="Times New Roman" w:hAnsi="Times New Roman" w:eastAsia="Times New Roman" w:cs="Times New Roman"/>
                <w:spacing w:val="-2"/>
                <w:sz w:val="24"/>
                <w:szCs w:val="24"/>
              </w:rPr>
              <w:t>20</w:t>
            </w:r>
            <w:r>
              <w:rPr>
                <w:rFonts w:ascii="Times New Roman" w:hAnsi="Times New Roman" w:cs="Times New Roman"/>
                <w:spacing w:val="-3"/>
                <w:sz w:val="24"/>
                <w:szCs w:val="24"/>
              </w:rPr>
              <w:t>年累计气象资料统计，项目区域</w:t>
            </w:r>
            <w:r>
              <w:rPr>
                <w:rFonts w:ascii="Times New Roman" w:hAnsi="Times New Roman" w:eastAsia="Times New Roman" w:cs="Times New Roman"/>
                <w:spacing w:val="-2"/>
                <w:sz w:val="24"/>
                <w:szCs w:val="24"/>
              </w:rPr>
              <w:t>最大24h最</w:t>
            </w:r>
            <w:r>
              <w:rPr>
                <w:rFonts w:ascii="Times New Roman" w:hAnsi="Times New Roman" w:cs="Times New Roman"/>
                <w:spacing w:val="-3"/>
                <w:sz w:val="24"/>
                <w:szCs w:val="24"/>
              </w:rPr>
              <w:t>大降雨</w:t>
            </w:r>
            <w:r>
              <w:rPr>
                <w:rFonts w:ascii="Times New Roman" w:hAnsi="Times New Roman" w:cs="Times New Roman"/>
                <w:spacing w:val="-5"/>
                <w:sz w:val="24"/>
                <w:szCs w:val="24"/>
              </w:rPr>
              <w:t>量</w:t>
            </w:r>
            <w:r>
              <w:rPr>
                <w:rFonts w:ascii="Times New Roman" w:hAnsi="Times New Roman" w:eastAsia="Times New Roman" w:cs="Times New Roman"/>
                <w:spacing w:val="-5"/>
                <w:sz w:val="24"/>
                <w:szCs w:val="24"/>
              </w:rPr>
              <w:t>141.9mm</w:t>
            </w:r>
            <w:r>
              <w:rPr>
                <w:rFonts w:ascii="Times New Roman" w:hAnsi="Times New Roman" w:cs="Times New Roman"/>
                <w:spacing w:val="-5"/>
                <w:sz w:val="24"/>
                <w:szCs w:val="24"/>
              </w:rPr>
              <w:t>；</w:t>
            </w:r>
          </w:p>
          <w:p w14:paraId="46D5CF36">
            <w:pPr>
              <w:adjustRightInd w:val="0"/>
              <w:snapToGrid w:val="0"/>
              <w:ind w:firstLine="476"/>
              <w:rPr>
                <w:spacing w:val="-30"/>
              </w:rPr>
            </w:pPr>
            <w:r>
              <w:rPr>
                <w:rFonts w:eastAsia="Times New Roman"/>
                <w:spacing w:val="-1"/>
              </w:rPr>
              <w:t>F</w:t>
            </w:r>
            <w:r>
              <w:rPr>
                <w:spacing w:val="-1"/>
              </w:rPr>
              <w:t>─汇水区面积（</w:t>
            </w:r>
            <w:r>
              <w:rPr>
                <w:rFonts w:hint="eastAsia"/>
                <w:spacing w:val="-1"/>
              </w:rPr>
              <w:t>m</w:t>
            </w:r>
            <w:r>
              <w:rPr>
                <w:rFonts w:hint="eastAsia"/>
                <w:spacing w:val="-1"/>
                <w:vertAlign w:val="superscript"/>
              </w:rPr>
              <w:t>2</w:t>
            </w:r>
            <w:r>
              <w:rPr>
                <w:spacing w:val="-30"/>
              </w:rPr>
              <w:t>）</w:t>
            </w:r>
            <w:r>
              <w:rPr>
                <w:rFonts w:hint="eastAsia"/>
                <w:spacing w:val="-30"/>
              </w:rPr>
              <w:t>，</w:t>
            </w:r>
            <w:r>
              <w:rPr>
                <w:spacing w:val="-1"/>
              </w:rPr>
              <w:t>考虑</w:t>
            </w:r>
            <w:r>
              <w:rPr>
                <w:rFonts w:hint="eastAsia"/>
                <w:spacing w:val="-1"/>
              </w:rPr>
              <w:t>场地硬化、厂区内运输道路和生产线占地面积</w:t>
            </w:r>
            <w:r>
              <w:rPr>
                <w:spacing w:val="-2"/>
              </w:rPr>
              <w:t>，汇水面</w:t>
            </w:r>
            <w:r>
              <w:rPr>
                <w:rFonts w:eastAsia="Times New Roman"/>
                <w:spacing w:val="-2"/>
                <w:lang w:eastAsia="en-US"/>
              </w:rPr>
              <w:t>积约</w:t>
            </w:r>
            <w:r>
              <w:rPr>
                <w:rFonts w:hint="eastAsia" w:eastAsia="Times New Roman"/>
                <w:spacing w:val="-2"/>
              </w:rPr>
              <w:t>1640</w:t>
            </w:r>
            <w:r>
              <w:rPr>
                <w:rFonts w:hint="eastAsia"/>
                <w:spacing w:val="-2"/>
              </w:rPr>
              <w:t>m</w:t>
            </w:r>
            <w:r>
              <w:rPr>
                <w:rFonts w:hint="eastAsia"/>
                <w:spacing w:val="-2"/>
                <w:vertAlign w:val="superscript"/>
              </w:rPr>
              <w:t>2</w:t>
            </w:r>
            <w:r>
              <w:rPr>
                <w:rFonts w:hint="eastAsia"/>
                <w:spacing w:val="-2"/>
              </w:rPr>
              <w:t>。</w:t>
            </w:r>
          </w:p>
          <w:p w14:paraId="51713502">
            <w:pPr>
              <w:adjustRightInd w:val="0"/>
              <w:snapToGrid w:val="0"/>
              <w:ind w:firstLine="480"/>
            </w:pPr>
            <w:r>
              <w:t>经计算，项目区日最大雨水产生量约为</w:t>
            </w:r>
            <w:r>
              <w:rPr>
                <w:rFonts w:hint="eastAsia"/>
              </w:rPr>
              <w:t>209</w:t>
            </w:r>
            <w:r>
              <w:t>m</w:t>
            </w:r>
            <w:r>
              <w:rPr>
                <w:vertAlign w:val="superscript"/>
              </w:rPr>
              <w:t>3</w:t>
            </w:r>
            <w:r>
              <w:t>/d，</w:t>
            </w:r>
            <w:r>
              <w:rPr>
                <w:rFonts w:hint="eastAsia"/>
              </w:rPr>
              <w:t>26</w:t>
            </w:r>
            <w:r>
              <w:t>m</w:t>
            </w:r>
            <w:r>
              <w:rPr>
                <w:vertAlign w:val="superscript"/>
              </w:rPr>
              <w:t>3</w:t>
            </w:r>
            <w:r>
              <w:t>/h</w:t>
            </w:r>
            <w:r>
              <w:rPr>
                <w:rFonts w:hint="eastAsia"/>
              </w:rPr>
              <w:t>。</w:t>
            </w:r>
            <w:r>
              <w:t>项目初期雨水仅收集前15min的雨水量，为</w:t>
            </w:r>
            <w:r>
              <w:rPr>
                <w:rFonts w:hint="eastAsia"/>
              </w:rPr>
              <w:t>6.5</w:t>
            </w:r>
            <w:r>
              <w:t>m</w:t>
            </w:r>
            <w:r>
              <w:rPr>
                <w:vertAlign w:val="superscript"/>
              </w:rPr>
              <w:t>3</w:t>
            </w:r>
            <w:r>
              <w:t>/次，本项目年生产300天，降雨天约100天，则初期雨水量为</w:t>
            </w:r>
            <w:r>
              <w:rPr>
                <w:rFonts w:hint="eastAsia"/>
              </w:rPr>
              <w:t>650</w:t>
            </w:r>
            <w:r>
              <w:t>m</w:t>
            </w:r>
            <w:r>
              <w:rPr>
                <w:vertAlign w:val="superscript"/>
              </w:rPr>
              <w:t>3</w:t>
            </w:r>
            <w:r>
              <w:t>/a。初期雨水中主要污染物为悬浮物</w:t>
            </w:r>
            <w:r>
              <w:rPr>
                <w:rFonts w:hint="eastAsia"/>
                <w:color w:val="000000" w:themeColor="text1"/>
                <w14:textFill>
                  <w14:solidFill>
                    <w14:schemeClr w14:val="tx1"/>
                  </w14:solidFill>
                </w14:textFill>
              </w:rPr>
              <w:t>，经拟建的初期雨水收集池收集沉淀处理后回用于厂区洒水降尘及绿化，不外排。</w:t>
            </w:r>
          </w:p>
          <w:p w14:paraId="03E07E4E">
            <w:pPr>
              <w:tabs>
                <w:tab w:val="left" w:pos="540"/>
                <w:tab w:val="left" w:pos="851"/>
                <w:tab w:val="left" w:pos="994"/>
                <w:tab w:val="left" w:pos="1260"/>
                <w:tab w:val="left" w:pos="3108"/>
                <w:tab w:val="left" w:pos="3150"/>
              </w:tabs>
              <w:ind w:firstLine="480"/>
              <w:rPr>
                <w:b/>
                <w:bCs/>
                <w:color w:val="000000" w:themeColor="text1"/>
                <w14:textFill>
                  <w14:solidFill>
                    <w14:schemeClr w14:val="tx1"/>
                  </w14:solidFill>
                </w14:textFill>
              </w:rPr>
            </w:pPr>
            <w:r>
              <w:rPr>
                <w:rFonts w:hint="eastAsia" w:cs="宋体"/>
                <w:color w:val="000000" w:themeColor="text1"/>
                <w14:textFill>
                  <w14:solidFill>
                    <w14:schemeClr w14:val="tx1"/>
                  </w14:solidFill>
                </w14:textFill>
              </w:rPr>
              <w:t>综上所述，用排水情况见下表所示。</w:t>
            </w:r>
          </w:p>
          <w:p w14:paraId="1E532F07">
            <w:pPr>
              <w:tabs>
                <w:tab w:val="left" w:pos="540"/>
                <w:tab w:val="left" w:pos="851"/>
                <w:tab w:val="left" w:pos="994"/>
                <w:tab w:val="left" w:pos="1260"/>
                <w:tab w:val="left" w:pos="3108"/>
                <w:tab w:val="left" w:pos="3150"/>
              </w:tabs>
              <w:ind w:firstLine="422"/>
              <w:jc w:val="center"/>
              <w:rPr>
                <w:rFonts w:cs="宋体"/>
                <w:b/>
                <w:bCs/>
              </w:rPr>
            </w:pPr>
            <w:r>
              <w:rPr>
                <w:rFonts w:hint="eastAsia" w:cs="宋体"/>
                <w:b/>
                <w:bCs/>
                <w:sz w:val="21"/>
                <w:szCs w:val="21"/>
              </w:rPr>
              <w:t>表</w:t>
            </w:r>
            <w:r>
              <w:rPr>
                <w:b/>
                <w:bCs/>
                <w:sz w:val="21"/>
                <w:szCs w:val="21"/>
              </w:rPr>
              <w:t>2-</w:t>
            </w:r>
            <w:r>
              <w:rPr>
                <w:rFonts w:hint="eastAsia"/>
                <w:b/>
                <w:bCs/>
                <w:sz w:val="21"/>
                <w:szCs w:val="21"/>
              </w:rPr>
              <w:t>7</w:t>
            </w:r>
            <w:r>
              <w:rPr>
                <w:b/>
                <w:bCs/>
                <w:sz w:val="21"/>
                <w:szCs w:val="21"/>
              </w:rPr>
              <w:t xml:space="preserve">  </w:t>
            </w:r>
            <w:r>
              <w:rPr>
                <w:rFonts w:hint="eastAsia" w:cs="宋体"/>
                <w:b/>
                <w:bCs/>
                <w:sz w:val="21"/>
                <w:szCs w:val="21"/>
              </w:rPr>
              <w:t>项目用水排水情况一览表</w:t>
            </w:r>
          </w:p>
          <w:tbl>
            <w:tblPr>
              <w:tblStyle w:val="27"/>
              <w:tblW w:w="49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1"/>
              <w:gridCol w:w="1185"/>
              <w:gridCol w:w="913"/>
              <w:gridCol w:w="914"/>
              <w:gridCol w:w="911"/>
              <w:gridCol w:w="1050"/>
              <w:gridCol w:w="2528"/>
            </w:tblGrid>
            <w:tr w14:paraId="4471C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422" w:type="pct"/>
                  <w:vMerge w:val="restart"/>
                  <w:vAlign w:val="center"/>
                </w:tcPr>
                <w:p w14:paraId="54854DAD">
                  <w:pPr>
                    <w:adjustRightInd w:val="0"/>
                    <w:snapToGrid w:val="0"/>
                    <w:spacing w:line="240" w:lineRule="auto"/>
                    <w:ind w:firstLine="0" w:firstLineChars="0"/>
                    <w:jc w:val="center"/>
                    <w:rPr>
                      <w:b/>
                      <w:bCs/>
                      <w:kern w:val="0"/>
                      <w:sz w:val="21"/>
                      <w:szCs w:val="21"/>
                    </w:rPr>
                  </w:pPr>
                  <w:r>
                    <w:rPr>
                      <w:b/>
                      <w:bCs/>
                      <w:kern w:val="0"/>
                      <w:sz w:val="21"/>
                      <w:szCs w:val="21"/>
                    </w:rPr>
                    <w:t>序号</w:t>
                  </w:r>
                </w:p>
              </w:tc>
              <w:tc>
                <w:tcPr>
                  <w:tcW w:w="723" w:type="pct"/>
                  <w:vMerge w:val="restart"/>
                  <w:vAlign w:val="center"/>
                </w:tcPr>
                <w:p w14:paraId="0E65DE6E">
                  <w:pPr>
                    <w:adjustRightInd w:val="0"/>
                    <w:snapToGrid w:val="0"/>
                    <w:spacing w:line="240" w:lineRule="auto"/>
                    <w:ind w:firstLine="0" w:firstLineChars="0"/>
                    <w:jc w:val="center"/>
                    <w:rPr>
                      <w:b/>
                      <w:bCs/>
                      <w:kern w:val="0"/>
                      <w:sz w:val="21"/>
                      <w:szCs w:val="21"/>
                    </w:rPr>
                  </w:pPr>
                  <w:r>
                    <w:rPr>
                      <w:b/>
                      <w:bCs/>
                      <w:kern w:val="0"/>
                      <w:sz w:val="21"/>
                      <w:szCs w:val="21"/>
                    </w:rPr>
                    <w:t>用水项目</w:t>
                  </w:r>
                </w:p>
              </w:tc>
              <w:tc>
                <w:tcPr>
                  <w:tcW w:w="1115" w:type="pct"/>
                  <w:gridSpan w:val="2"/>
                  <w:vAlign w:val="center"/>
                </w:tcPr>
                <w:p w14:paraId="0BD161DB">
                  <w:pPr>
                    <w:adjustRightInd w:val="0"/>
                    <w:snapToGrid w:val="0"/>
                    <w:spacing w:line="240" w:lineRule="auto"/>
                    <w:ind w:firstLine="0" w:firstLineChars="0"/>
                    <w:jc w:val="center"/>
                    <w:rPr>
                      <w:b/>
                      <w:bCs/>
                      <w:kern w:val="0"/>
                      <w:sz w:val="21"/>
                      <w:szCs w:val="21"/>
                    </w:rPr>
                  </w:pPr>
                  <w:r>
                    <w:rPr>
                      <w:b/>
                      <w:bCs/>
                      <w:kern w:val="0"/>
                      <w:sz w:val="21"/>
                      <w:szCs w:val="21"/>
                    </w:rPr>
                    <w:t>用水量</w:t>
                  </w:r>
                </w:p>
              </w:tc>
              <w:tc>
                <w:tcPr>
                  <w:tcW w:w="1197" w:type="pct"/>
                  <w:gridSpan w:val="2"/>
                  <w:vAlign w:val="center"/>
                </w:tcPr>
                <w:p w14:paraId="1B3D2BC2">
                  <w:pPr>
                    <w:adjustRightInd w:val="0"/>
                    <w:snapToGrid w:val="0"/>
                    <w:spacing w:line="240" w:lineRule="auto"/>
                    <w:ind w:firstLine="0" w:firstLineChars="0"/>
                    <w:jc w:val="center"/>
                    <w:rPr>
                      <w:b/>
                      <w:bCs/>
                      <w:kern w:val="0"/>
                      <w:sz w:val="21"/>
                      <w:szCs w:val="21"/>
                    </w:rPr>
                  </w:pPr>
                  <w:r>
                    <w:rPr>
                      <w:rFonts w:hint="eastAsia"/>
                      <w:b/>
                      <w:bCs/>
                      <w:kern w:val="0"/>
                      <w:sz w:val="21"/>
                      <w:szCs w:val="21"/>
                    </w:rPr>
                    <w:t>废（污）水</w:t>
                  </w:r>
                  <w:r>
                    <w:rPr>
                      <w:b/>
                      <w:bCs/>
                      <w:kern w:val="0"/>
                      <w:sz w:val="21"/>
                      <w:szCs w:val="21"/>
                    </w:rPr>
                    <w:t>产生量</w:t>
                  </w:r>
                </w:p>
              </w:tc>
              <w:tc>
                <w:tcPr>
                  <w:tcW w:w="1543" w:type="pct"/>
                  <w:vMerge w:val="restart"/>
                  <w:vAlign w:val="center"/>
                </w:tcPr>
                <w:p w14:paraId="170B39A0">
                  <w:pPr>
                    <w:adjustRightInd w:val="0"/>
                    <w:snapToGrid w:val="0"/>
                    <w:spacing w:line="240" w:lineRule="auto"/>
                    <w:ind w:firstLine="0" w:firstLineChars="0"/>
                    <w:jc w:val="center"/>
                    <w:rPr>
                      <w:b/>
                      <w:bCs/>
                      <w:kern w:val="0"/>
                      <w:sz w:val="21"/>
                      <w:szCs w:val="21"/>
                    </w:rPr>
                  </w:pPr>
                  <w:r>
                    <w:rPr>
                      <w:rFonts w:hint="eastAsia"/>
                      <w:b/>
                      <w:bCs/>
                      <w:kern w:val="0"/>
                      <w:sz w:val="21"/>
                      <w:szCs w:val="21"/>
                    </w:rPr>
                    <w:t>废（污）水排放</w:t>
                  </w:r>
                  <w:r>
                    <w:rPr>
                      <w:b/>
                      <w:bCs/>
                      <w:kern w:val="0"/>
                      <w:sz w:val="21"/>
                      <w:szCs w:val="21"/>
                    </w:rPr>
                    <w:t>量</w:t>
                  </w:r>
                </w:p>
              </w:tc>
            </w:tr>
            <w:tr w14:paraId="37698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422" w:type="pct"/>
                  <w:vMerge w:val="continue"/>
                  <w:vAlign w:val="center"/>
                </w:tcPr>
                <w:p w14:paraId="6DF3B170">
                  <w:pPr>
                    <w:adjustRightInd w:val="0"/>
                    <w:snapToGrid w:val="0"/>
                    <w:spacing w:line="240" w:lineRule="auto"/>
                    <w:ind w:firstLine="0" w:firstLineChars="0"/>
                    <w:jc w:val="center"/>
                    <w:rPr>
                      <w:kern w:val="0"/>
                      <w:sz w:val="21"/>
                      <w:szCs w:val="21"/>
                    </w:rPr>
                  </w:pPr>
                </w:p>
              </w:tc>
              <w:tc>
                <w:tcPr>
                  <w:tcW w:w="723" w:type="pct"/>
                  <w:vMerge w:val="continue"/>
                  <w:vAlign w:val="center"/>
                </w:tcPr>
                <w:p w14:paraId="679664F4">
                  <w:pPr>
                    <w:adjustRightInd w:val="0"/>
                    <w:snapToGrid w:val="0"/>
                    <w:spacing w:line="240" w:lineRule="auto"/>
                    <w:ind w:firstLine="0" w:firstLineChars="0"/>
                    <w:jc w:val="center"/>
                    <w:rPr>
                      <w:kern w:val="0"/>
                      <w:sz w:val="21"/>
                      <w:szCs w:val="21"/>
                    </w:rPr>
                  </w:pPr>
                </w:p>
              </w:tc>
              <w:tc>
                <w:tcPr>
                  <w:tcW w:w="557" w:type="pct"/>
                  <w:vAlign w:val="center"/>
                </w:tcPr>
                <w:p w14:paraId="32DA2571">
                  <w:pPr>
                    <w:adjustRightInd w:val="0"/>
                    <w:snapToGrid w:val="0"/>
                    <w:spacing w:line="240" w:lineRule="auto"/>
                    <w:ind w:firstLine="0" w:firstLineChars="0"/>
                    <w:jc w:val="center"/>
                    <w:rPr>
                      <w:kern w:val="0"/>
                      <w:sz w:val="21"/>
                      <w:szCs w:val="21"/>
                    </w:rPr>
                  </w:pPr>
                  <w:r>
                    <w:rPr>
                      <w:kern w:val="0"/>
                      <w:sz w:val="21"/>
                      <w:szCs w:val="21"/>
                    </w:rPr>
                    <w:t>m</w:t>
                  </w:r>
                  <w:r>
                    <w:rPr>
                      <w:kern w:val="0"/>
                      <w:sz w:val="21"/>
                      <w:szCs w:val="21"/>
                      <w:vertAlign w:val="superscript"/>
                    </w:rPr>
                    <w:t>3</w:t>
                  </w:r>
                  <w:r>
                    <w:rPr>
                      <w:kern w:val="0"/>
                      <w:sz w:val="21"/>
                      <w:szCs w:val="21"/>
                    </w:rPr>
                    <w:t>/d</w:t>
                  </w:r>
                </w:p>
              </w:tc>
              <w:tc>
                <w:tcPr>
                  <w:tcW w:w="558" w:type="pct"/>
                  <w:vAlign w:val="center"/>
                </w:tcPr>
                <w:p w14:paraId="2DF0B48A">
                  <w:pPr>
                    <w:adjustRightInd w:val="0"/>
                    <w:snapToGrid w:val="0"/>
                    <w:spacing w:line="240" w:lineRule="auto"/>
                    <w:ind w:firstLine="0" w:firstLineChars="0"/>
                    <w:jc w:val="center"/>
                    <w:rPr>
                      <w:kern w:val="0"/>
                      <w:sz w:val="21"/>
                      <w:szCs w:val="21"/>
                    </w:rPr>
                  </w:pPr>
                  <w:r>
                    <w:rPr>
                      <w:kern w:val="0"/>
                      <w:sz w:val="21"/>
                      <w:szCs w:val="21"/>
                    </w:rPr>
                    <w:t>m</w:t>
                  </w:r>
                  <w:r>
                    <w:rPr>
                      <w:kern w:val="0"/>
                      <w:sz w:val="21"/>
                      <w:szCs w:val="21"/>
                      <w:vertAlign w:val="superscript"/>
                    </w:rPr>
                    <w:t>3</w:t>
                  </w:r>
                  <w:r>
                    <w:rPr>
                      <w:kern w:val="0"/>
                      <w:sz w:val="21"/>
                      <w:szCs w:val="21"/>
                    </w:rPr>
                    <w:t>/a</w:t>
                  </w:r>
                </w:p>
              </w:tc>
              <w:tc>
                <w:tcPr>
                  <w:tcW w:w="556" w:type="pct"/>
                  <w:vAlign w:val="center"/>
                </w:tcPr>
                <w:p w14:paraId="5A180F13">
                  <w:pPr>
                    <w:adjustRightInd w:val="0"/>
                    <w:snapToGrid w:val="0"/>
                    <w:spacing w:line="240" w:lineRule="auto"/>
                    <w:ind w:firstLine="0" w:firstLineChars="0"/>
                    <w:jc w:val="center"/>
                    <w:rPr>
                      <w:kern w:val="0"/>
                      <w:sz w:val="21"/>
                      <w:szCs w:val="21"/>
                    </w:rPr>
                  </w:pPr>
                  <w:r>
                    <w:rPr>
                      <w:kern w:val="0"/>
                      <w:sz w:val="21"/>
                      <w:szCs w:val="21"/>
                    </w:rPr>
                    <w:t>m</w:t>
                  </w:r>
                  <w:r>
                    <w:rPr>
                      <w:kern w:val="0"/>
                      <w:sz w:val="21"/>
                      <w:szCs w:val="21"/>
                      <w:vertAlign w:val="superscript"/>
                    </w:rPr>
                    <w:t>3</w:t>
                  </w:r>
                  <w:r>
                    <w:rPr>
                      <w:kern w:val="0"/>
                      <w:sz w:val="21"/>
                      <w:szCs w:val="21"/>
                    </w:rPr>
                    <w:t>/d</w:t>
                  </w:r>
                </w:p>
              </w:tc>
              <w:tc>
                <w:tcPr>
                  <w:tcW w:w="641" w:type="pct"/>
                  <w:vAlign w:val="center"/>
                </w:tcPr>
                <w:p w14:paraId="51C4C5CB">
                  <w:pPr>
                    <w:adjustRightInd w:val="0"/>
                    <w:snapToGrid w:val="0"/>
                    <w:spacing w:line="240" w:lineRule="auto"/>
                    <w:ind w:firstLine="0" w:firstLineChars="0"/>
                    <w:jc w:val="center"/>
                    <w:rPr>
                      <w:kern w:val="0"/>
                      <w:sz w:val="21"/>
                      <w:szCs w:val="21"/>
                    </w:rPr>
                  </w:pPr>
                  <w:r>
                    <w:rPr>
                      <w:kern w:val="0"/>
                      <w:sz w:val="21"/>
                      <w:szCs w:val="21"/>
                    </w:rPr>
                    <w:t>m</w:t>
                  </w:r>
                  <w:r>
                    <w:rPr>
                      <w:kern w:val="0"/>
                      <w:sz w:val="21"/>
                      <w:szCs w:val="21"/>
                      <w:vertAlign w:val="superscript"/>
                    </w:rPr>
                    <w:t>3</w:t>
                  </w:r>
                  <w:r>
                    <w:rPr>
                      <w:kern w:val="0"/>
                      <w:sz w:val="21"/>
                      <w:szCs w:val="21"/>
                    </w:rPr>
                    <w:t>/a</w:t>
                  </w:r>
                </w:p>
              </w:tc>
              <w:tc>
                <w:tcPr>
                  <w:tcW w:w="1543" w:type="pct"/>
                  <w:vMerge w:val="continue"/>
                  <w:vAlign w:val="center"/>
                </w:tcPr>
                <w:p w14:paraId="15692FAA">
                  <w:pPr>
                    <w:adjustRightInd w:val="0"/>
                    <w:snapToGrid w:val="0"/>
                    <w:spacing w:line="240" w:lineRule="auto"/>
                    <w:ind w:firstLine="0" w:firstLineChars="0"/>
                    <w:jc w:val="center"/>
                    <w:rPr>
                      <w:kern w:val="0"/>
                      <w:sz w:val="21"/>
                      <w:szCs w:val="21"/>
                    </w:rPr>
                  </w:pPr>
                </w:p>
              </w:tc>
            </w:tr>
            <w:tr w14:paraId="253C7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422" w:type="pct"/>
                  <w:vAlign w:val="center"/>
                </w:tcPr>
                <w:p w14:paraId="424BBA70">
                  <w:pPr>
                    <w:adjustRightInd w:val="0"/>
                    <w:snapToGrid w:val="0"/>
                    <w:spacing w:line="240" w:lineRule="auto"/>
                    <w:ind w:firstLine="0" w:firstLineChars="0"/>
                    <w:jc w:val="center"/>
                    <w:rPr>
                      <w:kern w:val="0"/>
                      <w:sz w:val="21"/>
                      <w:szCs w:val="21"/>
                    </w:rPr>
                  </w:pPr>
                  <w:r>
                    <w:rPr>
                      <w:rFonts w:hint="eastAsia"/>
                      <w:kern w:val="0"/>
                      <w:sz w:val="21"/>
                      <w:szCs w:val="21"/>
                    </w:rPr>
                    <w:t>1</w:t>
                  </w:r>
                </w:p>
              </w:tc>
              <w:tc>
                <w:tcPr>
                  <w:tcW w:w="723" w:type="pct"/>
                  <w:vAlign w:val="center"/>
                </w:tcPr>
                <w:p w14:paraId="4520A89B">
                  <w:pPr>
                    <w:adjustRightInd w:val="0"/>
                    <w:snapToGrid w:val="0"/>
                    <w:spacing w:line="240" w:lineRule="auto"/>
                    <w:ind w:firstLine="0" w:firstLineChars="0"/>
                    <w:jc w:val="center"/>
                    <w:rPr>
                      <w:kern w:val="0"/>
                      <w:sz w:val="21"/>
                      <w:szCs w:val="21"/>
                    </w:rPr>
                  </w:pPr>
                  <w:r>
                    <w:rPr>
                      <w:rFonts w:hint="eastAsia"/>
                      <w:kern w:val="0"/>
                      <w:sz w:val="21"/>
                      <w:szCs w:val="21"/>
                    </w:rPr>
                    <w:t>车辆清洗用水</w:t>
                  </w:r>
                </w:p>
              </w:tc>
              <w:tc>
                <w:tcPr>
                  <w:tcW w:w="557" w:type="pct"/>
                  <w:vAlign w:val="center"/>
                </w:tcPr>
                <w:p w14:paraId="133D3983">
                  <w:pPr>
                    <w:adjustRightInd w:val="0"/>
                    <w:snapToGrid w:val="0"/>
                    <w:spacing w:line="240" w:lineRule="auto"/>
                    <w:ind w:firstLine="0" w:firstLineChars="0"/>
                    <w:jc w:val="center"/>
                    <w:rPr>
                      <w:kern w:val="0"/>
                      <w:sz w:val="21"/>
                      <w:szCs w:val="21"/>
                    </w:rPr>
                  </w:pPr>
                  <w:r>
                    <w:rPr>
                      <w:rFonts w:hint="eastAsia"/>
                      <w:kern w:val="0"/>
                      <w:sz w:val="21"/>
                      <w:szCs w:val="21"/>
                    </w:rPr>
                    <w:t>2.4</w:t>
                  </w:r>
                </w:p>
              </w:tc>
              <w:tc>
                <w:tcPr>
                  <w:tcW w:w="558" w:type="pct"/>
                  <w:vAlign w:val="center"/>
                </w:tcPr>
                <w:p w14:paraId="08B5E3AF">
                  <w:pPr>
                    <w:adjustRightInd w:val="0"/>
                    <w:snapToGrid w:val="0"/>
                    <w:spacing w:line="240" w:lineRule="auto"/>
                    <w:ind w:firstLine="0" w:firstLineChars="0"/>
                    <w:jc w:val="center"/>
                    <w:rPr>
                      <w:kern w:val="0"/>
                      <w:sz w:val="21"/>
                      <w:szCs w:val="21"/>
                    </w:rPr>
                  </w:pPr>
                  <w:r>
                    <w:rPr>
                      <w:rFonts w:hint="eastAsia"/>
                      <w:kern w:val="0"/>
                      <w:sz w:val="21"/>
                      <w:szCs w:val="21"/>
                    </w:rPr>
                    <w:t>720</w:t>
                  </w:r>
                </w:p>
              </w:tc>
              <w:tc>
                <w:tcPr>
                  <w:tcW w:w="556" w:type="pct"/>
                  <w:vAlign w:val="center"/>
                </w:tcPr>
                <w:p w14:paraId="2DA746BA">
                  <w:pPr>
                    <w:adjustRightInd w:val="0"/>
                    <w:snapToGrid w:val="0"/>
                    <w:spacing w:line="240" w:lineRule="auto"/>
                    <w:ind w:firstLine="0" w:firstLineChars="0"/>
                    <w:jc w:val="center"/>
                    <w:rPr>
                      <w:kern w:val="0"/>
                      <w:sz w:val="21"/>
                      <w:szCs w:val="21"/>
                    </w:rPr>
                  </w:pPr>
                  <w:r>
                    <w:rPr>
                      <w:rFonts w:hint="eastAsia"/>
                      <w:kern w:val="0"/>
                      <w:sz w:val="21"/>
                      <w:szCs w:val="21"/>
                    </w:rPr>
                    <w:t>1.07</w:t>
                  </w:r>
                </w:p>
              </w:tc>
              <w:tc>
                <w:tcPr>
                  <w:tcW w:w="641" w:type="pct"/>
                  <w:vAlign w:val="center"/>
                </w:tcPr>
                <w:p w14:paraId="4609EC24">
                  <w:pPr>
                    <w:adjustRightInd w:val="0"/>
                    <w:snapToGrid w:val="0"/>
                    <w:spacing w:line="240" w:lineRule="auto"/>
                    <w:ind w:firstLine="0" w:firstLineChars="0"/>
                    <w:jc w:val="center"/>
                    <w:rPr>
                      <w:kern w:val="0"/>
                      <w:sz w:val="21"/>
                      <w:szCs w:val="21"/>
                    </w:rPr>
                  </w:pPr>
                  <w:r>
                    <w:rPr>
                      <w:rFonts w:hint="eastAsia"/>
                      <w:kern w:val="0"/>
                      <w:sz w:val="21"/>
                      <w:szCs w:val="21"/>
                    </w:rPr>
                    <w:t>320</w:t>
                  </w:r>
                </w:p>
              </w:tc>
              <w:tc>
                <w:tcPr>
                  <w:tcW w:w="1543" w:type="pct"/>
                  <w:vAlign w:val="center"/>
                </w:tcPr>
                <w:p w14:paraId="68720E38">
                  <w:pPr>
                    <w:adjustRightInd w:val="0"/>
                    <w:snapToGrid w:val="0"/>
                    <w:spacing w:line="240" w:lineRule="auto"/>
                    <w:ind w:firstLine="0" w:firstLineChars="0"/>
                    <w:jc w:val="center"/>
                    <w:rPr>
                      <w:kern w:val="0"/>
                      <w:sz w:val="21"/>
                      <w:szCs w:val="21"/>
                    </w:rPr>
                  </w:pPr>
                  <w:r>
                    <w:rPr>
                      <w:rFonts w:hint="eastAsia"/>
                      <w:kern w:val="0"/>
                      <w:sz w:val="21"/>
                      <w:szCs w:val="21"/>
                    </w:rPr>
                    <w:t>0，循环使用，定期补充</w:t>
                  </w:r>
                </w:p>
              </w:tc>
            </w:tr>
            <w:tr w14:paraId="1D723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422" w:type="pct"/>
                  <w:vAlign w:val="center"/>
                </w:tcPr>
                <w:p w14:paraId="74C731CD">
                  <w:pPr>
                    <w:adjustRightInd w:val="0"/>
                    <w:snapToGrid w:val="0"/>
                    <w:spacing w:line="240" w:lineRule="auto"/>
                    <w:ind w:firstLine="0" w:firstLineChars="0"/>
                    <w:jc w:val="center"/>
                    <w:rPr>
                      <w:kern w:val="0"/>
                      <w:sz w:val="21"/>
                      <w:szCs w:val="21"/>
                    </w:rPr>
                  </w:pPr>
                  <w:r>
                    <w:rPr>
                      <w:rFonts w:hint="eastAsia"/>
                      <w:kern w:val="0"/>
                      <w:sz w:val="21"/>
                      <w:szCs w:val="21"/>
                    </w:rPr>
                    <w:t>2</w:t>
                  </w:r>
                </w:p>
              </w:tc>
              <w:tc>
                <w:tcPr>
                  <w:tcW w:w="723" w:type="pct"/>
                  <w:vAlign w:val="center"/>
                </w:tcPr>
                <w:p w14:paraId="584DCDFA">
                  <w:pPr>
                    <w:adjustRightInd w:val="0"/>
                    <w:snapToGrid w:val="0"/>
                    <w:spacing w:line="240" w:lineRule="auto"/>
                    <w:ind w:firstLine="0" w:firstLineChars="0"/>
                    <w:jc w:val="center"/>
                    <w:rPr>
                      <w:kern w:val="0"/>
                      <w:sz w:val="21"/>
                      <w:szCs w:val="21"/>
                    </w:rPr>
                  </w:pPr>
                  <w:r>
                    <w:rPr>
                      <w:rFonts w:hint="eastAsia"/>
                      <w:kern w:val="0"/>
                      <w:sz w:val="21"/>
                      <w:szCs w:val="21"/>
                    </w:rPr>
                    <w:t>员工办公</w:t>
                  </w:r>
                  <w:r>
                    <w:rPr>
                      <w:kern w:val="0"/>
                      <w:sz w:val="21"/>
                      <w:szCs w:val="21"/>
                    </w:rPr>
                    <w:t>生活用水</w:t>
                  </w:r>
                </w:p>
              </w:tc>
              <w:tc>
                <w:tcPr>
                  <w:tcW w:w="557" w:type="pct"/>
                  <w:vAlign w:val="center"/>
                </w:tcPr>
                <w:p w14:paraId="25151B72">
                  <w:pPr>
                    <w:adjustRightInd w:val="0"/>
                    <w:snapToGrid w:val="0"/>
                    <w:spacing w:line="240" w:lineRule="auto"/>
                    <w:ind w:firstLine="0" w:firstLineChars="0"/>
                    <w:jc w:val="center"/>
                    <w:rPr>
                      <w:kern w:val="0"/>
                      <w:sz w:val="21"/>
                      <w:szCs w:val="21"/>
                    </w:rPr>
                  </w:pPr>
                  <w:r>
                    <w:rPr>
                      <w:rFonts w:hint="eastAsia"/>
                      <w:kern w:val="0"/>
                      <w:sz w:val="21"/>
                      <w:szCs w:val="21"/>
                    </w:rPr>
                    <w:t>0.683</w:t>
                  </w:r>
                </w:p>
              </w:tc>
              <w:tc>
                <w:tcPr>
                  <w:tcW w:w="558" w:type="pct"/>
                  <w:vAlign w:val="center"/>
                </w:tcPr>
                <w:p w14:paraId="6A2D5081">
                  <w:pPr>
                    <w:adjustRightInd w:val="0"/>
                    <w:snapToGrid w:val="0"/>
                    <w:spacing w:line="240" w:lineRule="auto"/>
                    <w:ind w:firstLine="0" w:firstLineChars="0"/>
                    <w:jc w:val="center"/>
                    <w:rPr>
                      <w:kern w:val="0"/>
                      <w:sz w:val="21"/>
                      <w:szCs w:val="21"/>
                    </w:rPr>
                  </w:pPr>
                  <w:r>
                    <w:rPr>
                      <w:rFonts w:hint="eastAsia"/>
                      <w:kern w:val="0"/>
                      <w:sz w:val="21"/>
                      <w:szCs w:val="21"/>
                    </w:rPr>
                    <w:t>205</w:t>
                  </w:r>
                </w:p>
              </w:tc>
              <w:tc>
                <w:tcPr>
                  <w:tcW w:w="556" w:type="pct"/>
                  <w:vAlign w:val="center"/>
                </w:tcPr>
                <w:p w14:paraId="62261C4F">
                  <w:pPr>
                    <w:adjustRightInd w:val="0"/>
                    <w:snapToGrid w:val="0"/>
                    <w:spacing w:line="240" w:lineRule="auto"/>
                    <w:ind w:firstLine="0" w:firstLineChars="0"/>
                    <w:jc w:val="center"/>
                    <w:rPr>
                      <w:kern w:val="0"/>
                      <w:sz w:val="21"/>
                      <w:szCs w:val="21"/>
                    </w:rPr>
                  </w:pPr>
                  <w:r>
                    <w:rPr>
                      <w:rFonts w:hint="eastAsia"/>
                      <w:kern w:val="0"/>
                      <w:sz w:val="21"/>
                      <w:szCs w:val="21"/>
                    </w:rPr>
                    <w:t>0.546</w:t>
                  </w:r>
                </w:p>
              </w:tc>
              <w:tc>
                <w:tcPr>
                  <w:tcW w:w="641" w:type="pct"/>
                  <w:vAlign w:val="center"/>
                </w:tcPr>
                <w:p w14:paraId="1FC31090">
                  <w:pPr>
                    <w:adjustRightInd w:val="0"/>
                    <w:snapToGrid w:val="0"/>
                    <w:spacing w:line="240" w:lineRule="auto"/>
                    <w:ind w:firstLine="0" w:firstLineChars="0"/>
                    <w:jc w:val="center"/>
                    <w:rPr>
                      <w:kern w:val="0"/>
                      <w:sz w:val="21"/>
                      <w:szCs w:val="21"/>
                    </w:rPr>
                  </w:pPr>
                  <w:r>
                    <w:rPr>
                      <w:rFonts w:hint="eastAsia"/>
                      <w:kern w:val="0"/>
                      <w:sz w:val="21"/>
                      <w:szCs w:val="21"/>
                    </w:rPr>
                    <w:t>164</w:t>
                  </w:r>
                </w:p>
              </w:tc>
              <w:tc>
                <w:tcPr>
                  <w:tcW w:w="1543" w:type="pct"/>
                  <w:vAlign w:val="center"/>
                </w:tcPr>
                <w:p w14:paraId="051E34EB">
                  <w:pPr>
                    <w:adjustRightInd w:val="0"/>
                    <w:snapToGrid w:val="0"/>
                    <w:spacing w:line="240" w:lineRule="auto"/>
                    <w:ind w:firstLine="0" w:firstLineChars="0"/>
                    <w:jc w:val="center"/>
                    <w:rPr>
                      <w:kern w:val="0"/>
                      <w:sz w:val="21"/>
                      <w:szCs w:val="21"/>
                    </w:rPr>
                  </w:pPr>
                  <w:r>
                    <w:rPr>
                      <w:rFonts w:hint="eastAsia"/>
                      <w:kern w:val="0"/>
                      <w:sz w:val="21"/>
                      <w:szCs w:val="21"/>
                    </w:rPr>
                    <w:t>0，食堂含油污水经油水分离器处理后和其他生活污水排入化粪池，再经一体化污水处理设备</w:t>
                  </w:r>
                  <w:r>
                    <w:rPr>
                      <w:kern w:val="0"/>
                      <w:sz w:val="21"/>
                      <w:szCs w:val="21"/>
                    </w:rPr>
                    <w:t>处理后</w:t>
                  </w:r>
                  <w:r>
                    <w:rPr>
                      <w:rFonts w:hint="eastAsia"/>
                      <w:kern w:val="0"/>
                      <w:sz w:val="21"/>
                      <w:szCs w:val="21"/>
                    </w:rPr>
                    <w:t>回用绿化和降尘</w:t>
                  </w:r>
                  <w:r>
                    <w:rPr>
                      <w:kern w:val="0"/>
                      <w:sz w:val="21"/>
                      <w:szCs w:val="21"/>
                    </w:rPr>
                    <w:t>。</w:t>
                  </w:r>
                </w:p>
              </w:tc>
            </w:tr>
            <w:tr w14:paraId="72687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exact"/>
                <w:jc w:val="center"/>
              </w:trPr>
              <w:tc>
                <w:tcPr>
                  <w:tcW w:w="422" w:type="pct"/>
                  <w:vMerge w:val="restart"/>
                  <w:vAlign w:val="center"/>
                </w:tcPr>
                <w:p w14:paraId="05B228CC">
                  <w:pPr>
                    <w:adjustRightInd w:val="0"/>
                    <w:snapToGrid w:val="0"/>
                    <w:spacing w:line="240" w:lineRule="auto"/>
                    <w:ind w:firstLine="0" w:firstLineChars="0"/>
                    <w:jc w:val="center"/>
                    <w:rPr>
                      <w:kern w:val="0"/>
                      <w:sz w:val="21"/>
                      <w:szCs w:val="21"/>
                    </w:rPr>
                  </w:pPr>
                  <w:r>
                    <w:rPr>
                      <w:rFonts w:hint="eastAsia"/>
                      <w:kern w:val="0"/>
                      <w:sz w:val="21"/>
                      <w:szCs w:val="21"/>
                    </w:rPr>
                    <w:t>3</w:t>
                  </w:r>
                </w:p>
              </w:tc>
              <w:tc>
                <w:tcPr>
                  <w:tcW w:w="723" w:type="pct"/>
                  <w:vAlign w:val="center"/>
                </w:tcPr>
                <w:p w14:paraId="49C5F8F6">
                  <w:pPr>
                    <w:adjustRightInd w:val="0"/>
                    <w:snapToGrid w:val="0"/>
                    <w:spacing w:line="240" w:lineRule="auto"/>
                    <w:ind w:firstLine="0" w:firstLineChars="0"/>
                    <w:jc w:val="center"/>
                    <w:rPr>
                      <w:kern w:val="0"/>
                      <w:sz w:val="21"/>
                      <w:szCs w:val="21"/>
                    </w:rPr>
                  </w:pPr>
                  <w:r>
                    <w:rPr>
                      <w:rFonts w:hint="eastAsia"/>
                      <w:kern w:val="0"/>
                      <w:sz w:val="21"/>
                      <w:szCs w:val="21"/>
                    </w:rPr>
                    <w:t>原料仓、上料降尘</w:t>
                  </w:r>
                </w:p>
              </w:tc>
              <w:tc>
                <w:tcPr>
                  <w:tcW w:w="557" w:type="pct"/>
                  <w:vAlign w:val="center"/>
                </w:tcPr>
                <w:p w14:paraId="78803C17">
                  <w:pPr>
                    <w:adjustRightInd w:val="0"/>
                    <w:snapToGrid w:val="0"/>
                    <w:spacing w:line="240" w:lineRule="auto"/>
                    <w:ind w:firstLine="0" w:firstLineChars="0"/>
                    <w:jc w:val="center"/>
                    <w:rPr>
                      <w:kern w:val="0"/>
                      <w:sz w:val="21"/>
                      <w:szCs w:val="21"/>
                    </w:rPr>
                  </w:pPr>
                  <w:r>
                    <w:rPr>
                      <w:rFonts w:hint="eastAsia"/>
                      <w:kern w:val="0"/>
                      <w:sz w:val="21"/>
                      <w:szCs w:val="21"/>
                    </w:rPr>
                    <w:t>4.608</w:t>
                  </w:r>
                </w:p>
              </w:tc>
              <w:tc>
                <w:tcPr>
                  <w:tcW w:w="558" w:type="pct"/>
                  <w:vAlign w:val="center"/>
                </w:tcPr>
                <w:p w14:paraId="2BA684A8">
                  <w:pPr>
                    <w:adjustRightInd w:val="0"/>
                    <w:snapToGrid w:val="0"/>
                    <w:spacing w:line="240" w:lineRule="auto"/>
                    <w:ind w:firstLine="0" w:firstLineChars="0"/>
                    <w:jc w:val="center"/>
                    <w:rPr>
                      <w:kern w:val="0"/>
                      <w:sz w:val="21"/>
                      <w:szCs w:val="21"/>
                    </w:rPr>
                  </w:pPr>
                  <w:r>
                    <w:rPr>
                      <w:rFonts w:hint="eastAsia"/>
                      <w:kern w:val="0"/>
                      <w:sz w:val="21"/>
                      <w:szCs w:val="21"/>
                    </w:rPr>
                    <w:t>1382</w:t>
                  </w:r>
                </w:p>
              </w:tc>
              <w:tc>
                <w:tcPr>
                  <w:tcW w:w="556" w:type="pct"/>
                  <w:vAlign w:val="center"/>
                </w:tcPr>
                <w:p w14:paraId="14A67C12">
                  <w:pPr>
                    <w:adjustRightInd w:val="0"/>
                    <w:snapToGrid w:val="0"/>
                    <w:spacing w:line="240" w:lineRule="auto"/>
                    <w:ind w:firstLine="0" w:firstLineChars="0"/>
                    <w:jc w:val="center"/>
                    <w:rPr>
                      <w:kern w:val="0"/>
                      <w:sz w:val="21"/>
                      <w:szCs w:val="21"/>
                    </w:rPr>
                  </w:pPr>
                  <w:r>
                    <w:rPr>
                      <w:rFonts w:hint="eastAsia"/>
                      <w:kern w:val="0"/>
                      <w:sz w:val="21"/>
                      <w:szCs w:val="21"/>
                    </w:rPr>
                    <w:t>0</w:t>
                  </w:r>
                </w:p>
              </w:tc>
              <w:tc>
                <w:tcPr>
                  <w:tcW w:w="641" w:type="pct"/>
                  <w:vAlign w:val="center"/>
                </w:tcPr>
                <w:p w14:paraId="0EF9AFF3">
                  <w:pPr>
                    <w:adjustRightInd w:val="0"/>
                    <w:snapToGrid w:val="0"/>
                    <w:spacing w:line="240" w:lineRule="auto"/>
                    <w:ind w:firstLine="0" w:firstLineChars="0"/>
                    <w:jc w:val="center"/>
                    <w:rPr>
                      <w:kern w:val="0"/>
                      <w:sz w:val="21"/>
                      <w:szCs w:val="21"/>
                    </w:rPr>
                  </w:pPr>
                  <w:r>
                    <w:rPr>
                      <w:rFonts w:hint="eastAsia"/>
                      <w:kern w:val="0"/>
                      <w:sz w:val="21"/>
                      <w:szCs w:val="21"/>
                    </w:rPr>
                    <w:t>0</w:t>
                  </w:r>
                </w:p>
              </w:tc>
              <w:tc>
                <w:tcPr>
                  <w:tcW w:w="1543" w:type="pct"/>
                  <w:vMerge w:val="restart"/>
                  <w:vAlign w:val="center"/>
                </w:tcPr>
                <w:p w14:paraId="6F5FE2AC">
                  <w:pPr>
                    <w:adjustRightInd w:val="0"/>
                    <w:snapToGrid w:val="0"/>
                    <w:spacing w:line="240" w:lineRule="auto"/>
                    <w:ind w:firstLine="0" w:firstLineChars="0"/>
                    <w:jc w:val="center"/>
                    <w:rPr>
                      <w:kern w:val="0"/>
                      <w:sz w:val="21"/>
                      <w:szCs w:val="21"/>
                    </w:rPr>
                  </w:pPr>
                  <w:r>
                    <w:rPr>
                      <w:rFonts w:hint="eastAsia"/>
                      <w:kern w:val="0"/>
                      <w:sz w:val="21"/>
                      <w:szCs w:val="21"/>
                    </w:rPr>
                    <w:t>全部自然蒸发损耗</w:t>
                  </w:r>
                </w:p>
              </w:tc>
            </w:tr>
            <w:tr w14:paraId="72CE3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422" w:type="pct"/>
                  <w:vMerge w:val="continue"/>
                  <w:vAlign w:val="center"/>
                </w:tcPr>
                <w:p w14:paraId="2D7A328F">
                  <w:pPr>
                    <w:adjustRightInd w:val="0"/>
                    <w:snapToGrid w:val="0"/>
                    <w:spacing w:line="240" w:lineRule="auto"/>
                    <w:ind w:firstLine="0" w:firstLineChars="0"/>
                    <w:jc w:val="center"/>
                    <w:rPr>
                      <w:kern w:val="0"/>
                      <w:sz w:val="21"/>
                      <w:szCs w:val="21"/>
                    </w:rPr>
                  </w:pPr>
                </w:p>
              </w:tc>
              <w:tc>
                <w:tcPr>
                  <w:tcW w:w="723" w:type="pct"/>
                  <w:vAlign w:val="center"/>
                </w:tcPr>
                <w:p w14:paraId="7F9E6C94">
                  <w:pPr>
                    <w:adjustRightInd w:val="0"/>
                    <w:snapToGrid w:val="0"/>
                    <w:spacing w:line="240" w:lineRule="auto"/>
                    <w:ind w:firstLine="0" w:firstLineChars="0"/>
                    <w:jc w:val="center"/>
                    <w:rPr>
                      <w:kern w:val="0"/>
                      <w:sz w:val="21"/>
                      <w:szCs w:val="21"/>
                    </w:rPr>
                  </w:pPr>
                  <w:r>
                    <w:rPr>
                      <w:rFonts w:hint="eastAsia"/>
                      <w:kern w:val="0"/>
                      <w:sz w:val="21"/>
                      <w:szCs w:val="21"/>
                    </w:rPr>
                    <w:t>场地降尘</w:t>
                  </w:r>
                </w:p>
              </w:tc>
              <w:tc>
                <w:tcPr>
                  <w:tcW w:w="557" w:type="pct"/>
                  <w:vAlign w:val="center"/>
                </w:tcPr>
                <w:p w14:paraId="54C4A1E0">
                  <w:pPr>
                    <w:adjustRightInd w:val="0"/>
                    <w:snapToGrid w:val="0"/>
                    <w:spacing w:line="240" w:lineRule="auto"/>
                    <w:ind w:firstLine="0" w:firstLineChars="0"/>
                    <w:jc w:val="center"/>
                    <w:rPr>
                      <w:kern w:val="0"/>
                      <w:sz w:val="21"/>
                      <w:szCs w:val="21"/>
                    </w:rPr>
                  </w:pPr>
                  <w:r>
                    <w:rPr>
                      <w:rFonts w:hint="eastAsia"/>
                      <w:kern w:val="0"/>
                      <w:sz w:val="21"/>
                      <w:szCs w:val="21"/>
                    </w:rPr>
                    <w:t>3.6</w:t>
                  </w:r>
                </w:p>
              </w:tc>
              <w:tc>
                <w:tcPr>
                  <w:tcW w:w="558" w:type="pct"/>
                  <w:vAlign w:val="center"/>
                </w:tcPr>
                <w:p w14:paraId="0F5B2D75">
                  <w:pPr>
                    <w:adjustRightInd w:val="0"/>
                    <w:snapToGrid w:val="0"/>
                    <w:spacing w:line="240" w:lineRule="auto"/>
                    <w:ind w:firstLine="0" w:firstLineChars="0"/>
                    <w:jc w:val="center"/>
                    <w:rPr>
                      <w:kern w:val="0"/>
                      <w:sz w:val="21"/>
                      <w:szCs w:val="21"/>
                    </w:rPr>
                  </w:pPr>
                  <w:r>
                    <w:rPr>
                      <w:rFonts w:hint="eastAsia"/>
                      <w:kern w:val="0"/>
                      <w:sz w:val="21"/>
                      <w:szCs w:val="21"/>
                    </w:rPr>
                    <w:t>720</w:t>
                  </w:r>
                </w:p>
              </w:tc>
              <w:tc>
                <w:tcPr>
                  <w:tcW w:w="556" w:type="pct"/>
                  <w:vAlign w:val="center"/>
                </w:tcPr>
                <w:p w14:paraId="6F384C2F">
                  <w:pPr>
                    <w:adjustRightInd w:val="0"/>
                    <w:snapToGrid w:val="0"/>
                    <w:spacing w:line="240" w:lineRule="auto"/>
                    <w:ind w:firstLine="0" w:firstLineChars="0"/>
                    <w:jc w:val="center"/>
                    <w:rPr>
                      <w:kern w:val="0"/>
                      <w:sz w:val="21"/>
                      <w:szCs w:val="21"/>
                    </w:rPr>
                  </w:pPr>
                  <w:r>
                    <w:rPr>
                      <w:rFonts w:hint="eastAsia"/>
                      <w:kern w:val="0"/>
                      <w:sz w:val="21"/>
                      <w:szCs w:val="21"/>
                    </w:rPr>
                    <w:t>0</w:t>
                  </w:r>
                </w:p>
              </w:tc>
              <w:tc>
                <w:tcPr>
                  <w:tcW w:w="641" w:type="pct"/>
                  <w:vAlign w:val="center"/>
                </w:tcPr>
                <w:p w14:paraId="1C7A0E10">
                  <w:pPr>
                    <w:adjustRightInd w:val="0"/>
                    <w:snapToGrid w:val="0"/>
                    <w:spacing w:line="240" w:lineRule="auto"/>
                    <w:ind w:firstLine="0" w:firstLineChars="0"/>
                    <w:jc w:val="center"/>
                    <w:rPr>
                      <w:kern w:val="0"/>
                      <w:sz w:val="21"/>
                      <w:szCs w:val="21"/>
                    </w:rPr>
                  </w:pPr>
                  <w:r>
                    <w:rPr>
                      <w:rFonts w:hint="eastAsia"/>
                      <w:kern w:val="0"/>
                      <w:sz w:val="21"/>
                      <w:szCs w:val="21"/>
                    </w:rPr>
                    <w:t>0</w:t>
                  </w:r>
                </w:p>
              </w:tc>
              <w:tc>
                <w:tcPr>
                  <w:tcW w:w="1543" w:type="pct"/>
                  <w:vMerge w:val="continue"/>
                  <w:vAlign w:val="center"/>
                </w:tcPr>
                <w:p w14:paraId="3CD9145B">
                  <w:pPr>
                    <w:adjustRightInd w:val="0"/>
                    <w:snapToGrid w:val="0"/>
                    <w:spacing w:line="240" w:lineRule="auto"/>
                    <w:ind w:firstLine="0" w:firstLineChars="0"/>
                    <w:jc w:val="center"/>
                    <w:rPr>
                      <w:kern w:val="0"/>
                      <w:sz w:val="21"/>
                      <w:szCs w:val="21"/>
                    </w:rPr>
                  </w:pPr>
                </w:p>
              </w:tc>
            </w:tr>
            <w:tr w14:paraId="29D2A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422" w:type="pct"/>
                  <w:vAlign w:val="center"/>
                </w:tcPr>
                <w:p w14:paraId="0AF6C982">
                  <w:pPr>
                    <w:adjustRightInd w:val="0"/>
                    <w:snapToGrid w:val="0"/>
                    <w:spacing w:line="240" w:lineRule="auto"/>
                    <w:ind w:firstLine="0" w:firstLineChars="0"/>
                    <w:jc w:val="center"/>
                    <w:rPr>
                      <w:kern w:val="0"/>
                      <w:sz w:val="21"/>
                      <w:szCs w:val="21"/>
                    </w:rPr>
                  </w:pPr>
                  <w:r>
                    <w:rPr>
                      <w:rFonts w:hint="eastAsia"/>
                      <w:kern w:val="0"/>
                      <w:sz w:val="21"/>
                      <w:szCs w:val="21"/>
                    </w:rPr>
                    <w:t>4</w:t>
                  </w:r>
                </w:p>
              </w:tc>
              <w:tc>
                <w:tcPr>
                  <w:tcW w:w="723" w:type="pct"/>
                  <w:vAlign w:val="center"/>
                </w:tcPr>
                <w:p w14:paraId="62CAF9FE">
                  <w:pPr>
                    <w:adjustRightInd w:val="0"/>
                    <w:snapToGrid w:val="0"/>
                    <w:spacing w:line="240" w:lineRule="auto"/>
                    <w:ind w:firstLine="0" w:firstLineChars="0"/>
                    <w:jc w:val="center"/>
                    <w:rPr>
                      <w:kern w:val="0"/>
                      <w:sz w:val="21"/>
                      <w:szCs w:val="21"/>
                    </w:rPr>
                  </w:pPr>
                  <w:r>
                    <w:rPr>
                      <w:kern w:val="0"/>
                      <w:sz w:val="21"/>
                      <w:szCs w:val="21"/>
                    </w:rPr>
                    <w:t>绿化用水</w:t>
                  </w:r>
                </w:p>
              </w:tc>
              <w:tc>
                <w:tcPr>
                  <w:tcW w:w="557" w:type="pct"/>
                  <w:vAlign w:val="center"/>
                </w:tcPr>
                <w:p w14:paraId="335D66AC">
                  <w:pPr>
                    <w:adjustRightInd w:val="0"/>
                    <w:snapToGrid w:val="0"/>
                    <w:spacing w:line="240" w:lineRule="auto"/>
                    <w:ind w:firstLine="0" w:firstLineChars="0"/>
                    <w:jc w:val="center"/>
                    <w:rPr>
                      <w:kern w:val="0"/>
                      <w:sz w:val="21"/>
                      <w:szCs w:val="21"/>
                    </w:rPr>
                  </w:pPr>
                  <w:r>
                    <w:rPr>
                      <w:rFonts w:hint="eastAsia"/>
                      <w:kern w:val="0"/>
                      <w:sz w:val="21"/>
                      <w:szCs w:val="21"/>
                    </w:rPr>
                    <w:t>2.49</w:t>
                  </w:r>
                </w:p>
              </w:tc>
              <w:tc>
                <w:tcPr>
                  <w:tcW w:w="558" w:type="pct"/>
                  <w:vAlign w:val="center"/>
                </w:tcPr>
                <w:p w14:paraId="41C27B26">
                  <w:pPr>
                    <w:adjustRightInd w:val="0"/>
                    <w:snapToGrid w:val="0"/>
                    <w:spacing w:line="240" w:lineRule="auto"/>
                    <w:ind w:firstLine="0" w:firstLineChars="0"/>
                    <w:jc w:val="center"/>
                    <w:rPr>
                      <w:kern w:val="0"/>
                      <w:sz w:val="21"/>
                      <w:szCs w:val="21"/>
                    </w:rPr>
                  </w:pPr>
                  <w:r>
                    <w:rPr>
                      <w:rFonts w:hint="eastAsia"/>
                      <w:kern w:val="0"/>
                      <w:sz w:val="21"/>
                      <w:szCs w:val="21"/>
                    </w:rPr>
                    <w:t>498</w:t>
                  </w:r>
                </w:p>
              </w:tc>
              <w:tc>
                <w:tcPr>
                  <w:tcW w:w="556" w:type="pct"/>
                  <w:vAlign w:val="center"/>
                </w:tcPr>
                <w:p w14:paraId="16D74DFD">
                  <w:pPr>
                    <w:adjustRightInd w:val="0"/>
                    <w:snapToGrid w:val="0"/>
                    <w:spacing w:line="240" w:lineRule="auto"/>
                    <w:ind w:firstLine="0" w:firstLineChars="0"/>
                    <w:jc w:val="center"/>
                    <w:rPr>
                      <w:kern w:val="0"/>
                      <w:sz w:val="21"/>
                      <w:szCs w:val="21"/>
                    </w:rPr>
                  </w:pPr>
                  <w:r>
                    <w:rPr>
                      <w:rFonts w:hint="eastAsia"/>
                      <w:kern w:val="0"/>
                      <w:sz w:val="21"/>
                      <w:szCs w:val="21"/>
                    </w:rPr>
                    <w:t>0</w:t>
                  </w:r>
                </w:p>
              </w:tc>
              <w:tc>
                <w:tcPr>
                  <w:tcW w:w="641" w:type="pct"/>
                  <w:vAlign w:val="center"/>
                </w:tcPr>
                <w:p w14:paraId="79BCFA95">
                  <w:pPr>
                    <w:adjustRightInd w:val="0"/>
                    <w:snapToGrid w:val="0"/>
                    <w:spacing w:line="240" w:lineRule="auto"/>
                    <w:ind w:firstLine="0" w:firstLineChars="0"/>
                    <w:jc w:val="center"/>
                    <w:rPr>
                      <w:kern w:val="0"/>
                      <w:sz w:val="21"/>
                      <w:szCs w:val="21"/>
                    </w:rPr>
                  </w:pPr>
                  <w:r>
                    <w:rPr>
                      <w:rFonts w:hint="eastAsia"/>
                      <w:kern w:val="0"/>
                      <w:sz w:val="21"/>
                      <w:szCs w:val="21"/>
                    </w:rPr>
                    <w:t>0</w:t>
                  </w:r>
                </w:p>
              </w:tc>
              <w:tc>
                <w:tcPr>
                  <w:tcW w:w="1543" w:type="pct"/>
                  <w:vAlign w:val="center"/>
                </w:tcPr>
                <w:p w14:paraId="524B6EED">
                  <w:pPr>
                    <w:adjustRightInd w:val="0"/>
                    <w:snapToGrid w:val="0"/>
                    <w:spacing w:line="240" w:lineRule="auto"/>
                    <w:ind w:firstLine="0" w:firstLineChars="0"/>
                    <w:jc w:val="center"/>
                    <w:rPr>
                      <w:kern w:val="0"/>
                      <w:sz w:val="21"/>
                      <w:szCs w:val="21"/>
                    </w:rPr>
                  </w:pPr>
                  <w:r>
                    <w:rPr>
                      <w:kern w:val="0"/>
                      <w:sz w:val="21"/>
                      <w:szCs w:val="21"/>
                    </w:rPr>
                    <w:t>全部被植物吸收或蒸发消耗</w:t>
                  </w:r>
                </w:p>
              </w:tc>
            </w:tr>
            <w:tr w14:paraId="0AC5A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422" w:type="pct"/>
                  <w:vAlign w:val="center"/>
                </w:tcPr>
                <w:p w14:paraId="1872981B">
                  <w:pPr>
                    <w:adjustRightInd w:val="0"/>
                    <w:snapToGrid w:val="0"/>
                    <w:spacing w:line="240" w:lineRule="auto"/>
                    <w:ind w:firstLine="0" w:firstLineChars="0"/>
                    <w:jc w:val="center"/>
                    <w:rPr>
                      <w:kern w:val="0"/>
                      <w:sz w:val="21"/>
                      <w:szCs w:val="21"/>
                    </w:rPr>
                  </w:pPr>
                  <w:r>
                    <w:rPr>
                      <w:rFonts w:hint="eastAsia"/>
                      <w:kern w:val="0"/>
                      <w:sz w:val="21"/>
                      <w:szCs w:val="21"/>
                    </w:rPr>
                    <w:t>5</w:t>
                  </w:r>
                </w:p>
              </w:tc>
              <w:tc>
                <w:tcPr>
                  <w:tcW w:w="723" w:type="pct"/>
                  <w:vAlign w:val="center"/>
                </w:tcPr>
                <w:p w14:paraId="778AFB1F">
                  <w:pPr>
                    <w:adjustRightInd w:val="0"/>
                    <w:snapToGrid w:val="0"/>
                    <w:spacing w:line="240" w:lineRule="auto"/>
                    <w:ind w:firstLine="0" w:firstLineChars="0"/>
                    <w:jc w:val="center"/>
                    <w:rPr>
                      <w:kern w:val="0"/>
                      <w:sz w:val="21"/>
                      <w:szCs w:val="21"/>
                    </w:rPr>
                  </w:pPr>
                  <w:r>
                    <w:rPr>
                      <w:rFonts w:hint="eastAsia"/>
                      <w:kern w:val="0"/>
                      <w:sz w:val="21"/>
                      <w:szCs w:val="21"/>
                    </w:rPr>
                    <w:t>初期雨水</w:t>
                  </w:r>
                </w:p>
              </w:tc>
              <w:tc>
                <w:tcPr>
                  <w:tcW w:w="557" w:type="pct"/>
                  <w:vAlign w:val="center"/>
                </w:tcPr>
                <w:p w14:paraId="2A9AC82B">
                  <w:pPr>
                    <w:adjustRightInd w:val="0"/>
                    <w:snapToGrid w:val="0"/>
                    <w:spacing w:line="240" w:lineRule="auto"/>
                    <w:ind w:firstLine="0" w:firstLineChars="0"/>
                    <w:jc w:val="center"/>
                    <w:rPr>
                      <w:kern w:val="0"/>
                      <w:sz w:val="21"/>
                      <w:szCs w:val="21"/>
                    </w:rPr>
                  </w:pPr>
                  <w:r>
                    <w:rPr>
                      <w:rFonts w:hint="eastAsia"/>
                      <w:kern w:val="0"/>
                      <w:sz w:val="21"/>
                      <w:szCs w:val="21"/>
                    </w:rPr>
                    <w:t>/</w:t>
                  </w:r>
                </w:p>
              </w:tc>
              <w:tc>
                <w:tcPr>
                  <w:tcW w:w="558" w:type="pct"/>
                  <w:vAlign w:val="center"/>
                </w:tcPr>
                <w:p w14:paraId="26BC93E9">
                  <w:pPr>
                    <w:adjustRightInd w:val="0"/>
                    <w:snapToGrid w:val="0"/>
                    <w:spacing w:line="240" w:lineRule="auto"/>
                    <w:ind w:firstLine="0" w:firstLineChars="0"/>
                    <w:jc w:val="center"/>
                    <w:rPr>
                      <w:kern w:val="0"/>
                      <w:sz w:val="21"/>
                      <w:szCs w:val="21"/>
                    </w:rPr>
                  </w:pPr>
                  <w:r>
                    <w:rPr>
                      <w:rFonts w:hint="eastAsia"/>
                      <w:kern w:val="0"/>
                      <w:sz w:val="21"/>
                      <w:szCs w:val="21"/>
                    </w:rPr>
                    <w:t>/</w:t>
                  </w:r>
                </w:p>
              </w:tc>
              <w:tc>
                <w:tcPr>
                  <w:tcW w:w="556" w:type="pct"/>
                  <w:vAlign w:val="center"/>
                </w:tcPr>
                <w:p w14:paraId="750EE2F6">
                  <w:pPr>
                    <w:adjustRightInd w:val="0"/>
                    <w:snapToGrid w:val="0"/>
                    <w:spacing w:line="240" w:lineRule="auto"/>
                    <w:ind w:firstLine="0" w:firstLineChars="0"/>
                    <w:jc w:val="center"/>
                    <w:rPr>
                      <w:kern w:val="0"/>
                      <w:sz w:val="21"/>
                      <w:szCs w:val="21"/>
                    </w:rPr>
                  </w:pPr>
                  <w:r>
                    <w:rPr>
                      <w:rFonts w:hint="eastAsia"/>
                      <w:kern w:val="0"/>
                      <w:sz w:val="21"/>
                      <w:szCs w:val="21"/>
                    </w:rPr>
                    <w:t>6.5m</w:t>
                  </w:r>
                  <w:r>
                    <w:rPr>
                      <w:rFonts w:hint="eastAsia"/>
                      <w:kern w:val="0"/>
                      <w:sz w:val="21"/>
                      <w:szCs w:val="21"/>
                      <w:vertAlign w:val="superscript"/>
                    </w:rPr>
                    <w:t>3</w:t>
                  </w:r>
                  <w:r>
                    <w:rPr>
                      <w:rFonts w:hint="eastAsia"/>
                      <w:kern w:val="0"/>
                      <w:sz w:val="21"/>
                      <w:szCs w:val="21"/>
                    </w:rPr>
                    <w:t>/次</w:t>
                  </w:r>
                </w:p>
              </w:tc>
              <w:tc>
                <w:tcPr>
                  <w:tcW w:w="641" w:type="pct"/>
                  <w:vAlign w:val="center"/>
                </w:tcPr>
                <w:p w14:paraId="066F0681">
                  <w:pPr>
                    <w:adjustRightInd w:val="0"/>
                    <w:snapToGrid w:val="0"/>
                    <w:spacing w:line="240" w:lineRule="auto"/>
                    <w:ind w:firstLine="0" w:firstLineChars="0"/>
                    <w:jc w:val="center"/>
                    <w:rPr>
                      <w:kern w:val="0"/>
                      <w:sz w:val="21"/>
                      <w:szCs w:val="21"/>
                    </w:rPr>
                  </w:pPr>
                  <w:r>
                    <w:rPr>
                      <w:rFonts w:hint="eastAsia"/>
                      <w:kern w:val="0"/>
                      <w:sz w:val="21"/>
                      <w:szCs w:val="21"/>
                    </w:rPr>
                    <w:t>650</w:t>
                  </w:r>
                </w:p>
              </w:tc>
              <w:tc>
                <w:tcPr>
                  <w:tcW w:w="1543" w:type="pct"/>
                  <w:vAlign w:val="center"/>
                </w:tcPr>
                <w:p w14:paraId="66B2BA82">
                  <w:pPr>
                    <w:adjustRightInd w:val="0"/>
                    <w:snapToGrid w:val="0"/>
                    <w:spacing w:line="240" w:lineRule="auto"/>
                    <w:ind w:firstLine="0" w:firstLineChars="0"/>
                    <w:jc w:val="center"/>
                    <w:rPr>
                      <w:kern w:val="0"/>
                      <w:sz w:val="21"/>
                      <w:szCs w:val="21"/>
                    </w:rPr>
                  </w:pPr>
                  <w:r>
                    <w:rPr>
                      <w:rFonts w:hint="eastAsia"/>
                      <w:kern w:val="0"/>
                      <w:sz w:val="21"/>
                      <w:szCs w:val="21"/>
                    </w:rPr>
                    <w:t>0，收集处理后回用于厂区洒水降尘及绿化</w:t>
                  </w:r>
                </w:p>
              </w:tc>
            </w:tr>
            <w:tr w14:paraId="4F7D7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000" w:type="pct"/>
                  <w:gridSpan w:val="7"/>
                  <w:vAlign w:val="center"/>
                </w:tcPr>
                <w:p w14:paraId="1EF81661">
                  <w:pPr>
                    <w:adjustRightInd w:val="0"/>
                    <w:snapToGrid w:val="0"/>
                    <w:spacing w:line="240" w:lineRule="auto"/>
                    <w:ind w:firstLine="0" w:firstLineChars="0"/>
                    <w:rPr>
                      <w:kern w:val="0"/>
                      <w:sz w:val="21"/>
                      <w:szCs w:val="21"/>
                    </w:rPr>
                  </w:pPr>
                  <w:r>
                    <w:rPr>
                      <w:rFonts w:hint="eastAsia"/>
                      <w:kern w:val="0"/>
                      <w:sz w:val="21"/>
                      <w:szCs w:val="21"/>
                    </w:rPr>
                    <w:t>注，绿化用水部分使用一体化污水处理站出水，其余使用自来水，场地仅晴天进行降尘。</w:t>
                  </w:r>
                </w:p>
              </w:tc>
            </w:tr>
          </w:tbl>
          <w:p w14:paraId="39D857F8">
            <w:pPr>
              <w:tabs>
                <w:tab w:val="left" w:pos="540"/>
                <w:tab w:val="left" w:pos="851"/>
                <w:tab w:val="left" w:pos="994"/>
                <w:tab w:val="left" w:pos="1260"/>
                <w:tab w:val="left" w:pos="3108"/>
                <w:tab w:val="left" w:pos="3150"/>
              </w:tabs>
              <w:ind w:firstLine="0" w:firstLineChars="0"/>
            </w:pPr>
            <w:r>
              <w:rPr>
                <w:rFonts w:hint="eastAsia"/>
              </w:rPr>
              <w:t xml:space="preserve">    项目晴天水平衡见图2-</w:t>
            </w:r>
            <w:r>
              <w:rPr>
                <w:rFonts w:hint="eastAsia"/>
                <w:color w:val="000000" w:themeColor="text1"/>
                <w14:textFill>
                  <w14:solidFill>
                    <w14:schemeClr w14:val="tx1"/>
                  </w14:solidFill>
                </w14:textFill>
              </w:rPr>
              <w:t>1、雨天水平衡图2-2。</w:t>
            </w:r>
          </w:p>
          <w:p w14:paraId="2AF7C42F">
            <w:pPr>
              <w:tabs>
                <w:tab w:val="left" w:pos="540"/>
                <w:tab w:val="left" w:pos="851"/>
                <w:tab w:val="left" w:pos="994"/>
                <w:tab w:val="left" w:pos="1260"/>
                <w:tab w:val="left" w:pos="3108"/>
                <w:tab w:val="left" w:pos="3150"/>
              </w:tabs>
              <w:ind w:firstLine="0" w:firstLineChars="0"/>
            </w:pPr>
            <w:r>
              <mc:AlternateContent>
                <mc:Choice Requires="wpc">
                  <w:drawing>
                    <wp:inline distT="0" distB="0" distL="114300" distR="114300">
                      <wp:extent cx="5186045" cy="3751580"/>
                      <wp:effectExtent l="0" t="681355" r="0" b="5715"/>
                      <wp:docPr id="37" name="画布 43"/>
                      <wp:cNvGraphicFramePr/>
                      <a:graphic xmlns:a="http://schemas.openxmlformats.org/drawingml/2006/main">
                        <a:graphicData uri="http://schemas.microsoft.com/office/word/2010/wordprocessingCanvas">
                          <wpc:wpc>
                            <wpc:bg>
                              <a:noFill/>
                            </wpc:bg>
                            <wpc:whole>
                              <a:ln>
                                <a:noFill/>
                              </a:ln>
                            </wpc:whole>
                            <wps:wsp>
                              <wps:cNvPr id="98" name="文本框 98"/>
                              <wps:cNvSpPr txBox="1"/>
                              <wps:spPr>
                                <a:xfrm>
                                  <a:off x="1427480" y="42545"/>
                                  <a:ext cx="771525" cy="323850"/>
                                </a:xfrm>
                                <a:prstGeom prst="rect">
                                  <a:avLst/>
                                </a:prstGeom>
                                <a:solidFill>
                                  <a:srgbClr val="FFFFFF"/>
                                </a:solidFill>
                                <a:ln w="6350">
                                  <a:noFill/>
                                </a:ln>
                                <a:effectLst/>
                              </wps:spPr>
                              <wps:txbx>
                                <w:txbxContent>
                                  <w:p w14:paraId="3188F659">
                                    <w:pPr>
                                      <w:spacing w:line="240" w:lineRule="auto"/>
                                      <w:ind w:firstLine="0" w:firstLineChars="0"/>
                                      <w:rPr>
                                        <w:sz w:val="21"/>
                                        <w:szCs w:val="21"/>
                                      </w:rPr>
                                    </w:pPr>
                                    <w:r>
                                      <w:rPr>
                                        <w:rFonts w:hint="eastAsia"/>
                                        <w:sz w:val="21"/>
                                        <w:szCs w:val="21"/>
                                      </w:rPr>
                                      <w:t>0.546</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 name="文本框 98"/>
                              <wps:cNvSpPr txBox="1"/>
                              <wps:spPr>
                                <a:xfrm>
                                  <a:off x="1427480" y="42545"/>
                                  <a:ext cx="771525" cy="323850"/>
                                </a:xfrm>
                                <a:prstGeom prst="rect">
                                  <a:avLst/>
                                </a:prstGeom>
                                <a:solidFill>
                                  <a:srgbClr val="FFFFFF"/>
                                </a:solidFill>
                                <a:ln w="6350">
                                  <a:noFill/>
                                </a:ln>
                                <a:effectLst/>
                              </wps:spPr>
                              <wps:txbx>
                                <w:txbxContent>
                                  <w:p w14:paraId="633F78F0">
                                    <w:pPr>
                                      <w:spacing w:line="240" w:lineRule="auto"/>
                                      <w:ind w:firstLine="0" w:firstLineChars="0"/>
                                      <w:jc w:val="center"/>
                                      <w:rPr>
                                        <w:sz w:val="21"/>
                                        <w:szCs w:val="21"/>
                                      </w:rPr>
                                    </w:pPr>
                                    <w:r>
                                      <w:rPr>
                                        <w:rFonts w:hint="eastAsia"/>
                                        <w:sz w:val="21"/>
                                        <w:szCs w:val="21"/>
                                      </w:rPr>
                                      <w:t>11.045</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 name="文本框 98"/>
                              <wps:cNvSpPr txBox="1"/>
                              <wps:spPr>
                                <a:xfrm>
                                  <a:off x="1427480" y="42545"/>
                                  <a:ext cx="771525" cy="323850"/>
                                </a:xfrm>
                                <a:prstGeom prst="rect">
                                  <a:avLst/>
                                </a:prstGeom>
                                <a:solidFill>
                                  <a:srgbClr val="FFFFFF"/>
                                </a:solidFill>
                                <a:ln w="6350">
                                  <a:noFill/>
                                </a:ln>
                                <a:effectLst/>
                              </wps:spPr>
                              <wps:txbx>
                                <w:txbxContent>
                                  <w:p w14:paraId="7F7D0371">
                                    <w:pPr>
                                      <w:spacing w:line="240" w:lineRule="auto"/>
                                      <w:ind w:firstLine="0" w:firstLineChars="0"/>
                                      <w:jc w:val="center"/>
                                      <w:rPr>
                                        <w:sz w:val="21"/>
                                        <w:szCs w:val="21"/>
                                      </w:rPr>
                                    </w:pPr>
                                    <w:r>
                                      <w:rPr>
                                        <w:rFonts w:hint="eastAsia"/>
                                        <w:sz w:val="21"/>
                                        <w:szCs w:val="21"/>
                                      </w:rPr>
                                      <w:t>1.914</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 name="文本框 98"/>
                              <wps:cNvSpPr txBox="1"/>
                              <wps:spPr>
                                <a:xfrm>
                                  <a:off x="1427480" y="42545"/>
                                  <a:ext cx="771525" cy="323850"/>
                                </a:xfrm>
                                <a:prstGeom prst="rect">
                                  <a:avLst/>
                                </a:prstGeom>
                                <a:solidFill>
                                  <a:srgbClr val="FFFFFF"/>
                                </a:solidFill>
                                <a:ln w="6350">
                                  <a:noFill/>
                                </a:ln>
                                <a:effectLst/>
                              </wps:spPr>
                              <wps:txbx>
                                <w:txbxContent>
                                  <w:p w14:paraId="601F5F24">
                                    <w:pPr>
                                      <w:spacing w:line="240" w:lineRule="auto"/>
                                      <w:ind w:firstLine="0" w:firstLineChars="0"/>
                                      <w:jc w:val="center"/>
                                      <w:rPr>
                                        <w:sz w:val="21"/>
                                        <w:szCs w:val="21"/>
                                      </w:rPr>
                                    </w:pPr>
                                    <w:r>
                                      <w:rPr>
                                        <w:rFonts w:hint="eastAsia"/>
                                        <w:sz w:val="21"/>
                                        <w:szCs w:val="21"/>
                                      </w:rPr>
                                      <w:t>8.208</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 name="文本框 98"/>
                              <wps:cNvSpPr txBox="1"/>
                              <wps:spPr>
                                <a:xfrm>
                                  <a:off x="1427480" y="42545"/>
                                  <a:ext cx="771525" cy="323850"/>
                                </a:xfrm>
                                <a:prstGeom prst="rect">
                                  <a:avLst/>
                                </a:prstGeom>
                                <a:solidFill>
                                  <a:srgbClr val="FFFFFF"/>
                                </a:solidFill>
                                <a:ln w="6350">
                                  <a:noFill/>
                                </a:ln>
                                <a:effectLst/>
                              </wps:spPr>
                              <wps:txbx>
                                <w:txbxContent>
                                  <w:p w14:paraId="7BD0487F">
                                    <w:pPr>
                                      <w:spacing w:line="240" w:lineRule="auto"/>
                                      <w:ind w:firstLine="0" w:firstLineChars="0"/>
                                      <w:jc w:val="center"/>
                                      <w:rPr>
                                        <w:sz w:val="21"/>
                                        <w:szCs w:val="21"/>
                                      </w:rPr>
                                    </w:pPr>
                                    <w:r>
                                      <w:rPr>
                                        <w:rFonts w:hint="eastAsia"/>
                                        <w:sz w:val="21"/>
                                        <w:szCs w:val="21"/>
                                      </w:rPr>
                                      <w:t>0.426</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 name="文本框 98"/>
                              <wps:cNvSpPr txBox="1"/>
                              <wps:spPr>
                                <a:xfrm>
                                  <a:off x="1427480" y="42545"/>
                                  <a:ext cx="771525" cy="323850"/>
                                </a:xfrm>
                                <a:prstGeom prst="rect">
                                  <a:avLst/>
                                </a:prstGeom>
                                <a:solidFill>
                                  <a:srgbClr val="FFFFFF"/>
                                </a:solidFill>
                                <a:ln w="6350">
                                  <a:noFill/>
                                </a:ln>
                                <a:effectLst/>
                              </wps:spPr>
                              <wps:txbx>
                                <w:txbxContent>
                                  <w:p w14:paraId="2A6B7C9A">
                                    <w:pPr>
                                      <w:spacing w:line="240" w:lineRule="auto"/>
                                      <w:ind w:firstLine="0" w:firstLineChars="0"/>
                                      <w:jc w:val="center"/>
                                      <w:rPr>
                                        <w:sz w:val="21"/>
                                        <w:szCs w:val="21"/>
                                      </w:rPr>
                                    </w:pPr>
                                    <w:r>
                                      <w:rPr>
                                        <w:rFonts w:hint="eastAsia"/>
                                        <w:sz w:val="21"/>
                                        <w:szCs w:val="21"/>
                                      </w:rPr>
                                      <w:t>0.426</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9" name="文本框 98"/>
                              <wps:cNvSpPr txBox="1"/>
                              <wps:spPr>
                                <a:xfrm>
                                  <a:off x="1427480" y="42545"/>
                                  <a:ext cx="771525" cy="323850"/>
                                </a:xfrm>
                                <a:prstGeom prst="rect">
                                  <a:avLst/>
                                </a:prstGeom>
                                <a:solidFill>
                                  <a:srgbClr val="FFFFFF"/>
                                </a:solidFill>
                                <a:ln w="6350">
                                  <a:noFill/>
                                </a:ln>
                                <a:effectLst/>
                              </wps:spPr>
                              <wps:txbx>
                                <w:txbxContent>
                                  <w:p w14:paraId="05FB020C">
                                    <w:pPr>
                                      <w:spacing w:line="240" w:lineRule="auto"/>
                                      <w:ind w:firstLine="0" w:firstLineChars="0"/>
                                      <w:jc w:val="center"/>
                                      <w:rPr>
                                        <w:sz w:val="21"/>
                                        <w:szCs w:val="21"/>
                                      </w:rPr>
                                    </w:pPr>
                                    <w:r>
                                      <w:rPr>
                                        <w:rFonts w:hint="eastAsia"/>
                                        <w:sz w:val="21"/>
                                        <w:szCs w:val="21"/>
                                      </w:rPr>
                                      <w:t>0.533</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0" name="文本框 98"/>
                              <wps:cNvSpPr txBox="1"/>
                              <wps:spPr>
                                <a:xfrm>
                                  <a:off x="1427480" y="42545"/>
                                  <a:ext cx="771525" cy="323850"/>
                                </a:xfrm>
                                <a:prstGeom prst="rect">
                                  <a:avLst/>
                                </a:prstGeom>
                                <a:solidFill>
                                  <a:srgbClr val="FFFFFF"/>
                                </a:solidFill>
                                <a:ln w="6350">
                                  <a:noFill/>
                                </a:ln>
                                <a:effectLst/>
                              </wps:spPr>
                              <wps:txbx>
                                <w:txbxContent>
                                  <w:p w14:paraId="6DDC50CD">
                                    <w:pPr>
                                      <w:spacing w:line="240" w:lineRule="auto"/>
                                      <w:ind w:firstLine="0" w:firstLineChars="0"/>
                                      <w:jc w:val="center"/>
                                      <w:rPr>
                                        <w:sz w:val="21"/>
                                        <w:szCs w:val="21"/>
                                      </w:rPr>
                                    </w:pPr>
                                    <w:r>
                                      <w:rPr>
                                        <w:rFonts w:hint="eastAsia"/>
                                        <w:sz w:val="21"/>
                                        <w:szCs w:val="21"/>
                                      </w:rPr>
                                      <w:t>0.12</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1" name="文本框 98"/>
                              <wps:cNvSpPr txBox="1"/>
                              <wps:spPr>
                                <a:xfrm>
                                  <a:off x="1427480" y="42545"/>
                                  <a:ext cx="771525" cy="323850"/>
                                </a:xfrm>
                                <a:prstGeom prst="rect">
                                  <a:avLst/>
                                </a:prstGeom>
                                <a:solidFill>
                                  <a:srgbClr val="FFFFFF"/>
                                </a:solidFill>
                                <a:ln w="6350">
                                  <a:noFill/>
                                </a:ln>
                                <a:effectLst/>
                              </wps:spPr>
                              <wps:txbx>
                                <w:txbxContent>
                                  <w:p w14:paraId="47979D96">
                                    <w:pPr>
                                      <w:spacing w:line="240" w:lineRule="auto"/>
                                      <w:ind w:firstLine="0" w:firstLineChars="0"/>
                                      <w:jc w:val="center"/>
                                      <w:rPr>
                                        <w:sz w:val="21"/>
                                        <w:szCs w:val="21"/>
                                      </w:rPr>
                                    </w:pPr>
                                    <w:r>
                                      <w:rPr>
                                        <w:rFonts w:hint="eastAsia"/>
                                        <w:sz w:val="21"/>
                                        <w:szCs w:val="21"/>
                                      </w:rPr>
                                      <w:t>0.12</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2" name="文本框 98"/>
                              <wps:cNvSpPr txBox="1"/>
                              <wps:spPr>
                                <a:xfrm>
                                  <a:off x="1427480" y="42545"/>
                                  <a:ext cx="771525" cy="323850"/>
                                </a:xfrm>
                                <a:prstGeom prst="rect">
                                  <a:avLst/>
                                </a:prstGeom>
                                <a:solidFill>
                                  <a:srgbClr val="FFFFFF"/>
                                </a:solidFill>
                                <a:ln w="6350">
                                  <a:noFill/>
                                </a:ln>
                                <a:effectLst/>
                              </wps:spPr>
                              <wps:txbx>
                                <w:txbxContent>
                                  <w:p w14:paraId="454B8F79">
                                    <w:pPr>
                                      <w:spacing w:line="240" w:lineRule="auto"/>
                                      <w:ind w:firstLine="0" w:firstLineChars="0"/>
                                      <w:jc w:val="center"/>
                                      <w:rPr>
                                        <w:sz w:val="21"/>
                                        <w:szCs w:val="21"/>
                                      </w:rPr>
                                    </w:pPr>
                                    <w:r>
                                      <w:rPr>
                                        <w:rFonts w:hint="eastAsia"/>
                                        <w:sz w:val="21"/>
                                        <w:szCs w:val="21"/>
                                      </w:rPr>
                                      <w:t>0.15</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3" name="文本框 98"/>
                              <wps:cNvSpPr txBox="1"/>
                              <wps:spPr>
                                <a:xfrm>
                                  <a:off x="1427480" y="42545"/>
                                  <a:ext cx="771525" cy="323850"/>
                                </a:xfrm>
                                <a:prstGeom prst="rect">
                                  <a:avLst/>
                                </a:prstGeom>
                                <a:solidFill>
                                  <a:srgbClr val="FFFFFF"/>
                                </a:solidFill>
                                <a:ln w="6350">
                                  <a:noFill/>
                                </a:ln>
                                <a:effectLst/>
                              </wps:spPr>
                              <wps:txbx>
                                <w:txbxContent>
                                  <w:p w14:paraId="656E53C7">
                                    <w:pPr>
                                      <w:spacing w:line="240" w:lineRule="auto"/>
                                      <w:ind w:firstLine="0" w:firstLineChars="0"/>
                                      <w:jc w:val="center"/>
                                      <w:rPr>
                                        <w:sz w:val="21"/>
                                        <w:szCs w:val="21"/>
                                      </w:rPr>
                                    </w:pPr>
                                    <w:r>
                                      <w:rPr>
                                        <w:rFonts w:hint="eastAsia"/>
                                        <w:sz w:val="21"/>
                                        <w:szCs w:val="21"/>
                                      </w:rPr>
                                      <w:t>0.24</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06" name="文本框 106"/>
                              <wps:cNvSpPr txBox="1"/>
                              <wps:spPr>
                                <a:xfrm>
                                  <a:off x="1417955" y="1547495"/>
                                  <a:ext cx="771525" cy="323850"/>
                                </a:xfrm>
                                <a:prstGeom prst="rect">
                                  <a:avLst/>
                                </a:prstGeom>
                                <a:solidFill>
                                  <a:srgbClr val="FFFFFF"/>
                                </a:solidFill>
                                <a:ln w="6350">
                                  <a:noFill/>
                                </a:ln>
                                <a:effectLst/>
                              </wps:spPr>
                              <wps:txbx>
                                <w:txbxContent>
                                  <w:p w14:paraId="3D2288EC">
                                    <w:pPr>
                                      <w:spacing w:line="240" w:lineRule="auto"/>
                                      <w:ind w:firstLine="0" w:firstLineChars="0"/>
                                      <w:rPr>
                                        <w:sz w:val="21"/>
                                        <w:szCs w:val="21"/>
                                      </w:rPr>
                                    </w:pPr>
                                    <w:r>
                                      <w:rPr>
                                        <w:rFonts w:hint="eastAsia"/>
                                        <w:sz w:val="21"/>
                                        <w:szCs w:val="21"/>
                                      </w:rPr>
                                      <w:t>耗0.107</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15" name="文本框 115"/>
                              <wps:cNvSpPr txBox="1"/>
                              <wps:spPr>
                                <a:xfrm>
                                  <a:off x="1398905" y="2966720"/>
                                  <a:ext cx="771525" cy="323850"/>
                                </a:xfrm>
                                <a:prstGeom prst="rect">
                                  <a:avLst/>
                                </a:prstGeom>
                                <a:solidFill>
                                  <a:srgbClr val="FFFFFF"/>
                                </a:solidFill>
                                <a:ln w="6350">
                                  <a:noFill/>
                                </a:ln>
                                <a:effectLst/>
                              </wps:spPr>
                              <wps:txbx>
                                <w:txbxContent>
                                  <w:p w14:paraId="40D7E244">
                                    <w:pPr>
                                      <w:spacing w:line="240" w:lineRule="auto"/>
                                      <w:ind w:firstLine="0" w:firstLineChars="0"/>
                                      <w:rPr>
                                        <w:sz w:val="21"/>
                                        <w:szCs w:val="21"/>
                                      </w:rPr>
                                    </w:pPr>
                                    <w:r>
                                      <w:rPr>
                                        <w:rFonts w:hint="eastAsia"/>
                                        <w:sz w:val="21"/>
                                        <w:szCs w:val="21"/>
                                      </w:rPr>
                                      <w:t>耗2.49</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12" name="文本框 112"/>
                              <wps:cNvSpPr txBox="1"/>
                              <wps:spPr>
                                <a:xfrm>
                                  <a:off x="1370330" y="2290445"/>
                                  <a:ext cx="771525" cy="323850"/>
                                </a:xfrm>
                                <a:prstGeom prst="rect">
                                  <a:avLst/>
                                </a:prstGeom>
                                <a:solidFill>
                                  <a:srgbClr val="FFFFFF"/>
                                </a:solidFill>
                                <a:ln w="6350">
                                  <a:noFill/>
                                </a:ln>
                                <a:effectLst/>
                              </wps:spPr>
                              <wps:txbx>
                                <w:txbxContent>
                                  <w:p w14:paraId="6DAA8065">
                                    <w:pPr>
                                      <w:spacing w:line="240" w:lineRule="auto"/>
                                      <w:ind w:firstLine="0" w:firstLineChars="0"/>
                                      <w:rPr>
                                        <w:sz w:val="21"/>
                                        <w:szCs w:val="21"/>
                                      </w:rPr>
                                    </w:pPr>
                                    <w:r>
                                      <w:rPr>
                                        <w:rFonts w:hint="eastAsia"/>
                                        <w:sz w:val="21"/>
                                        <w:szCs w:val="21"/>
                                      </w:rPr>
                                      <w:t>耗8.206</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02" name="文本框 102"/>
                              <wps:cNvSpPr txBox="1"/>
                              <wps:spPr>
                                <a:xfrm>
                                  <a:off x="2284730" y="-681355"/>
                                  <a:ext cx="628650" cy="323850"/>
                                </a:xfrm>
                                <a:prstGeom prst="rect">
                                  <a:avLst/>
                                </a:prstGeom>
                                <a:solidFill>
                                  <a:srgbClr val="FFFFFF"/>
                                </a:solidFill>
                                <a:ln w="6350">
                                  <a:noFill/>
                                </a:ln>
                                <a:effectLst/>
                              </wps:spPr>
                              <wps:txbx>
                                <w:txbxContent>
                                  <w:p w14:paraId="6B279B02">
                                    <w:pPr>
                                      <w:spacing w:line="240" w:lineRule="auto"/>
                                      <w:ind w:firstLine="0" w:firstLineChars="0"/>
                                      <w:rPr>
                                        <w:sz w:val="21"/>
                                        <w:szCs w:val="21"/>
                                      </w:rPr>
                                    </w:pPr>
                                    <w:r>
                                      <w:rPr>
                                        <w:rFonts w:hint="eastAsia"/>
                                        <w:sz w:val="21"/>
                                        <w:szCs w:val="21"/>
                                      </w:rPr>
                                      <w:t>2.16</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00" name="文本框 100"/>
                              <wps:cNvSpPr txBox="1"/>
                              <wps:spPr>
                                <a:xfrm>
                                  <a:off x="2132330" y="-271780"/>
                                  <a:ext cx="771525" cy="323850"/>
                                </a:xfrm>
                                <a:prstGeom prst="rect">
                                  <a:avLst/>
                                </a:prstGeom>
                                <a:solidFill>
                                  <a:srgbClr val="FFFFFF"/>
                                </a:solidFill>
                                <a:ln w="6350">
                                  <a:noFill/>
                                </a:ln>
                                <a:effectLst/>
                              </wps:spPr>
                              <wps:txbx>
                                <w:txbxContent>
                                  <w:p w14:paraId="7634BF92">
                                    <w:pPr>
                                      <w:spacing w:line="240" w:lineRule="auto"/>
                                      <w:ind w:firstLine="0" w:firstLineChars="0"/>
                                      <w:rPr>
                                        <w:sz w:val="21"/>
                                        <w:szCs w:val="21"/>
                                      </w:rPr>
                                    </w:pPr>
                                    <w:r>
                                      <w:rPr>
                                        <w:rFonts w:hint="eastAsia"/>
                                        <w:sz w:val="21"/>
                                        <w:szCs w:val="21"/>
                                      </w:rPr>
                                      <w:t>循环2.16</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4" name="文本框 98"/>
                              <wps:cNvSpPr txBox="1"/>
                              <wps:spPr>
                                <a:xfrm>
                                  <a:off x="1427480" y="42545"/>
                                  <a:ext cx="771525" cy="323850"/>
                                </a:xfrm>
                                <a:prstGeom prst="rect">
                                  <a:avLst/>
                                </a:prstGeom>
                                <a:solidFill>
                                  <a:srgbClr val="FFFFFF"/>
                                </a:solidFill>
                                <a:ln w="6350">
                                  <a:noFill/>
                                </a:ln>
                                <a:effectLst/>
                              </wps:spPr>
                              <wps:txbx>
                                <w:txbxContent>
                                  <w:p w14:paraId="0154277F">
                                    <w:pPr>
                                      <w:spacing w:line="240" w:lineRule="auto"/>
                                      <w:ind w:firstLine="0" w:firstLineChars="0"/>
                                      <w:rPr>
                                        <w:sz w:val="21"/>
                                        <w:szCs w:val="21"/>
                                      </w:rPr>
                                    </w:pPr>
                                    <w:r>
                                      <w:rPr>
                                        <w:rFonts w:hint="eastAsia"/>
                                        <w:sz w:val="21"/>
                                        <w:szCs w:val="21"/>
                                      </w:rPr>
                                      <w:t>耗0.24</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90" name="文本框 90"/>
                              <wps:cNvSpPr txBox="1"/>
                              <wps:spPr>
                                <a:xfrm>
                                  <a:off x="97155" y="972185"/>
                                  <a:ext cx="305435" cy="523875"/>
                                </a:xfrm>
                                <a:prstGeom prst="rect">
                                  <a:avLst/>
                                </a:prstGeom>
                                <a:solidFill>
                                  <a:srgbClr val="FFFFFF"/>
                                </a:solidFill>
                                <a:ln w="6350">
                                  <a:solidFill>
                                    <a:prstClr val="black"/>
                                  </a:solidFill>
                                </a:ln>
                                <a:effectLst/>
                              </wps:spPr>
                              <wps:txbx>
                                <w:txbxContent>
                                  <w:p w14:paraId="282D36B3">
                                    <w:pPr>
                                      <w:spacing w:line="240" w:lineRule="auto"/>
                                      <w:ind w:firstLine="0" w:firstLineChars="0"/>
                                    </w:pPr>
                                    <w:r>
                                      <w:rPr>
                                        <w:rFonts w:hint="eastAsia"/>
                                      </w:rPr>
                                      <w:t>供水</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94" name="文本框 94"/>
                              <wps:cNvSpPr txBox="1"/>
                              <wps:spPr>
                                <a:xfrm>
                                  <a:off x="1313180" y="509270"/>
                                  <a:ext cx="771525" cy="266700"/>
                                </a:xfrm>
                                <a:prstGeom prst="rect">
                                  <a:avLst/>
                                </a:prstGeom>
                                <a:solidFill>
                                  <a:srgbClr val="FFFFFF"/>
                                </a:solidFill>
                                <a:ln w="6350">
                                  <a:solidFill>
                                    <a:prstClr val="black"/>
                                  </a:solidFill>
                                </a:ln>
                                <a:effectLst/>
                              </wps:spPr>
                              <wps:txbx>
                                <w:txbxContent>
                                  <w:p w14:paraId="7590881B">
                                    <w:pPr>
                                      <w:spacing w:line="240" w:lineRule="auto"/>
                                      <w:ind w:firstLine="0" w:firstLineChars="0"/>
                                      <w:jc w:val="center"/>
                                      <w:rPr>
                                        <w:sz w:val="21"/>
                                        <w:szCs w:val="21"/>
                                      </w:rPr>
                                    </w:pPr>
                                    <w:r>
                                      <w:rPr>
                                        <w:rFonts w:hint="eastAsia"/>
                                        <w:sz w:val="21"/>
                                        <w:szCs w:val="21"/>
                                      </w:rPr>
                                      <w:t>车辆清洗</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5" name="自选图形 61"/>
                              <wps:cNvSpPr/>
                              <wps:spPr>
                                <a:xfrm>
                                  <a:off x="1370330" y="323850"/>
                                  <a:ext cx="200025" cy="190500"/>
                                </a:xfrm>
                                <a:custGeom>
                                  <a:avLst/>
                                  <a:gdLst/>
                                  <a:ahLst/>
                                  <a:cxnLst>
                                    <a:cxn ang="0">
                                      <a:pos x="0" y="190500"/>
                                    </a:cxn>
                                    <a:cxn ang="0">
                                      <a:pos x="200025" y="0"/>
                                    </a:cxn>
                                  </a:cxnLst>
                                  <a:pathLst>
                                    <a:path w="200025" h="200025">
                                      <a:moveTo>
                                        <a:pt x="0" y="200025"/>
                                      </a:moveTo>
                                      <a:lnTo>
                                        <a:pt x="200025" y="0"/>
                                      </a:lnTo>
                                    </a:path>
                                  </a:pathLst>
                                </a:custGeom>
                                <a:noFill/>
                                <a:ln w="3175" cap="flat" cmpd="sng">
                                  <a:solidFill>
                                    <a:srgbClr val="000000"/>
                                  </a:solidFill>
                                  <a:prstDash val="solid"/>
                                  <a:round/>
                                  <a:headEnd type="none" w="med" len="med"/>
                                  <a:tailEnd type="triangle" w="med" len="med"/>
                                </a:ln>
                              </wps:spPr>
                              <wps:bodyPr upright="1"/>
                            </wps:wsp>
                            <wps:wsp>
                              <wps:cNvPr id="103" name="文本框 103"/>
                              <wps:cNvSpPr txBox="1"/>
                              <wps:spPr>
                                <a:xfrm>
                                  <a:off x="1417955" y="804545"/>
                                  <a:ext cx="771525" cy="323850"/>
                                </a:xfrm>
                                <a:prstGeom prst="rect">
                                  <a:avLst/>
                                </a:prstGeom>
                                <a:solidFill>
                                  <a:srgbClr val="FFFFFF"/>
                                </a:solidFill>
                                <a:ln w="6350">
                                  <a:noFill/>
                                </a:ln>
                                <a:effectLst/>
                              </wps:spPr>
                              <wps:txbx>
                                <w:txbxContent>
                                  <w:p w14:paraId="02BD5611">
                                    <w:pPr>
                                      <w:spacing w:line="240" w:lineRule="auto"/>
                                      <w:ind w:firstLine="0" w:firstLineChars="0"/>
                                      <w:rPr>
                                        <w:sz w:val="21"/>
                                        <w:szCs w:val="21"/>
                                      </w:rPr>
                                    </w:pPr>
                                    <w:r>
                                      <w:rPr>
                                        <w:rFonts w:hint="eastAsia"/>
                                        <w:sz w:val="21"/>
                                        <w:szCs w:val="21"/>
                                      </w:rPr>
                                      <w:t>耗0.03</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04" name="文本框 104"/>
                              <wps:cNvSpPr txBox="1"/>
                              <wps:spPr>
                                <a:xfrm>
                                  <a:off x="1303655" y="1271270"/>
                                  <a:ext cx="771525" cy="266700"/>
                                </a:xfrm>
                                <a:prstGeom prst="rect">
                                  <a:avLst/>
                                </a:prstGeom>
                                <a:solidFill>
                                  <a:srgbClr val="FFFFFF"/>
                                </a:solidFill>
                                <a:ln w="6350">
                                  <a:solidFill>
                                    <a:prstClr val="black"/>
                                  </a:solidFill>
                                </a:ln>
                                <a:effectLst/>
                              </wps:spPr>
                              <wps:txbx>
                                <w:txbxContent>
                                  <w:p w14:paraId="15019E9E">
                                    <w:pPr>
                                      <w:spacing w:line="240" w:lineRule="auto"/>
                                      <w:ind w:firstLine="0" w:firstLineChars="0"/>
                                      <w:jc w:val="center"/>
                                      <w:rPr>
                                        <w:sz w:val="21"/>
                                        <w:szCs w:val="21"/>
                                      </w:rPr>
                                    </w:pPr>
                                    <w:r>
                                      <w:rPr>
                                        <w:rFonts w:hint="eastAsia"/>
                                        <w:sz w:val="21"/>
                                        <w:szCs w:val="21"/>
                                      </w:rPr>
                                      <w:t>厨房用水</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8" name="自选图形 57"/>
                              <wps:cNvSpPr/>
                              <wps:spPr>
                                <a:xfrm>
                                  <a:off x="1351280" y="1085850"/>
                                  <a:ext cx="190500" cy="190500"/>
                                </a:xfrm>
                                <a:custGeom>
                                  <a:avLst/>
                                  <a:gdLst/>
                                  <a:ahLst/>
                                  <a:cxnLst>
                                    <a:cxn ang="0">
                                      <a:pos x="0" y="190500"/>
                                    </a:cxn>
                                    <a:cxn ang="0">
                                      <a:pos x="190500" y="0"/>
                                    </a:cxn>
                                  </a:cxnLst>
                                  <a:pathLst>
                                    <a:path w="200025" h="200025">
                                      <a:moveTo>
                                        <a:pt x="0" y="200025"/>
                                      </a:moveTo>
                                      <a:lnTo>
                                        <a:pt x="200025" y="0"/>
                                      </a:lnTo>
                                    </a:path>
                                  </a:pathLst>
                                </a:custGeom>
                                <a:noFill/>
                                <a:ln w="3175" cap="flat" cmpd="sng">
                                  <a:solidFill>
                                    <a:srgbClr val="000000"/>
                                  </a:solidFill>
                                  <a:prstDash val="solid"/>
                                  <a:round/>
                                  <a:headEnd type="none" w="med" len="med"/>
                                  <a:tailEnd type="triangle" w="med" len="med"/>
                                </a:ln>
                              </wps:spPr>
                              <wps:bodyPr upright="1"/>
                            </wps:wsp>
                            <wps:wsp>
                              <wps:cNvPr id="107" name="文本框 107"/>
                              <wps:cNvSpPr txBox="1"/>
                              <wps:spPr>
                                <a:xfrm>
                                  <a:off x="1303655" y="2014220"/>
                                  <a:ext cx="771525" cy="266700"/>
                                </a:xfrm>
                                <a:prstGeom prst="rect">
                                  <a:avLst/>
                                </a:prstGeom>
                                <a:solidFill>
                                  <a:srgbClr val="FFFFFF"/>
                                </a:solidFill>
                                <a:ln w="6350">
                                  <a:solidFill>
                                    <a:prstClr val="black"/>
                                  </a:solidFill>
                                </a:ln>
                                <a:effectLst/>
                              </wps:spPr>
                              <wps:txbx>
                                <w:txbxContent>
                                  <w:p w14:paraId="495E9B62">
                                    <w:pPr>
                                      <w:spacing w:line="240" w:lineRule="auto"/>
                                      <w:ind w:firstLine="0" w:firstLineChars="0"/>
                                      <w:jc w:val="center"/>
                                      <w:rPr>
                                        <w:sz w:val="21"/>
                                        <w:szCs w:val="21"/>
                                      </w:rPr>
                                    </w:pPr>
                                    <w:r>
                                      <w:rPr>
                                        <w:rFonts w:hint="eastAsia"/>
                                        <w:sz w:val="21"/>
                                        <w:szCs w:val="21"/>
                                      </w:rPr>
                                      <w:t>其他生活用水</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1" name="自选图形 54"/>
                              <wps:cNvSpPr/>
                              <wps:spPr>
                                <a:xfrm>
                                  <a:off x="1351280" y="1828800"/>
                                  <a:ext cx="190500" cy="190500"/>
                                </a:xfrm>
                                <a:custGeom>
                                  <a:avLst/>
                                  <a:gdLst/>
                                  <a:ahLst/>
                                  <a:cxnLst>
                                    <a:cxn ang="0">
                                      <a:pos x="0" y="190500"/>
                                    </a:cxn>
                                    <a:cxn ang="0">
                                      <a:pos x="190500" y="0"/>
                                    </a:cxn>
                                  </a:cxnLst>
                                  <a:pathLst>
                                    <a:path w="200025" h="200025">
                                      <a:moveTo>
                                        <a:pt x="0" y="200025"/>
                                      </a:moveTo>
                                      <a:lnTo>
                                        <a:pt x="200025" y="0"/>
                                      </a:lnTo>
                                    </a:path>
                                  </a:pathLst>
                                </a:custGeom>
                                <a:noFill/>
                                <a:ln w="3175" cap="flat" cmpd="sng">
                                  <a:solidFill>
                                    <a:srgbClr val="000000"/>
                                  </a:solidFill>
                                  <a:prstDash val="solid"/>
                                  <a:round/>
                                  <a:headEnd type="none" w="med" len="med"/>
                                  <a:tailEnd type="triangle" w="med" len="med"/>
                                </a:ln>
                              </wps:spPr>
                              <wps:bodyPr upright="1"/>
                            </wps:wsp>
                            <wps:wsp>
                              <wps:cNvPr id="109" name="文本框 109"/>
                              <wps:cNvSpPr txBox="1"/>
                              <wps:spPr>
                                <a:xfrm>
                                  <a:off x="2485390" y="1280795"/>
                                  <a:ext cx="894715" cy="266700"/>
                                </a:xfrm>
                                <a:prstGeom prst="rect">
                                  <a:avLst/>
                                </a:prstGeom>
                                <a:solidFill>
                                  <a:srgbClr val="FFFFFF"/>
                                </a:solidFill>
                                <a:ln w="6350">
                                  <a:solidFill>
                                    <a:prstClr val="black"/>
                                  </a:solidFill>
                                </a:ln>
                                <a:effectLst/>
                              </wps:spPr>
                              <wps:txbx>
                                <w:txbxContent>
                                  <w:p w14:paraId="223B9781">
                                    <w:pPr>
                                      <w:spacing w:line="240" w:lineRule="auto"/>
                                      <w:ind w:firstLine="0" w:firstLineChars="0"/>
                                      <w:jc w:val="center"/>
                                      <w:rPr>
                                        <w:sz w:val="21"/>
                                        <w:szCs w:val="21"/>
                                      </w:rPr>
                                    </w:pPr>
                                    <w:r>
                                      <w:rPr>
                                        <w:rFonts w:hint="eastAsia"/>
                                        <w:sz w:val="21"/>
                                        <w:szCs w:val="21"/>
                                      </w:rPr>
                                      <w:t>油水分离器</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10" name="文本框 110"/>
                              <wps:cNvSpPr txBox="1"/>
                              <wps:spPr>
                                <a:xfrm>
                                  <a:off x="2607945" y="2004695"/>
                                  <a:ext cx="600075" cy="266700"/>
                                </a:xfrm>
                                <a:prstGeom prst="rect">
                                  <a:avLst/>
                                </a:prstGeom>
                                <a:solidFill>
                                  <a:srgbClr val="FFFFFF"/>
                                </a:solidFill>
                                <a:ln w="6350">
                                  <a:solidFill>
                                    <a:prstClr val="black"/>
                                  </a:solidFill>
                                </a:ln>
                                <a:effectLst/>
                              </wps:spPr>
                              <wps:txbx>
                                <w:txbxContent>
                                  <w:p w14:paraId="64D19783">
                                    <w:pPr>
                                      <w:spacing w:line="240" w:lineRule="auto"/>
                                      <w:ind w:firstLine="0" w:firstLineChars="0"/>
                                      <w:rPr>
                                        <w:sz w:val="21"/>
                                        <w:szCs w:val="21"/>
                                      </w:rPr>
                                    </w:pPr>
                                    <w:r>
                                      <w:rPr>
                                        <w:rFonts w:hint="eastAsia"/>
                                        <w:sz w:val="21"/>
                                        <w:szCs w:val="21"/>
                                      </w:rPr>
                                      <w:t>化粪池</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11" name="文本框 111"/>
                              <wps:cNvSpPr txBox="1"/>
                              <wps:spPr>
                                <a:xfrm>
                                  <a:off x="3695065" y="2004695"/>
                                  <a:ext cx="1389380" cy="266700"/>
                                </a:xfrm>
                                <a:prstGeom prst="rect">
                                  <a:avLst/>
                                </a:prstGeom>
                                <a:solidFill>
                                  <a:srgbClr val="FFFFFF"/>
                                </a:solidFill>
                                <a:ln w="6350">
                                  <a:solidFill>
                                    <a:prstClr val="black"/>
                                  </a:solidFill>
                                </a:ln>
                                <a:effectLst/>
                              </wps:spPr>
                              <wps:txbx>
                                <w:txbxContent>
                                  <w:p w14:paraId="4271DB33">
                                    <w:pPr>
                                      <w:spacing w:line="240" w:lineRule="auto"/>
                                      <w:ind w:firstLine="0" w:firstLineChars="0"/>
                                      <w:rPr>
                                        <w:sz w:val="21"/>
                                        <w:szCs w:val="21"/>
                                      </w:rPr>
                                    </w:pPr>
                                    <w:r>
                                      <w:rPr>
                                        <w:rFonts w:hint="eastAsia"/>
                                        <w:sz w:val="21"/>
                                        <w:szCs w:val="21"/>
                                      </w:rPr>
                                      <w:t>一体化污水处理设备</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13" name="文本框 113"/>
                              <wps:cNvSpPr txBox="1"/>
                              <wps:spPr>
                                <a:xfrm>
                                  <a:off x="1256030" y="2719070"/>
                                  <a:ext cx="771525" cy="266700"/>
                                </a:xfrm>
                                <a:prstGeom prst="rect">
                                  <a:avLst/>
                                </a:prstGeom>
                                <a:solidFill>
                                  <a:srgbClr val="FFFFFF"/>
                                </a:solidFill>
                                <a:ln w="6350">
                                  <a:solidFill>
                                    <a:prstClr val="black"/>
                                  </a:solidFill>
                                </a:ln>
                                <a:effectLst/>
                              </wps:spPr>
                              <wps:txbx>
                                <w:txbxContent>
                                  <w:p w14:paraId="0BC54F71">
                                    <w:pPr>
                                      <w:spacing w:line="240" w:lineRule="auto"/>
                                      <w:ind w:firstLine="0" w:firstLineChars="0"/>
                                      <w:jc w:val="center"/>
                                      <w:rPr>
                                        <w:sz w:val="21"/>
                                        <w:szCs w:val="21"/>
                                      </w:rPr>
                                    </w:pPr>
                                    <w:r>
                                      <w:rPr>
                                        <w:rFonts w:hint="eastAsia"/>
                                        <w:sz w:val="21"/>
                                        <w:szCs w:val="21"/>
                                      </w:rPr>
                                      <w:t>降尘用水</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3" name="自选图形 49"/>
                              <wps:cNvSpPr/>
                              <wps:spPr>
                                <a:xfrm>
                                  <a:off x="1370330" y="2475230"/>
                                  <a:ext cx="190500" cy="190500"/>
                                </a:xfrm>
                                <a:custGeom>
                                  <a:avLst/>
                                  <a:gdLst/>
                                  <a:ahLst/>
                                  <a:cxnLst>
                                    <a:cxn ang="0">
                                      <a:pos x="0" y="190500"/>
                                    </a:cxn>
                                    <a:cxn ang="0">
                                      <a:pos x="190500" y="0"/>
                                    </a:cxn>
                                  </a:cxnLst>
                                  <a:pathLst>
                                    <a:path w="200025" h="200025">
                                      <a:moveTo>
                                        <a:pt x="0" y="200025"/>
                                      </a:moveTo>
                                      <a:lnTo>
                                        <a:pt x="200025" y="0"/>
                                      </a:lnTo>
                                    </a:path>
                                  </a:pathLst>
                                </a:custGeom>
                                <a:noFill/>
                                <a:ln w="3175" cap="flat" cmpd="sng">
                                  <a:solidFill>
                                    <a:srgbClr val="000000"/>
                                  </a:solidFill>
                                  <a:prstDash val="solid"/>
                                  <a:round/>
                                  <a:headEnd type="none" w="med" len="med"/>
                                  <a:tailEnd type="triangle" w="med" len="med"/>
                                </a:ln>
                              </wps:spPr>
                              <wps:bodyPr upright="1"/>
                            </wps:wsp>
                            <wps:wsp>
                              <wps:cNvPr id="116" name="文本框 116"/>
                              <wps:cNvSpPr txBox="1"/>
                              <wps:spPr>
                                <a:xfrm>
                                  <a:off x="1284605" y="3433445"/>
                                  <a:ext cx="771525" cy="266700"/>
                                </a:xfrm>
                                <a:prstGeom prst="rect">
                                  <a:avLst/>
                                </a:prstGeom>
                                <a:solidFill>
                                  <a:srgbClr val="FFFFFF"/>
                                </a:solidFill>
                                <a:ln w="6350">
                                  <a:solidFill>
                                    <a:prstClr val="black"/>
                                  </a:solidFill>
                                </a:ln>
                                <a:effectLst/>
                              </wps:spPr>
                              <wps:txbx>
                                <w:txbxContent>
                                  <w:p w14:paraId="029911B3">
                                    <w:pPr>
                                      <w:spacing w:line="240" w:lineRule="auto"/>
                                      <w:ind w:firstLine="0" w:firstLineChars="0"/>
                                      <w:jc w:val="center"/>
                                      <w:rPr>
                                        <w:sz w:val="21"/>
                                        <w:szCs w:val="21"/>
                                      </w:rPr>
                                    </w:pPr>
                                    <w:r>
                                      <w:rPr>
                                        <w:rFonts w:hint="eastAsia"/>
                                        <w:sz w:val="21"/>
                                        <w:szCs w:val="21"/>
                                      </w:rPr>
                                      <w:t>绿化用水</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4" name="自选图形 47"/>
                              <wps:cNvSpPr/>
                              <wps:spPr>
                                <a:xfrm>
                                  <a:off x="1379855" y="3128645"/>
                                  <a:ext cx="209550" cy="180975"/>
                                </a:xfrm>
                                <a:custGeom>
                                  <a:avLst/>
                                  <a:gdLst/>
                                  <a:ahLst/>
                                  <a:cxnLst>
                                    <a:cxn ang="0">
                                      <a:pos x="0" y="180975"/>
                                    </a:cxn>
                                    <a:cxn ang="0">
                                      <a:pos x="209550" y="0"/>
                                    </a:cxn>
                                  </a:cxnLst>
                                  <a:pathLst>
                                    <a:path w="200025" h="200025">
                                      <a:moveTo>
                                        <a:pt x="0" y="200025"/>
                                      </a:moveTo>
                                      <a:lnTo>
                                        <a:pt x="200025" y="0"/>
                                      </a:lnTo>
                                    </a:path>
                                  </a:pathLst>
                                </a:custGeom>
                                <a:noFill/>
                                <a:ln w="3175" cap="flat" cmpd="sng">
                                  <a:solidFill>
                                    <a:srgbClr val="000000"/>
                                  </a:solidFill>
                                  <a:prstDash val="solid"/>
                                  <a:round/>
                                  <a:headEnd type="none" w="med" len="med"/>
                                  <a:tailEnd type="triangle" w="med" len="med"/>
                                </a:ln>
                              </wps:spPr>
                              <wps:bodyPr upright="1"/>
                            </wps:wsp>
                            <wps:wsp>
                              <wps:cNvPr id="25" name="自选图形 82"/>
                              <wps:cNvCnPr/>
                              <wps:spPr>
                                <a:xfrm flipV="1">
                                  <a:off x="402590" y="642620"/>
                                  <a:ext cx="923290" cy="1100455"/>
                                </a:xfrm>
                                <a:prstGeom prst="bentConnector3">
                                  <a:avLst>
                                    <a:gd name="adj1" fmla="val 49931"/>
                                  </a:avLst>
                                </a:prstGeom>
                                <a:ln w="9525" cap="flat" cmpd="sng">
                                  <a:solidFill>
                                    <a:srgbClr val="000000"/>
                                  </a:solidFill>
                                  <a:prstDash val="solid"/>
                                  <a:miter/>
                                  <a:headEnd type="none" w="med" len="med"/>
                                  <a:tailEnd type="triangle" w="med" len="med"/>
                                </a:ln>
                              </wps:spPr>
                              <wps:bodyPr/>
                            </wps:wsp>
                            <wps:wsp>
                              <wps:cNvPr id="26" name="自选图形 83"/>
                              <wps:cNvCnPr/>
                              <wps:spPr>
                                <a:xfrm flipV="1">
                                  <a:off x="402590" y="1414145"/>
                                  <a:ext cx="923290" cy="328930"/>
                                </a:xfrm>
                                <a:prstGeom prst="bentConnector3">
                                  <a:avLst>
                                    <a:gd name="adj1" fmla="val 49931"/>
                                  </a:avLst>
                                </a:prstGeom>
                                <a:ln w="9525" cap="flat" cmpd="sng">
                                  <a:solidFill>
                                    <a:srgbClr val="000000"/>
                                  </a:solidFill>
                                  <a:prstDash val="solid"/>
                                  <a:miter/>
                                  <a:headEnd type="none" w="med" len="med"/>
                                  <a:tailEnd type="triangle" w="med" len="med"/>
                                </a:ln>
                              </wps:spPr>
                              <wps:bodyPr/>
                            </wps:wsp>
                            <wps:wsp>
                              <wps:cNvPr id="27" name="自选图形 84"/>
                              <wps:cNvCnPr/>
                              <wps:spPr>
                                <a:xfrm>
                                  <a:off x="402590" y="1743075"/>
                                  <a:ext cx="923290" cy="394970"/>
                                </a:xfrm>
                                <a:prstGeom prst="bentConnector3">
                                  <a:avLst>
                                    <a:gd name="adj1" fmla="val 49931"/>
                                  </a:avLst>
                                </a:prstGeom>
                                <a:ln w="9525" cap="flat" cmpd="sng">
                                  <a:solidFill>
                                    <a:srgbClr val="000000"/>
                                  </a:solidFill>
                                  <a:prstDash val="solid"/>
                                  <a:miter/>
                                  <a:headEnd type="none" w="med" len="med"/>
                                  <a:tailEnd type="triangle" w="med" len="med"/>
                                </a:ln>
                              </wps:spPr>
                              <wps:bodyPr/>
                            </wps:wsp>
                            <wps:wsp>
                              <wps:cNvPr id="28" name="自选图形 85"/>
                              <wps:cNvCnPr/>
                              <wps:spPr>
                                <a:xfrm>
                                  <a:off x="2381885" y="2138045"/>
                                  <a:ext cx="464820" cy="1"/>
                                </a:xfrm>
                                <a:prstGeom prst="straightConnector1">
                                  <a:avLst/>
                                </a:prstGeom>
                                <a:ln w="9525" cap="flat" cmpd="sng">
                                  <a:solidFill>
                                    <a:srgbClr val="000000"/>
                                  </a:solidFill>
                                  <a:prstDash val="solid"/>
                                  <a:headEnd type="none" w="med" len="med"/>
                                  <a:tailEnd type="triangle" w="med" len="med"/>
                                </a:ln>
                              </wps:spPr>
                              <wps:bodyPr/>
                            </wps:wsp>
                            <wps:wsp>
                              <wps:cNvPr id="29" name="自选图形 86"/>
                              <wps:cNvCnPr/>
                              <wps:spPr>
                                <a:xfrm flipV="1">
                                  <a:off x="2097405" y="1409700"/>
                                  <a:ext cx="454660" cy="4445"/>
                                </a:xfrm>
                                <a:prstGeom prst="straightConnector1">
                                  <a:avLst/>
                                </a:prstGeom>
                                <a:ln w="9525" cap="flat" cmpd="sng">
                                  <a:solidFill>
                                    <a:srgbClr val="000000"/>
                                  </a:solidFill>
                                  <a:prstDash val="solid"/>
                                  <a:headEnd type="none" w="med" len="med"/>
                                  <a:tailEnd type="triangle" w="med" len="med"/>
                                </a:ln>
                              </wps:spPr>
                              <wps:bodyPr/>
                            </wps:wsp>
                            <wps:wsp>
                              <wps:cNvPr id="30" name="自选图形 87"/>
                              <wps:cNvCnPr/>
                              <wps:spPr>
                                <a:xfrm>
                                  <a:off x="3446780" y="1409700"/>
                                  <a:ext cx="1030605" cy="461645"/>
                                </a:xfrm>
                                <a:prstGeom prst="bentConnector2">
                                  <a:avLst/>
                                </a:prstGeom>
                                <a:ln w="9525" cap="flat" cmpd="sng">
                                  <a:solidFill>
                                    <a:srgbClr val="000000"/>
                                  </a:solidFill>
                                  <a:prstDash val="solid"/>
                                  <a:miter/>
                                  <a:headEnd type="none" w="med" len="med"/>
                                  <a:tailEnd type="triangle" w="med" len="med"/>
                                </a:ln>
                              </wps:spPr>
                              <wps:bodyPr/>
                            </wps:wsp>
                            <wps:wsp>
                              <wps:cNvPr id="31" name="自选图形 89"/>
                              <wps:cNvCnPr/>
                              <wps:spPr>
                                <a:xfrm>
                                  <a:off x="3446780" y="2138045"/>
                                  <a:ext cx="573405" cy="5715"/>
                                </a:xfrm>
                                <a:prstGeom prst="straightConnector1">
                                  <a:avLst/>
                                </a:prstGeom>
                                <a:ln w="9525" cap="flat" cmpd="sng">
                                  <a:solidFill>
                                    <a:srgbClr val="000000"/>
                                  </a:solidFill>
                                  <a:prstDash val="solid"/>
                                  <a:headEnd type="none" w="med" len="med"/>
                                  <a:tailEnd type="triangle" w="med" len="med"/>
                                </a:ln>
                              </wps:spPr>
                              <wps:bodyPr/>
                            </wps:wsp>
                            <wps:wsp>
                              <wps:cNvPr id="92" name="文本框 92"/>
                              <wps:cNvSpPr txBox="1"/>
                              <wps:spPr>
                                <a:xfrm>
                                  <a:off x="2846705" y="-528955"/>
                                  <a:ext cx="923925" cy="266700"/>
                                </a:xfrm>
                                <a:prstGeom prst="rect">
                                  <a:avLst/>
                                </a:prstGeom>
                                <a:solidFill>
                                  <a:srgbClr val="FFFFFF"/>
                                </a:solidFill>
                                <a:ln w="6350">
                                  <a:solidFill>
                                    <a:prstClr val="black"/>
                                  </a:solidFill>
                                </a:ln>
                                <a:effectLst/>
                              </wps:spPr>
                              <wps:txbx>
                                <w:txbxContent>
                                  <w:p w14:paraId="7417F805">
                                    <w:pPr>
                                      <w:spacing w:line="240" w:lineRule="auto"/>
                                      <w:ind w:firstLine="0" w:firstLineChars="0"/>
                                      <w:jc w:val="center"/>
                                      <w:rPr>
                                        <w:sz w:val="21"/>
                                        <w:szCs w:val="21"/>
                                      </w:rPr>
                                    </w:pPr>
                                    <w:r>
                                      <w:rPr>
                                        <w:rFonts w:hint="eastAsia"/>
                                        <w:sz w:val="21"/>
                                        <w:szCs w:val="21"/>
                                      </w:rPr>
                                      <w:t>车辆清洗池</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2" name="自选图形 91"/>
                              <wps:cNvCnPr/>
                              <wps:spPr>
                                <a:xfrm>
                                  <a:off x="2097405" y="642620"/>
                                  <a:ext cx="596900" cy="5080"/>
                                </a:xfrm>
                                <a:prstGeom prst="straightConnector1">
                                  <a:avLst/>
                                </a:prstGeom>
                                <a:ln w="9525" cap="flat" cmpd="sng">
                                  <a:solidFill>
                                    <a:srgbClr val="000000"/>
                                  </a:solidFill>
                                  <a:prstDash val="solid"/>
                                  <a:headEnd type="none" w="med" len="med"/>
                                  <a:tailEnd type="triangle" w="med" len="med"/>
                                </a:ln>
                              </wps:spPr>
                              <wps:bodyPr/>
                            </wps:wsp>
                            <wps:wsp>
                              <wps:cNvPr id="33" name="自选图形 92"/>
                              <wps:cNvCnPr/>
                              <wps:spPr>
                                <a:xfrm rot="-16200000" flipH="1">
                                  <a:off x="2431733" y="-210503"/>
                                  <a:ext cx="5080" cy="1444625"/>
                                </a:xfrm>
                                <a:prstGeom prst="bentConnector3">
                                  <a:avLst>
                                    <a:gd name="adj1" fmla="val 4600000"/>
                                  </a:avLst>
                                </a:prstGeom>
                                <a:ln w="9525" cap="flat" cmpd="sng">
                                  <a:solidFill>
                                    <a:srgbClr val="000000"/>
                                  </a:solidFill>
                                  <a:prstDash val="solid"/>
                                  <a:miter/>
                                  <a:headEnd type="none" w="med" len="med"/>
                                  <a:tailEnd type="triangle" w="med" len="med"/>
                                </a:ln>
                              </wps:spPr>
                              <wps:bodyPr/>
                            </wps:wsp>
                            <wps:wsp>
                              <wps:cNvPr id="34" name="自选图形 93"/>
                              <wps:cNvCnPr/>
                              <wps:spPr>
                                <a:xfrm>
                                  <a:off x="402590" y="1743075"/>
                                  <a:ext cx="923290" cy="1056005"/>
                                </a:xfrm>
                                <a:prstGeom prst="bentConnector3">
                                  <a:avLst>
                                    <a:gd name="adj1" fmla="val 49931"/>
                                  </a:avLst>
                                </a:prstGeom>
                                <a:ln w="9525" cap="flat" cmpd="sng">
                                  <a:solidFill>
                                    <a:srgbClr val="000000"/>
                                  </a:solidFill>
                                  <a:prstDash val="solid"/>
                                  <a:miter/>
                                  <a:headEnd type="none" w="med" len="med"/>
                                  <a:tailEnd type="triangle" w="med" len="med"/>
                                </a:ln>
                              </wps:spPr>
                              <wps:bodyPr/>
                            </wps:wsp>
                            <wps:wsp>
                              <wps:cNvPr id="35" name="自选图形 94"/>
                              <wps:cNvCnPr/>
                              <wps:spPr>
                                <a:xfrm>
                                  <a:off x="402590" y="1743075"/>
                                  <a:ext cx="923290" cy="1699895"/>
                                </a:xfrm>
                                <a:prstGeom prst="bentConnector3">
                                  <a:avLst>
                                    <a:gd name="adj1" fmla="val 49931"/>
                                  </a:avLst>
                                </a:prstGeom>
                                <a:ln w="9525" cap="flat" cmpd="sng">
                                  <a:solidFill>
                                    <a:srgbClr val="000000"/>
                                  </a:solidFill>
                                  <a:prstDash val="solid"/>
                                  <a:miter/>
                                  <a:headEnd type="none" w="med" len="med"/>
                                  <a:tailEnd type="triangle" w="med" len="med"/>
                                </a:ln>
                              </wps:spPr>
                              <wps:bodyPr/>
                            </wps:wsp>
                            <wps:wsp>
                              <wps:cNvPr id="36" name="自选图形 95"/>
                              <wps:cNvCnPr/>
                              <wps:spPr>
                                <a:xfrm rot="5400000">
                                  <a:off x="2773997" y="1739583"/>
                                  <a:ext cx="1026795" cy="2379980"/>
                                </a:xfrm>
                                <a:prstGeom prst="bentConnector2">
                                  <a:avLst/>
                                </a:prstGeom>
                                <a:ln w="9525" cap="flat" cmpd="sng">
                                  <a:solidFill>
                                    <a:srgbClr val="000000"/>
                                  </a:solidFill>
                                  <a:prstDash val="solid"/>
                                  <a:miter/>
                                  <a:headEnd type="none" w="med" len="med"/>
                                  <a:tailEnd type="triangle" w="med" len="med"/>
                                </a:ln>
                              </wps:spPr>
                              <wps:bodyPr/>
                            </wps:wsp>
                          </wpc:wpc>
                        </a:graphicData>
                      </a:graphic>
                    </wp:inline>
                  </w:drawing>
                </mc:Choice>
                <mc:Fallback>
                  <w:pict>
                    <v:group id="画布 43" o:spid="_x0000_s1026" o:spt="203" style="height:295.4pt;width:408.35pt;" coordsize="5186045,3751580" editas="canvas" o:gfxdata="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">
                      <o:lock v:ext="edit" aspectratio="f"/>
                      <v:shape id="画布 43" o:spid="_x0000_s1026" style="position:absolute;left:0;top:0;height:3751580;width:5186045;" filled="f" stroked="f" coordsize="21600,21600" o:gfxdata="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">
                        <v:fill on="f" focussize="0,0"/>
                        <v:stroke on="f"/>
                        <v:imagedata o:title=""/>
                        <o:lock v:ext="edit" aspectratio="f"/>
                      </v:shape>
                      <v:shape id="_x0000_s1026" o:spid="_x0000_s1026" o:spt="202" type="#_x0000_t202" style="position:absolute;left:1427480;top:42545;height:323850;width:771525;" fillcolor="#FFFFFF" filled="t" stroked="f" coordsize="21600,21600" o:gfxdata="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9KSC&#10;dNEAAAAFAQAADwAAAAAAAAABACAAAAAiAAAAZHJzL2Rvd25yZXYueG1sUEsBAhQAFAAAAAgAh07i&#10;QMo+YVBiAgAAqAQAAA4AAAAAAAAAAQAgAAAAIAEAAGRycy9lMm9Eb2MueG1sUEsFBgAAAAAGAAYA&#10;WQEAAPQFAAAAAA==&#10;">
                        <v:fill on="t" focussize="0,0"/>
                        <v:stroke on="f" weight="0.5pt"/>
                        <v:imagedata o:title=""/>
                        <o:lock v:ext="edit" aspectratio="f"/>
                        <v:textbox>
                          <w:txbxContent>
                            <w:p w14:paraId="3188F659">
                              <w:pPr>
                                <w:spacing w:line="240" w:lineRule="auto"/>
                                <w:ind w:firstLine="0" w:firstLineChars="0"/>
                                <w:rPr>
                                  <w:sz w:val="21"/>
                                  <w:szCs w:val="21"/>
                                </w:rPr>
                              </w:pPr>
                              <w:r>
                                <w:rPr>
                                  <w:rFonts w:hint="eastAsia"/>
                                  <w:sz w:val="21"/>
                                  <w:szCs w:val="21"/>
                                </w:rPr>
                                <w:t>0.546</w:t>
                              </w:r>
                            </w:p>
                          </w:txbxContent>
                        </v:textbox>
                      </v:shape>
                      <v:shape id="文本框 98" o:spid="_x0000_s1026" o:spt="202" type="#_x0000_t202" style="position:absolute;left:1427480;top:42545;height:323850;width:771525;" fillcolor="#FFFFFF" filled="t" stroked="f" coordsize="21600,21600" o:gfxdata="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9KSC&#10;dNEAAAAFAQAADwAAAAAAAAABACAAAAAiAAAAZHJzL2Rvd25yZXYueG1sUEsBAhQAFAAAAAgAh07i&#10;QOJnUM5iAgAApwQAAA4AAAAAAAAAAQAgAAAAIAEAAGRycy9lMm9Eb2MueG1sUEsFBgAAAAAGAAYA&#10;WQEAAPQFAAAAAA==&#10;">
                        <v:fill on="t" focussize="0,0"/>
                        <v:stroke on="f" weight="0.5pt"/>
                        <v:imagedata o:title=""/>
                        <o:lock v:ext="edit" aspectratio="f"/>
                        <v:textbox>
                          <w:txbxContent>
                            <w:p w14:paraId="633F78F0">
                              <w:pPr>
                                <w:spacing w:line="240" w:lineRule="auto"/>
                                <w:ind w:firstLine="0" w:firstLineChars="0"/>
                                <w:jc w:val="center"/>
                                <w:rPr>
                                  <w:sz w:val="21"/>
                                  <w:szCs w:val="21"/>
                                </w:rPr>
                              </w:pPr>
                              <w:r>
                                <w:rPr>
                                  <w:rFonts w:hint="eastAsia"/>
                                  <w:sz w:val="21"/>
                                  <w:szCs w:val="21"/>
                                </w:rPr>
                                <w:t>11.045</w:t>
                              </w:r>
                            </w:p>
                          </w:txbxContent>
                        </v:textbox>
                      </v:shape>
                      <v:shape id="文本框 98" o:spid="_x0000_s1026" o:spt="202" type="#_x0000_t202" style="position:absolute;left:1427480;top:42545;height:323850;width:771525;" fillcolor="#FFFFFF" filled="t" stroked="f" coordsize="21600,21600" o:gfxdata="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D0pIJ0&#10;0QAAAAUBAAAPAAAAAAAAAAEAIAAAACIAAABkcnMvZG93bnJldi54bWxQSwECFAAUAAAACACHTuJA&#10;tg5mNWECAACnBAAADgAAAAAAAAABACAAAAAgAQAAZHJzL2Uyb0RvYy54bWxQSwUGAAAAAAYABgBZ&#10;AQAA8wUAAAAA&#10;">
                        <v:fill on="t" focussize="0,0"/>
                        <v:stroke on="f" weight="0.5pt"/>
                        <v:imagedata o:title=""/>
                        <o:lock v:ext="edit" aspectratio="f"/>
                        <v:textbox>
                          <w:txbxContent>
                            <w:p w14:paraId="7F7D0371">
                              <w:pPr>
                                <w:spacing w:line="240" w:lineRule="auto"/>
                                <w:ind w:firstLine="0" w:firstLineChars="0"/>
                                <w:jc w:val="center"/>
                                <w:rPr>
                                  <w:sz w:val="21"/>
                                  <w:szCs w:val="21"/>
                                </w:rPr>
                              </w:pPr>
                              <w:r>
                                <w:rPr>
                                  <w:rFonts w:hint="eastAsia"/>
                                  <w:sz w:val="21"/>
                                  <w:szCs w:val="21"/>
                                </w:rPr>
                                <w:t>1.914</w:t>
                              </w:r>
                            </w:p>
                          </w:txbxContent>
                        </v:textbox>
                      </v:shape>
                      <v:shape id="文本框 98" o:spid="_x0000_s1026" o:spt="202" type="#_x0000_t202" style="position:absolute;left:1427480;top:42545;height:323850;width:771525;" fillcolor="#FFFFFF" filled="t" stroked="f" coordsize="21600,21600" o:gfxdata="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D0pIJ0&#10;0QAAAAUBAAAPAAAAAAAAAAEAIAAAACIAAABkcnMvZG93bnJldi54bWxQSwECFAAUAAAACACHTuJA&#10;v4VIlWECAACnBAAADgAAAAAAAAABACAAAAAgAQAAZHJzL2Uyb0RvYy54bWxQSwUGAAAAAAYABgBZ&#10;AQAA8wUAAAAA&#10;">
                        <v:fill on="t" focussize="0,0"/>
                        <v:stroke on="f" weight="0.5pt"/>
                        <v:imagedata o:title=""/>
                        <o:lock v:ext="edit" aspectratio="f"/>
                        <v:textbox>
                          <w:txbxContent>
                            <w:p w14:paraId="601F5F24">
                              <w:pPr>
                                <w:spacing w:line="240" w:lineRule="auto"/>
                                <w:ind w:firstLine="0" w:firstLineChars="0"/>
                                <w:jc w:val="center"/>
                                <w:rPr>
                                  <w:sz w:val="21"/>
                                  <w:szCs w:val="21"/>
                                </w:rPr>
                              </w:pPr>
                              <w:r>
                                <w:rPr>
                                  <w:rFonts w:hint="eastAsia"/>
                                  <w:sz w:val="21"/>
                                  <w:szCs w:val="21"/>
                                </w:rPr>
                                <w:t>8.208</w:t>
                              </w:r>
                            </w:p>
                          </w:txbxContent>
                        </v:textbox>
                      </v:shape>
                      <v:shape id="文本框 98" o:spid="_x0000_s1026" o:spt="202" type="#_x0000_t202" style="position:absolute;left:1427480;top:42545;height:323850;width:771525;" fillcolor="#FFFFFF" filled="t" stroked="f" coordsize="21600,21600" o:gfxdata="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9KSC&#10;dNEAAAAFAQAADwAAAAAAAAABACAAAAAiAAAAZHJzL2Rvd25yZXYueG1sUEsBAhQAFAAAAAgAh07i&#10;QLj8UvViAgAApwQAAA4AAAAAAAAAAQAgAAAAIAEAAGRycy9lMm9Eb2MueG1sUEsFBgAAAAAGAAYA&#10;WQEAAPQFAAAAAA==&#10;">
                        <v:fill on="t" focussize="0,0"/>
                        <v:stroke on="f" weight="0.5pt"/>
                        <v:imagedata o:title=""/>
                        <o:lock v:ext="edit" aspectratio="f"/>
                        <v:textbox>
                          <w:txbxContent>
                            <w:p w14:paraId="7BD0487F">
                              <w:pPr>
                                <w:spacing w:line="240" w:lineRule="auto"/>
                                <w:ind w:firstLine="0" w:firstLineChars="0"/>
                                <w:jc w:val="center"/>
                                <w:rPr>
                                  <w:sz w:val="21"/>
                                  <w:szCs w:val="21"/>
                                </w:rPr>
                              </w:pPr>
                              <w:r>
                                <w:rPr>
                                  <w:rFonts w:hint="eastAsia"/>
                                  <w:sz w:val="21"/>
                                  <w:szCs w:val="21"/>
                                </w:rPr>
                                <w:t>0.426</w:t>
                              </w:r>
                            </w:p>
                          </w:txbxContent>
                        </v:textbox>
                      </v:shape>
                      <v:shape id="文本框 98" o:spid="_x0000_s1026" o:spt="202" type="#_x0000_t202" style="position:absolute;left:1427480;top:42545;height:323850;width:771525;" fillcolor="#FFFFFF" filled="t" stroked="f" coordsize="21600,21600" o:gfxdata="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D0pIJ0&#10;0QAAAAUBAAAPAAAAAAAAAAEAIAAAACIAAABkcnMvZG93bnJldi54bWxQSwECFAAUAAAACACHTuJA&#10;VlFVuGECAACnBAAADgAAAAAAAAABACAAAAAgAQAAZHJzL2Uyb0RvYy54bWxQSwUGAAAAAAYABgBZ&#10;AQAA8wUAAAAA&#10;">
                        <v:fill on="t" focussize="0,0"/>
                        <v:stroke on="f" weight="0.5pt"/>
                        <v:imagedata o:title=""/>
                        <o:lock v:ext="edit" aspectratio="f"/>
                        <v:textbox>
                          <w:txbxContent>
                            <w:p w14:paraId="2A6B7C9A">
                              <w:pPr>
                                <w:spacing w:line="240" w:lineRule="auto"/>
                                <w:ind w:firstLine="0" w:firstLineChars="0"/>
                                <w:jc w:val="center"/>
                                <w:rPr>
                                  <w:sz w:val="21"/>
                                  <w:szCs w:val="21"/>
                                </w:rPr>
                              </w:pPr>
                              <w:r>
                                <w:rPr>
                                  <w:rFonts w:hint="eastAsia"/>
                                  <w:sz w:val="21"/>
                                  <w:szCs w:val="21"/>
                                </w:rPr>
                                <w:t>0.426</w:t>
                              </w:r>
                            </w:p>
                          </w:txbxContent>
                        </v:textbox>
                      </v:shape>
                      <v:shape id="文本框 98" o:spid="_x0000_s1026" o:spt="202" type="#_x0000_t202" style="position:absolute;left:1427480;top:42545;height:323850;width:771525;" fillcolor="#FFFFFF" filled="t" stroked="f" coordsize="21600,21600" o:gfxdata="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9KSC&#10;dNEAAAAFAQAADwAAAAAAAAABACAAAAAiAAAAZHJzL2Rvd25yZXYueG1sUEsBAhQAFAAAAAgAh07i&#10;QFEoT9hiAgAApwQAAA4AAAAAAAAAAQAgAAAAIAEAAGRycy9lMm9Eb2MueG1sUEsFBgAAAAAGAAYA&#10;WQEAAPQFAAAAAA==&#10;">
                        <v:fill on="t" focussize="0,0"/>
                        <v:stroke on="f" weight="0.5pt"/>
                        <v:imagedata o:title=""/>
                        <o:lock v:ext="edit" aspectratio="f"/>
                        <v:textbox>
                          <w:txbxContent>
                            <w:p w14:paraId="05FB020C">
                              <w:pPr>
                                <w:spacing w:line="240" w:lineRule="auto"/>
                                <w:ind w:firstLine="0" w:firstLineChars="0"/>
                                <w:jc w:val="center"/>
                                <w:rPr>
                                  <w:sz w:val="21"/>
                                  <w:szCs w:val="21"/>
                                </w:rPr>
                              </w:pPr>
                              <w:r>
                                <w:rPr>
                                  <w:rFonts w:hint="eastAsia"/>
                                  <w:sz w:val="21"/>
                                  <w:szCs w:val="21"/>
                                </w:rPr>
                                <w:t>0.533</w:t>
                              </w:r>
                            </w:p>
                          </w:txbxContent>
                        </v:textbox>
                      </v:shape>
                      <v:shape id="文本框 98" o:spid="_x0000_s1026" o:spt="202" type="#_x0000_t202" style="position:absolute;left:1427480;top:42545;height:323850;width:771525;" fillcolor="#FFFFFF" filled="t" stroked="f" coordsize="21600,21600" o:gfxdata="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D0pIJ0&#10;0QAAAAUBAAAPAAAAAAAAAAEAIAAAACIAAABkcnMvZG93bnJldi54bWxQSwECFAAUAAAACACHTuJA&#10;JpFSzWECAACoBAAADgAAAAAAAAABACAAAAAgAQAAZHJzL2Uyb0RvYy54bWxQSwUGAAAAAAYABgBZ&#10;AQAA8wUAAAAA&#10;">
                        <v:fill on="t" focussize="0,0"/>
                        <v:stroke on="f" weight="0.5pt"/>
                        <v:imagedata o:title=""/>
                        <o:lock v:ext="edit" aspectratio="f"/>
                        <v:textbox>
                          <w:txbxContent>
                            <w:p w14:paraId="6DDC50CD">
                              <w:pPr>
                                <w:spacing w:line="240" w:lineRule="auto"/>
                                <w:ind w:firstLine="0" w:firstLineChars="0"/>
                                <w:jc w:val="center"/>
                                <w:rPr>
                                  <w:sz w:val="21"/>
                                  <w:szCs w:val="21"/>
                                </w:rPr>
                              </w:pPr>
                              <w:r>
                                <w:rPr>
                                  <w:rFonts w:hint="eastAsia"/>
                                  <w:sz w:val="21"/>
                                  <w:szCs w:val="21"/>
                                </w:rPr>
                                <w:t>0.12</w:t>
                              </w:r>
                            </w:p>
                          </w:txbxContent>
                        </v:textbox>
                      </v:shape>
                      <v:shape id="文本框 98" o:spid="_x0000_s1026" o:spt="202" type="#_x0000_t202" style="position:absolute;left:1427480;top:42545;height:323850;width:771525;" fillcolor="#FFFFFF" filled="t" stroked="f" coordsize="21600,21600" o:gfxdata="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D0pIJ0&#10;0QAAAAUBAAAPAAAAAAAAAAEAIAAAACIAAABkcnMvZG93bnJldi54bWxQSwECFAAUAAAACACHTuJA&#10;IehIrWECAACoBAAADgAAAAAAAAABACAAAAAgAQAAZHJzL2Uyb0RvYy54bWxQSwUGAAAAAAYABgBZ&#10;AQAA8wUAAAAA&#10;">
                        <v:fill on="t" focussize="0,0"/>
                        <v:stroke on="f" weight="0.5pt"/>
                        <v:imagedata o:title=""/>
                        <o:lock v:ext="edit" aspectratio="f"/>
                        <v:textbox>
                          <w:txbxContent>
                            <w:p w14:paraId="47979D96">
                              <w:pPr>
                                <w:spacing w:line="240" w:lineRule="auto"/>
                                <w:ind w:firstLine="0" w:firstLineChars="0"/>
                                <w:jc w:val="center"/>
                                <w:rPr>
                                  <w:sz w:val="21"/>
                                  <w:szCs w:val="21"/>
                                </w:rPr>
                              </w:pPr>
                              <w:r>
                                <w:rPr>
                                  <w:rFonts w:hint="eastAsia"/>
                                  <w:sz w:val="21"/>
                                  <w:szCs w:val="21"/>
                                </w:rPr>
                                <w:t>0.12</w:t>
                              </w:r>
                            </w:p>
                          </w:txbxContent>
                        </v:textbox>
                      </v:shape>
                      <v:shape id="文本框 98" o:spid="_x0000_s1026" o:spt="202" type="#_x0000_t202" style="position:absolute;left:1427480;top:42545;height:323850;width:771525;" fillcolor="#FFFFFF" filled="t" stroked="f" coordsize="21600,21600" o:gfxdata="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9KSC&#10;dNEAAAAFAQAADwAAAAAAAAABACAAAAAiAAAAZHJzL2Rvd25yZXYueG1sUEsBAhQAFAAAAAgAh07i&#10;QChjZg1iAgAAqAQAAA4AAAAAAAAAAQAgAAAAIAEAAGRycy9lMm9Eb2MueG1sUEsFBgAAAAAGAAYA&#10;WQEAAPQFAAAAAA==&#10;">
                        <v:fill on="t" focussize="0,0"/>
                        <v:stroke on="f" weight="0.5pt"/>
                        <v:imagedata o:title=""/>
                        <o:lock v:ext="edit" aspectratio="f"/>
                        <v:textbox>
                          <w:txbxContent>
                            <w:p w14:paraId="454B8F79">
                              <w:pPr>
                                <w:spacing w:line="240" w:lineRule="auto"/>
                                <w:ind w:firstLine="0" w:firstLineChars="0"/>
                                <w:jc w:val="center"/>
                                <w:rPr>
                                  <w:sz w:val="21"/>
                                  <w:szCs w:val="21"/>
                                </w:rPr>
                              </w:pPr>
                              <w:r>
                                <w:rPr>
                                  <w:rFonts w:hint="eastAsia"/>
                                  <w:sz w:val="21"/>
                                  <w:szCs w:val="21"/>
                                </w:rPr>
                                <w:t>0.15</w:t>
                              </w:r>
                            </w:p>
                          </w:txbxContent>
                        </v:textbox>
                      </v:shape>
                      <v:shape id="文本框 98" o:spid="_x0000_s1026" o:spt="202" type="#_x0000_t202" style="position:absolute;left:1427480;top:42545;height:323850;width:771525;" fillcolor="#FFFFFF" filled="t" stroked="f" coordsize="21600,21600" o:gfxdata="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9KSC&#10;dNEAAAAFAQAADwAAAAAAAAABACAAAAAiAAAAZHJzL2Rvd25yZXYueG1sUEsBAhQAFAAAAAgAh07i&#10;QC8afG1iAgAAqAQAAA4AAAAAAAAAAQAgAAAAIAEAAGRycy9lMm9Eb2MueG1sUEsFBgAAAAAGAAYA&#10;WQEAAPQFAAAAAA==&#10;">
                        <v:fill on="t" focussize="0,0"/>
                        <v:stroke on="f" weight="0.5pt"/>
                        <v:imagedata o:title=""/>
                        <o:lock v:ext="edit" aspectratio="f"/>
                        <v:textbox>
                          <w:txbxContent>
                            <w:p w14:paraId="656E53C7">
                              <w:pPr>
                                <w:spacing w:line="240" w:lineRule="auto"/>
                                <w:ind w:firstLine="0" w:firstLineChars="0"/>
                                <w:jc w:val="center"/>
                                <w:rPr>
                                  <w:sz w:val="21"/>
                                  <w:szCs w:val="21"/>
                                </w:rPr>
                              </w:pPr>
                              <w:r>
                                <w:rPr>
                                  <w:rFonts w:hint="eastAsia"/>
                                  <w:sz w:val="21"/>
                                  <w:szCs w:val="21"/>
                                </w:rPr>
                                <w:t>0.24</w:t>
                              </w:r>
                            </w:p>
                          </w:txbxContent>
                        </v:textbox>
                      </v:shape>
                      <v:shape id="_x0000_s1026" o:spid="_x0000_s1026" o:spt="202" type="#_x0000_t202" style="position:absolute;left:1417955;top:1547495;height:323850;width:771525;" fillcolor="#FFFFFF" filled="t" stroked="f" coordsize="21600,21600" o:gfxdata="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PSk&#10;gnTRAAAABQEAAA8AAAAAAAAAAQAgAAAAIgAAAGRycy9kb3ducmV2LnhtbFBLAQIUABQAAAAIAIdO&#10;4kCtyjhmYwIAAKwEAAAOAAAAAAAAAAEAIAAAACABAABkcnMvZTJvRG9jLnhtbFBLBQYAAAAABgAG&#10;AFkBAAD1BQAAAAA=&#10;">
                        <v:fill on="t" focussize="0,0"/>
                        <v:stroke on="f" weight="0.5pt"/>
                        <v:imagedata o:title=""/>
                        <o:lock v:ext="edit" aspectratio="f"/>
                        <v:textbox>
                          <w:txbxContent>
                            <w:p w14:paraId="3D2288EC">
                              <w:pPr>
                                <w:spacing w:line="240" w:lineRule="auto"/>
                                <w:ind w:firstLine="0" w:firstLineChars="0"/>
                                <w:rPr>
                                  <w:sz w:val="21"/>
                                  <w:szCs w:val="21"/>
                                </w:rPr>
                              </w:pPr>
                              <w:r>
                                <w:rPr>
                                  <w:rFonts w:hint="eastAsia"/>
                                  <w:sz w:val="21"/>
                                  <w:szCs w:val="21"/>
                                </w:rPr>
                                <w:t>耗0.107</w:t>
                              </w:r>
                            </w:p>
                          </w:txbxContent>
                        </v:textbox>
                      </v:shape>
                      <v:shape id="_x0000_s1026" o:spid="_x0000_s1026" o:spt="202" type="#_x0000_t202" style="position:absolute;left:1398905;top:2966720;height:323850;width:771525;" fillcolor="#FFFFFF" filled="t" stroked="f" coordsize="21600,21600" o:gfxdata="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9KSC&#10;dNEAAAAFAQAADwAAAAAAAAABACAAAAAiAAAAZHJzL2Rvd25yZXYueG1sUEsBAhQAFAAAAAgAh07i&#10;QGm5yE5iAgAArAQAAA4AAAAAAAAAAQAgAAAAIAEAAGRycy9lMm9Eb2MueG1sUEsFBgAAAAAGAAYA&#10;WQEAAPQFAAAAAA==&#10;">
                        <v:fill on="t" focussize="0,0"/>
                        <v:stroke on="f" weight="0.5pt"/>
                        <v:imagedata o:title=""/>
                        <o:lock v:ext="edit" aspectratio="f"/>
                        <v:textbox>
                          <w:txbxContent>
                            <w:p w14:paraId="40D7E244">
                              <w:pPr>
                                <w:spacing w:line="240" w:lineRule="auto"/>
                                <w:ind w:firstLine="0" w:firstLineChars="0"/>
                                <w:rPr>
                                  <w:sz w:val="21"/>
                                  <w:szCs w:val="21"/>
                                </w:rPr>
                              </w:pPr>
                              <w:r>
                                <w:rPr>
                                  <w:rFonts w:hint="eastAsia"/>
                                  <w:sz w:val="21"/>
                                  <w:szCs w:val="21"/>
                                </w:rPr>
                                <w:t>耗2.49</w:t>
                              </w:r>
                            </w:p>
                          </w:txbxContent>
                        </v:textbox>
                      </v:shape>
                      <v:shape id="_x0000_s1026" o:spid="_x0000_s1026" o:spt="202" type="#_x0000_t202" style="position:absolute;left:1370330;top:2290445;height:323850;width:771525;" fillcolor="#FFFFFF" filled="t" stroked="f" coordsize="21600,21600" o:gfxdata="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D0&#10;pIJ00QAAAAUBAAAPAAAAAAAAAAEAIAAAACIAAABkcnMvZG93bnJldi54bWxQSwECFAAUAAAACACH&#10;TuJAl7qVj2QCAACsBAAADgAAAAAAAAABACAAAAAgAQAAZHJzL2Uyb0RvYy54bWxQSwUGAAAAAAYA&#10;BgBZAQAA9gUAAAAA&#10;">
                        <v:fill on="t" focussize="0,0"/>
                        <v:stroke on="f" weight="0.5pt"/>
                        <v:imagedata o:title=""/>
                        <o:lock v:ext="edit" aspectratio="f"/>
                        <v:textbox>
                          <w:txbxContent>
                            <w:p w14:paraId="6DAA8065">
                              <w:pPr>
                                <w:spacing w:line="240" w:lineRule="auto"/>
                                <w:ind w:firstLine="0" w:firstLineChars="0"/>
                                <w:rPr>
                                  <w:sz w:val="21"/>
                                  <w:szCs w:val="21"/>
                                </w:rPr>
                              </w:pPr>
                              <w:r>
                                <w:rPr>
                                  <w:rFonts w:hint="eastAsia"/>
                                  <w:sz w:val="21"/>
                                  <w:szCs w:val="21"/>
                                </w:rPr>
                                <w:t>耗8.206</w:t>
                              </w:r>
                            </w:p>
                          </w:txbxContent>
                        </v:textbox>
                      </v:shape>
                      <v:shape id="_x0000_s1026" o:spid="_x0000_s1026" o:spt="202" type="#_x0000_t202" style="position:absolute;left:2284730;top:-681355;height:323850;width:628650;" fillcolor="#FFFFFF" filled="t" stroked="f" coordsize="21600,21600" o:gfxdata="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D0pIJ0&#10;0QAAAAUBAAAPAAAAAAAAAAEAIAAAACIAAABkcnMvZG93bnJldi54bWxQSwECFAAUAAAACACHTuJA&#10;3ldLCmECAACsBAAADgAAAAAAAAABACAAAAAgAQAAZHJzL2Uyb0RvYy54bWxQSwUGAAAAAAYABgBZ&#10;AQAA8wUAAAAA&#10;">
                        <v:fill on="t" focussize="0,0"/>
                        <v:stroke on="f" weight="0.5pt"/>
                        <v:imagedata o:title=""/>
                        <o:lock v:ext="edit" aspectratio="f"/>
                        <v:textbox>
                          <w:txbxContent>
                            <w:p w14:paraId="6B279B02">
                              <w:pPr>
                                <w:spacing w:line="240" w:lineRule="auto"/>
                                <w:ind w:firstLine="0" w:firstLineChars="0"/>
                                <w:rPr>
                                  <w:sz w:val="21"/>
                                  <w:szCs w:val="21"/>
                                </w:rPr>
                              </w:pPr>
                              <w:r>
                                <w:rPr>
                                  <w:rFonts w:hint="eastAsia"/>
                                  <w:sz w:val="21"/>
                                  <w:szCs w:val="21"/>
                                </w:rPr>
                                <w:t>2.16</w:t>
                              </w:r>
                            </w:p>
                          </w:txbxContent>
                        </v:textbox>
                      </v:shape>
                      <v:shape id="_x0000_s1026" o:spid="_x0000_s1026" o:spt="202" type="#_x0000_t202" style="position:absolute;left:2132330;top:-271780;height:323850;width:771525;" fillcolor="#FFFFFF" filled="t" stroked="f" coordsize="21600,21600" o:gfxdata="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9KSC&#10;dNEAAAAFAQAADwAAAAAAAAABACAAAAAiAAAAZHJzL2Rvd25yZXYueG1sUEsBAhQAFAAAAAgAh07i&#10;QM5FNUtiAgAArAQAAA4AAAAAAAAAAQAgAAAAIAEAAGRycy9lMm9Eb2MueG1sUEsFBgAAAAAGAAYA&#10;WQEAAPQFAAAAAA==&#10;">
                        <v:fill on="t" focussize="0,0"/>
                        <v:stroke on="f" weight="0.5pt"/>
                        <v:imagedata o:title=""/>
                        <o:lock v:ext="edit" aspectratio="f"/>
                        <v:textbox>
                          <w:txbxContent>
                            <w:p w14:paraId="7634BF92">
                              <w:pPr>
                                <w:spacing w:line="240" w:lineRule="auto"/>
                                <w:ind w:firstLine="0" w:firstLineChars="0"/>
                                <w:rPr>
                                  <w:sz w:val="21"/>
                                  <w:szCs w:val="21"/>
                                </w:rPr>
                              </w:pPr>
                              <w:r>
                                <w:rPr>
                                  <w:rFonts w:hint="eastAsia"/>
                                  <w:sz w:val="21"/>
                                  <w:szCs w:val="21"/>
                                </w:rPr>
                                <w:t>循环2.16</w:t>
                              </w:r>
                            </w:p>
                          </w:txbxContent>
                        </v:textbox>
                      </v:shape>
                      <v:shape id="文本框 98" o:spid="_x0000_s1026" o:spt="202" type="#_x0000_t202" style="position:absolute;left:1427480;top:42545;height:323850;width:771525;" fillcolor="#FFFFFF" filled="t" stroked="f" coordsize="21600,21600" o:gfxdata="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9KSC&#10;dNEAAAAFAQAADwAAAAAAAAABACAAAAAiAAAAZHJzL2Rvd25yZXYueG1sUEsBAhQAFAAAAAgAh07i&#10;QHtzSpZiAgAAqAQAAA4AAAAAAAAAAQAgAAAAIAEAAGRycy9lMm9Eb2MueG1sUEsFBgAAAAAGAAYA&#10;WQEAAPQFAAAAAA==&#10;">
                        <v:fill on="t" focussize="0,0"/>
                        <v:stroke on="f" weight="0.5pt"/>
                        <v:imagedata o:title=""/>
                        <o:lock v:ext="edit" aspectratio="f"/>
                        <v:textbox>
                          <w:txbxContent>
                            <w:p w14:paraId="0154277F">
                              <w:pPr>
                                <w:spacing w:line="240" w:lineRule="auto"/>
                                <w:ind w:firstLine="0" w:firstLineChars="0"/>
                                <w:rPr>
                                  <w:sz w:val="21"/>
                                  <w:szCs w:val="21"/>
                                </w:rPr>
                              </w:pPr>
                              <w:r>
                                <w:rPr>
                                  <w:rFonts w:hint="eastAsia"/>
                                  <w:sz w:val="21"/>
                                  <w:szCs w:val="21"/>
                                </w:rPr>
                                <w:t>耗0.24</w:t>
                              </w:r>
                            </w:p>
                          </w:txbxContent>
                        </v:textbox>
                      </v:shape>
                      <v:shape id="_x0000_s1026" o:spid="_x0000_s1026" o:spt="202" type="#_x0000_t202" style="position:absolute;left:97155;top:972185;height:523875;width:305435;" fillcolor="#FFFFFF" filled="t" stroked="t" coordsize="21600,21600" o:gfxdata="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AOhMin0wAAAAUBAAAPAAAAAAAAAAEAIAAAACIAAABkcnMvZG93bnJldi54bWxQSwECFAAU&#10;AAAACACHTuJAv6KItmgCAADPBAAADgAAAAAAAAABACAAAAAiAQAAZHJzL2Uyb0RvYy54bWxQSwUG&#10;AAAAAAYABgBZAQAA/AUAAAAA&#10;">
                        <v:fill on="t" focussize="0,0"/>
                        <v:stroke weight="0.5pt" color="#000000" joinstyle="round"/>
                        <v:imagedata o:title=""/>
                        <o:lock v:ext="edit" aspectratio="f"/>
                        <v:textbox>
                          <w:txbxContent>
                            <w:p w14:paraId="282D36B3">
                              <w:pPr>
                                <w:spacing w:line="240" w:lineRule="auto"/>
                                <w:ind w:firstLine="0" w:firstLineChars="0"/>
                              </w:pPr>
                              <w:r>
                                <w:rPr>
                                  <w:rFonts w:hint="eastAsia"/>
                                </w:rPr>
                                <w:t>供水</w:t>
                              </w:r>
                            </w:p>
                          </w:txbxContent>
                        </v:textbox>
                      </v:shape>
                      <v:shape id="_x0000_s1026" o:spid="_x0000_s1026" o:spt="202" type="#_x0000_t202" style="position:absolute;left:1313180;top:509270;height:266700;width:771525;" fillcolor="#FFFFFF" filled="t" stroked="t" coordsize="21600,21600" o:gfxdata="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AOhMin0wAAAAUBAAAPAAAAAAAAAAEAIAAAACIAAABkcnMvZG93bnJldi54bWxQSwEC&#10;FAAUAAAACACHTuJAfBBe4msCAADRBAAADgAAAAAAAAABACAAAAAiAQAAZHJzL2Uyb0RvYy54bWxQ&#10;SwUGAAAAAAYABgBZAQAA/wUAAAAA&#10;">
                        <v:fill on="t" focussize="0,0"/>
                        <v:stroke weight="0.5pt" color="#000000" joinstyle="round"/>
                        <v:imagedata o:title=""/>
                        <o:lock v:ext="edit" aspectratio="f"/>
                        <v:textbox>
                          <w:txbxContent>
                            <w:p w14:paraId="7590881B">
                              <w:pPr>
                                <w:spacing w:line="240" w:lineRule="auto"/>
                                <w:ind w:firstLine="0" w:firstLineChars="0"/>
                                <w:jc w:val="center"/>
                                <w:rPr>
                                  <w:sz w:val="21"/>
                                  <w:szCs w:val="21"/>
                                </w:rPr>
                              </w:pPr>
                              <w:r>
                                <w:rPr>
                                  <w:rFonts w:hint="eastAsia"/>
                                  <w:sz w:val="21"/>
                                  <w:szCs w:val="21"/>
                                </w:rPr>
                                <w:t>车辆清洗</w:t>
                              </w:r>
                            </w:p>
                          </w:txbxContent>
                        </v:textbox>
                      </v:shape>
                      <v:shape id="自选图形 61" o:spid="_x0000_s1026" o:spt="100" style="position:absolute;left:1370330;top:323850;height:190500;width:200025;" filled="f" stroked="t" coordsize="200025,200025" o:gfxdata="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vwVFn9YAAAAFAQAADwAAAAAAAAABACAAAAAiAAAAZHJzL2Rvd25yZXYueG1sUEsBAhQAFAAA&#10;AAgAh07iQLnQJ4ZjAgAAHAUAAA4AAAAAAAAAAQAgAAAAJQEAAGRycy9lMm9Eb2MueG1sUEsFBgAA&#10;AAAGAAYAWQEAAPoFAAAAAA==&#10;" path="m0,200025l200025,0e">
                        <v:path o:connectlocs="0,190500;200025,0" o:connectangles="0,0"/>
                        <v:fill on="f" focussize="0,0"/>
                        <v:stroke weight="0.25pt" color="#000000" joinstyle="round" endarrow="block"/>
                        <v:imagedata o:title=""/>
                        <o:lock v:ext="edit" aspectratio="f"/>
                      </v:shape>
                      <v:shape id="_x0000_s1026" o:spid="_x0000_s1026" o:spt="202" type="#_x0000_t202" style="position:absolute;left:1417955;top:804545;height:323850;width:771525;" fillcolor="#FFFFFF" filled="t" stroked="f" coordsize="21600,21600" o:gfxdata="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9KSC&#10;dNEAAAAFAQAADwAAAAAAAAABACAAAAAiAAAAZHJzL2Rvd25yZXYueG1sUEsBAhQAFAAAAAgAh07i&#10;QDET7dhiAgAAqwQAAA4AAAAAAAAAAQAgAAAAIAEAAGRycy9lMm9Eb2MueG1sUEsFBgAAAAAGAAYA&#10;WQEAAPQFAAAAAA==&#10;">
                        <v:fill on="t" focussize="0,0"/>
                        <v:stroke on="f" weight="0.5pt"/>
                        <v:imagedata o:title=""/>
                        <o:lock v:ext="edit" aspectratio="f"/>
                        <v:textbox>
                          <w:txbxContent>
                            <w:p w14:paraId="02BD5611">
                              <w:pPr>
                                <w:spacing w:line="240" w:lineRule="auto"/>
                                <w:ind w:firstLine="0" w:firstLineChars="0"/>
                                <w:rPr>
                                  <w:sz w:val="21"/>
                                  <w:szCs w:val="21"/>
                                </w:rPr>
                              </w:pPr>
                              <w:r>
                                <w:rPr>
                                  <w:rFonts w:hint="eastAsia"/>
                                  <w:sz w:val="21"/>
                                  <w:szCs w:val="21"/>
                                </w:rPr>
                                <w:t>耗0.03</w:t>
                              </w:r>
                            </w:p>
                          </w:txbxContent>
                        </v:textbox>
                      </v:shape>
                      <v:shape id="_x0000_s1026" o:spid="_x0000_s1026" o:spt="202" type="#_x0000_t202" style="position:absolute;left:1303655;top:1271270;height:266700;width:771525;" fillcolor="#FFFFFF" filled="t" stroked="t" coordsize="21600,21600" o:gfxdata="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AOhMin0wAAAAUBAAAPAAAAAAAAAAEAIAAAACIAAABkcnMvZG93bnJldi54bWxQSwEC&#10;FAAUAAAACACHTuJAlOMd+WsCAADUBAAADgAAAAAAAAABACAAAAAiAQAAZHJzL2Uyb0RvYy54bWxQ&#10;SwUGAAAAAAYABgBZAQAA/wUAAAAA&#10;">
                        <v:fill on="t" focussize="0,0"/>
                        <v:stroke weight="0.5pt" color="#000000" joinstyle="round"/>
                        <v:imagedata o:title=""/>
                        <o:lock v:ext="edit" aspectratio="f"/>
                        <v:textbox>
                          <w:txbxContent>
                            <w:p w14:paraId="15019E9E">
                              <w:pPr>
                                <w:spacing w:line="240" w:lineRule="auto"/>
                                <w:ind w:firstLine="0" w:firstLineChars="0"/>
                                <w:jc w:val="center"/>
                                <w:rPr>
                                  <w:sz w:val="21"/>
                                  <w:szCs w:val="21"/>
                                </w:rPr>
                              </w:pPr>
                              <w:r>
                                <w:rPr>
                                  <w:rFonts w:hint="eastAsia"/>
                                  <w:sz w:val="21"/>
                                  <w:szCs w:val="21"/>
                                </w:rPr>
                                <w:t>厨房用水</w:t>
                              </w:r>
                            </w:p>
                          </w:txbxContent>
                        </v:textbox>
                      </v:shape>
                      <v:shape id="自选图形 57" o:spid="_x0000_s1026" o:spt="100" style="position:absolute;left:1351280;top:1085850;height:190500;width:190500;" filled="f" stroked="t" coordsize="200025,200025" o:gfxdata="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vwVFn9YAAAAFAQAADwAAAAAAAAABACAAAAAiAAAAZHJzL2Rvd25yZXYueG1sUEsBAhQA&#10;FAAAAAgAh07iQOq+RPpmAgAAHQUAAA4AAAAAAAAAAQAgAAAAJQEAAGRycy9lMm9Eb2MueG1sUEsF&#10;BgAAAAAGAAYAWQEAAP0FAAAAAA==&#10;" path="m0,200025l200025,0e">
                        <v:path o:connectlocs="0,190500;190500,0" o:connectangles="0,0"/>
                        <v:fill on="f" focussize="0,0"/>
                        <v:stroke weight="0.25pt" color="#000000" joinstyle="round" endarrow="block"/>
                        <v:imagedata o:title=""/>
                        <o:lock v:ext="edit" aspectratio="f"/>
                      </v:shape>
                      <v:shape id="_x0000_s1026" o:spid="_x0000_s1026" o:spt="202" type="#_x0000_t202" style="position:absolute;left:1303655;top:2014220;height:266700;width:771525;" fillcolor="#FFFFFF" filled="t" stroked="t" coordsize="21600,21600" o:gfxdata="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AOhMin0wAAAAUBAAAPAAAAAAAAAAEAIAAAACIAAABkcnMvZG93bnJldi54bWxQSwEC&#10;FAAUAAAACACHTuJAAtjXe2sCAADUBAAADgAAAAAAAAABACAAAAAiAQAAZHJzL2Uyb0RvYy54bWxQ&#10;SwUGAAAAAAYABgBZAQAA/wUAAAAA&#10;">
                        <v:fill on="t" focussize="0,0"/>
                        <v:stroke weight="0.5pt" color="#000000" joinstyle="round"/>
                        <v:imagedata o:title=""/>
                        <o:lock v:ext="edit" aspectratio="f"/>
                        <v:textbox>
                          <w:txbxContent>
                            <w:p w14:paraId="495E9B62">
                              <w:pPr>
                                <w:spacing w:line="240" w:lineRule="auto"/>
                                <w:ind w:firstLine="0" w:firstLineChars="0"/>
                                <w:jc w:val="center"/>
                                <w:rPr>
                                  <w:sz w:val="21"/>
                                  <w:szCs w:val="21"/>
                                </w:rPr>
                              </w:pPr>
                              <w:r>
                                <w:rPr>
                                  <w:rFonts w:hint="eastAsia"/>
                                  <w:sz w:val="21"/>
                                  <w:szCs w:val="21"/>
                                </w:rPr>
                                <w:t>其他生活用水</w:t>
                              </w:r>
                            </w:p>
                          </w:txbxContent>
                        </v:textbox>
                      </v:shape>
                      <v:shape id="自选图形 54" o:spid="_x0000_s1026" o:spt="100" style="position:absolute;left:1351280;top:1828800;height:190500;width:190500;" filled="f" stroked="t" coordsize="200025,200025" o:gfxdata="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L8FRZ/WAAAABQEAAA8AAAAAAAAAAQAgAAAAIgAAAGRycy9kb3ducmV2LnhtbFBLAQIU&#10;ABQAAAAIAIdO4kBoUX0dZwIAAB0FAAAOAAAAAAAAAAEAIAAAACUBAABkcnMvZTJvRG9jLnhtbFBL&#10;BQYAAAAABgAGAFkBAAD+BQAAAAA=&#10;" path="m0,200025l200025,0e">
                        <v:path o:connectlocs="0,190500;190500,0" o:connectangles="0,0"/>
                        <v:fill on="f" focussize="0,0"/>
                        <v:stroke weight="0.25pt" color="#000000" joinstyle="round" endarrow="block"/>
                        <v:imagedata o:title=""/>
                        <o:lock v:ext="edit" aspectratio="f"/>
                      </v:shape>
                      <v:shape id="_x0000_s1026" o:spid="_x0000_s1026" o:spt="202" type="#_x0000_t202" style="position:absolute;left:2485390;top:1280795;height:266700;width:894715;" fillcolor="#FFFFFF" filled="t" stroked="t" coordsize="21600,21600" o:gfxdata="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AOhMin0wAAAAUBAAAPAAAAAAAAAAEAIAAAACIAAABkcnMvZG93bnJldi54bWxQ&#10;SwECFAAUAAAACACHTuJANZxqGm4CAADUBAAADgAAAAAAAAABACAAAAAiAQAAZHJzL2Uyb0RvYy54&#10;bWxQSwUGAAAAAAYABgBZAQAAAgYAAAAA&#10;">
                        <v:fill on="t" focussize="0,0"/>
                        <v:stroke weight="0.5pt" color="#000000" joinstyle="round"/>
                        <v:imagedata o:title=""/>
                        <o:lock v:ext="edit" aspectratio="f"/>
                        <v:textbox>
                          <w:txbxContent>
                            <w:p w14:paraId="223B9781">
                              <w:pPr>
                                <w:spacing w:line="240" w:lineRule="auto"/>
                                <w:ind w:firstLine="0" w:firstLineChars="0"/>
                                <w:jc w:val="center"/>
                                <w:rPr>
                                  <w:sz w:val="21"/>
                                  <w:szCs w:val="21"/>
                                </w:rPr>
                              </w:pPr>
                              <w:r>
                                <w:rPr>
                                  <w:rFonts w:hint="eastAsia"/>
                                  <w:sz w:val="21"/>
                                  <w:szCs w:val="21"/>
                                </w:rPr>
                                <w:t>油水分离器</w:t>
                              </w:r>
                            </w:p>
                          </w:txbxContent>
                        </v:textbox>
                      </v:shape>
                      <v:shape id="_x0000_s1026" o:spid="_x0000_s1026" o:spt="202" type="#_x0000_t202" style="position:absolute;left:2607945;top:2004695;height:266700;width:600075;" fillcolor="#FFFFFF" filled="t" stroked="t" coordsize="21600,21600" o:gfxdata="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AOhMin0wAAAAUBAAAPAAAAAAAAAAEAIAAAACIAAABkcnMvZG93bnJldi54bWxQSwEC&#10;FAAUAAAACACHTuJALDrnXGsCAADUBAAADgAAAAAAAAABACAAAAAiAQAAZHJzL2Uyb0RvYy54bWxQ&#10;SwUGAAAAAAYABgBZAQAA/wUAAAAA&#10;">
                        <v:fill on="t" focussize="0,0"/>
                        <v:stroke weight="0.5pt" color="#000000" joinstyle="round"/>
                        <v:imagedata o:title=""/>
                        <o:lock v:ext="edit" aspectratio="f"/>
                        <v:textbox>
                          <w:txbxContent>
                            <w:p w14:paraId="64D19783">
                              <w:pPr>
                                <w:spacing w:line="240" w:lineRule="auto"/>
                                <w:ind w:firstLine="0" w:firstLineChars="0"/>
                                <w:rPr>
                                  <w:sz w:val="21"/>
                                  <w:szCs w:val="21"/>
                                </w:rPr>
                              </w:pPr>
                              <w:r>
                                <w:rPr>
                                  <w:rFonts w:hint="eastAsia"/>
                                  <w:sz w:val="21"/>
                                  <w:szCs w:val="21"/>
                                </w:rPr>
                                <w:t>化粪池</w:t>
                              </w:r>
                            </w:p>
                          </w:txbxContent>
                        </v:textbox>
                      </v:shape>
                      <v:shape id="_x0000_s1026" o:spid="_x0000_s1026" o:spt="202" type="#_x0000_t202" style="position:absolute;left:3695065;top:2004695;height:266700;width:1389380;" fillcolor="#FFFFFF" filled="t" stroked="t" coordsize="21600,21600" o:gfxdata="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DoTIp9MAAAAFAQAADwAAAAAAAAABACAAAAAiAAAAZHJzL2Rvd25yZXYueG1sUEsB&#10;AhQAFAAAAAgAh07iQDAp725sAgAA1QQAAA4AAAAAAAAAAQAgAAAAIgEAAGRycy9lMm9Eb2MueG1s&#10;UEsFBgAAAAAGAAYAWQEAAAAGAAAAAA==&#10;">
                        <v:fill on="t" focussize="0,0"/>
                        <v:stroke weight="0.5pt" color="#000000" joinstyle="round"/>
                        <v:imagedata o:title=""/>
                        <o:lock v:ext="edit" aspectratio="f"/>
                        <v:textbox>
                          <w:txbxContent>
                            <w:p w14:paraId="4271DB33">
                              <w:pPr>
                                <w:spacing w:line="240" w:lineRule="auto"/>
                                <w:ind w:firstLine="0" w:firstLineChars="0"/>
                                <w:rPr>
                                  <w:sz w:val="21"/>
                                  <w:szCs w:val="21"/>
                                </w:rPr>
                              </w:pPr>
                              <w:r>
                                <w:rPr>
                                  <w:rFonts w:hint="eastAsia"/>
                                  <w:sz w:val="21"/>
                                  <w:szCs w:val="21"/>
                                </w:rPr>
                                <w:t>一体化污水处理设备</w:t>
                              </w:r>
                            </w:p>
                          </w:txbxContent>
                        </v:textbox>
                      </v:shape>
                      <v:shape id="_x0000_s1026" o:spid="_x0000_s1026" o:spt="202" type="#_x0000_t202" style="position:absolute;left:1256030;top:2719070;height:266700;width:771525;" fillcolor="#FFFFFF" filled="t" stroked="t" coordsize="21600,21600" o:gfxdata="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A6EyKfTAAAABQEAAA8AAAAAAAAAAQAgAAAAIgAAAGRycy9kb3ducmV2LnhtbFBL&#10;AQIUABQAAAAIAIdO4kDYkGi9bQIAANQEAAAOAAAAAAAAAAEAIAAAACIBAABkcnMvZTJvRG9jLnht&#10;bFBLBQYAAAAABgAGAFkBAAABBgAAAAA=&#10;">
                        <v:fill on="t" focussize="0,0"/>
                        <v:stroke weight="0.5pt" color="#000000" joinstyle="round"/>
                        <v:imagedata o:title=""/>
                        <o:lock v:ext="edit" aspectratio="f"/>
                        <v:textbox>
                          <w:txbxContent>
                            <w:p w14:paraId="0BC54F71">
                              <w:pPr>
                                <w:spacing w:line="240" w:lineRule="auto"/>
                                <w:ind w:firstLine="0" w:firstLineChars="0"/>
                                <w:jc w:val="center"/>
                                <w:rPr>
                                  <w:sz w:val="21"/>
                                  <w:szCs w:val="21"/>
                                </w:rPr>
                              </w:pPr>
                              <w:r>
                                <w:rPr>
                                  <w:rFonts w:hint="eastAsia"/>
                                  <w:sz w:val="21"/>
                                  <w:szCs w:val="21"/>
                                </w:rPr>
                                <w:t>降尘用水</w:t>
                              </w:r>
                            </w:p>
                          </w:txbxContent>
                        </v:textbox>
                      </v:shape>
                      <v:shape id="自选图形 49" o:spid="_x0000_s1026" o:spt="100" style="position:absolute;left:1370330;top:2475230;height:190500;width:190500;" filled="f" stroked="t" coordsize="200025,200025" o:gfxdata="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L8FRZ/WAAAABQEAAA8AAAAAAAAAAQAgAAAAIgAAAGRycy9kb3ducmV2LnhtbFBL&#10;AQIUABQAAAAIAIdO4kBar4tAagIAAB0FAAAOAAAAAAAAAAEAIAAAACUBAABkcnMvZTJvRG9jLnht&#10;bFBLBQYAAAAABgAGAFkBAAABBgAAAAA=&#10;" path="m0,200025l200025,0e">
                        <v:path o:connectlocs="0,190500;190500,0" o:connectangles="0,0"/>
                        <v:fill on="f" focussize="0,0"/>
                        <v:stroke weight="0.25pt" color="#000000" joinstyle="round" endarrow="block"/>
                        <v:imagedata o:title=""/>
                        <o:lock v:ext="edit" aspectratio="f"/>
                      </v:shape>
                      <v:shape id="_x0000_s1026" o:spid="_x0000_s1026" o:spt="202" type="#_x0000_t202" style="position:absolute;left:1284605;top:3433445;height:266700;width:771525;" fillcolor="#FFFFFF" filled="t" stroked="t" coordsize="21600,21600" o:gfxdata="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DoTIp9MAAAAFAQAADwAAAAAAAAABACAAAAAiAAAAZHJzL2Rvd25yZXYueG1s&#10;UEsBAhQAFAAAAAgAh07iQBO1XIpvAgAA1AQAAA4AAAAAAAAAAQAgAAAAIgEAAGRycy9lMm9Eb2Mu&#10;eG1sUEsFBgAAAAAGAAYAWQEAAAMGAAAAAA==&#10;">
                        <v:fill on="t" focussize="0,0"/>
                        <v:stroke weight="0.5pt" color="#000000" joinstyle="round"/>
                        <v:imagedata o:title=""/>
                        <o:lock v:ext="edit" aspectratio="f"/>
                        <v:textbox>
                          <w:txbxContent>
                            <w:p w14:paraId="029911B3">
                              <w:pPr>
                                <w:spacing w:line="240" w:lineRule="auto"/>
                                <w:ind w:firstLine="0" w:firstLineChars="0"/>
                                <w:jc w:val="center"/>
                                <w:rPr>
                                  <w:sz w:val="21"/>
                                  <w:szCs w:val="21"/>
                                </w:rPr>
                              </w:pPr>
                              <w:r>
                                <w:rPr>
                                  <w:rFonts w:hint="eastAsia"/>
                                  <w:sz w:val="21"/>
                                  <w:szCs w:val="21"/>
                                </w:rPr>
                                <w:t>绿化用水</w:t>
                              </w:r>
                            </w:p>
                          </w:txbxContent>
                        </v:textbox>
                      </v:shape>
                      <v:shape id="自选图形 47" o:spid="_x0000_s1026" o:spt="100" style="position:absolute;left:1379855;top:3128645;height:180975;width:209550;" filled="f" stroked="t" coordsize="200025,200025" o:gfxdata="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C/BUWf1gAAAAUBAAAPAAAAAAAAAAEAIAAAACIAAABkcnMvZG93bnJldi54&#10;bWxQSwECFAAUAAAACACHTuJAZEmln24CAAAdBQAADgAAAAAAAAABACAAAAAlAQAAZHJzL2Uyb0Rv&#10;Yy54bWxQSwUGAAAAAAYABgBZAQAABQYAAAAA&#10;" path="m0,200025l200025,0e">
                        <v:path o:connectlocs="0,180975;209550,0" o:connectangles="0,0"/>
                        <v:fill on="f" focussize="0,0"/>
                        <v:stroke weight="0.25pt" color="#000000" joinstyle="round" endarrow="block"/>
                        <v:imagedata o:title=""/>
                        <o:lock v:ext="edit" aspectratio="f"/>
                      </v:shape>
                      <v:shape id="自选图形 82" o:spid="_x0000_s1026" o:spt="34" type="#_x0000_t34" style="position:absolute;left:402590;top:642620;flip:y;height:1100455;width:923290;" filled="f" stroked="t" coordsize="21600,21600" o:gfxdata="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AiKkhrUAAAABQEAAA8AAAAAAAAAAQAgAAAAIgAAAGRycy9kb3ducmV2LnhtbFBLAQIUABQAAAAI&#10;AIdO4kCDu0SUKgIAADUEAAAOAAAAAAAAAAEAIAAAACMBAABkcnMvZTJvRG9jLnhtbFBLBQYAAAAA&#10;BgAGAFkBAAC/BQAAAAA=&#10;" adj="10785">
                        <v:fill on="f" focussize="0,0"/>
                        <v:stroke color="#000000" joinstyle="miter" endarrow="block"/>
                        <v:imagedata o:title=""/>
                        <o:lock v:ext="edit" aspectratio="f"/>
                      </v:shape>
                      <v:shape id="自选图形 83" o:spid="_x0000_s1026" o:spt="34" type="#_x0000_t34" style="position:absolute;left:402590;top:1414145;flip:y;height:328930;width:923290;" filled="f" stroked="t" coordsize="21600,21600" o:gfxdata="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IipIa1AAAAAUBAAAPAAAAAAAAAAEAIAAAACIAAABkcnMvZG93bnJldi54bWxQSwECFAAUAAAA&#10;CACHTuJAwS6p9CsCAAA1BAAADgAAAAAAAAABACAAAAAjAQAAZHJzL2Uyb0RvYy54bWxQSwUGAAAA&#10;AAYABgBZAQAAwAUAAAAA&#10;" adj="10785">
                        <v:fill on="f" focussize="0,0"/>
                        <v:stroke color="#000000" joinstyle="miter" endarrow="block"/>
                        <v:imagedata o:title=""/>
                        <o:lock v:ext="edit" aspectratio="f"/>
                      </v:shape>
                      <v:shape id="自选图形 84" o:spid="_x0000_s1026" o:spt="34" type="#_x0000_t34" style="position:absolute;left:402590;top:1743075;height:394970;width:923290;" filled="f" stroked="t" coordsize="21600,21600" o:gfxdata="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k&#10;XLsx1gAAAAUBAAAPAAAAAAAAAAEAIAAAACIAAABkcnMvZG93bnJldi54bWxQSwECFAAUAAAACACH&#10;TuJAvN87RCYCAAArBAAADgAAAAAAAAABACAAAAAlAQAAZHJzL2Uyb0RvYy54bWxQSwUGAAAAAAYA&#10;BgBZAQAAvQUAAAAA&#10;" adj="10785">
                        <v:fill on="f" focussize="0,0"/>
                        <v:stroke color="#000000" joinstyle="miter" endarrow="block"/>
                        <v:imagedata o:title=""/>
                        <o:lock v:ext="edit" aspectratio="f"/>
                      </v:shape>
                      <v:shape id="自选图形 85" o:spid="_x0000_s1026" o:spt="32" type="#_x0000_t32" style="position:absolute;left:2381885;top:2138045;height:1;width:464820;" filled="f" stroked="t" coordsize="21600,21600" o:gfxdata="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DSADWtcAAAAFAQAADwAAAAAAAAABACAAAAAiAAAA&#10;ZHJzL2Rvd25yZXYueG1sUEsBAhQAFAAAAAgAh07iQGgisIEIAgAA9AMAAA4AAAAAAAAAAQAgAAAA&#10;JgEAAGRycy9lMm9Eb2MueG1sUEsFBgAAAAAGAAYAWQEAAKAFAAAAAA==&#10;">
                        <v:fill on="f" focussize="0,0"/>
                        <v:stroke color="#000000" joinstyle="round" endarrow="block"/>
                        <v:imagedata o:title=""/>
                        <o:lock v:ext="edit" aspectratio="f"/>
                      </v:shape>
                      <v:shape id="自选图形 86" o:spid="_x0000_s1026" o:spt="32" type="#_x0000_t32" style="position:absolute;left:2097405;top:1409700;flip:y;height:4445;width:454660;" filled="f" stroked="t" coordsize="21600,21600" o:gfxdata="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9vCsk1gAAAAUBAAAPAAAAAAAAAAEA&#10;IAAAACIAAABkcnMvZG93bnJldi54bWxQSwECFAAUAAAACACHTuJAfO6W+xECAAABBAAADgAAAAAA&#10;AAABACAAAAAlAQAAZHJzL2Uyb0RvYy54bWxQSwUGAAAAAAYABgBZAQAAqAUAAAAA&#10;">
                        <v:fill on="f" focussize="0,0"/>
                        <v:stroke color="#000000" joinstyle="round" endarrow="block"/>
                        <v:imagedata o:title=""/>
                        <o:lock v:ext="edit" aspectratio="f"/>
                      </v:shape>
                      <v:shape id="自选图形 87" o:spid="_x0000_s1026" o:spt="33" type="#_x0000_t33" style="position:absolute;left:3446780;top:1409700;height:461645;width:1030605;" filled="f" stroked="t" coordsize="21600,21600" o:gfxdata="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DsS8z9cAAAAFAQAADwAAAAAAAAAB&#10;ACAAAAAiAAAAZHJzL2Rvd25yZXYueG1sUEsBAhQAFAAAAAgAh07iQA/IHJ0RAgAAAAQAAA4AAAAA&#10;AAAAAQAgAAAAJgEAAGRycy9lMm9Eb2MueG1sUEsFBgAAAAAGAAYAWQEAAKkFAAAAAA==&#10;">
                        <v:fill on="f" focussize="0,0"/>
                        <v:stroke color="#000000" joinstyle="miter" endarrow="block"/>
                        <v:imagedata o:title=""/>
                        <o:lock v:ext="edit" aspectratio="f"/>
                      </v:shape>
                      <v:shape id="自选图形 89" o:spid="_x0000_s1026" o:spt="32" type="#_x0000_t32" style="position:absolute;left:3446780;top:2138045;height:5715;width:573405;" filled="f" stroked="t" coordsize="21600,21600" o:gfxdata="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A0gA1rXAAAABQEAAA8AAAAAAAAAAQAg&#10;AAAAIgAAAGRycy9kb3ducmV2LnhtbFBLAQIUABQAAAAIAIdO4kDDP24TDwIAAPcDAAAOAAAAAAAA&#10;AAEAIAAAACYBAABkcnMvZTJvRG9jLnhtbFBLBQYAAAAABgAGAFkBAACnBQAAAAA=&#10;">
                        <v:fill on="f" focussize="0,0"/>
                        <v:stroke color="#000000" joinstyle="round" endarrow="block"/>
                        <v:imagedata o:title=""/>
                        <o:lock v:ext="edit" aspectratio="f"/>
                      </v:shape>
                      <v:shape id="_x0000_s1026" o:spid="_x0000_s1026" o:spt="202" type="#_x0000_t202" style="position:absolute;left:2846705;top:-528955;height:266700;width:923925;" fillcolor="#FFFFFF" filled="t" stroked="t" coordsize="21600,21600" o:gfxdata="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AOhMin0wAAAAUBAAAPAAAAAAAAAAEAIAAAACIAAABkcnMvZG93bnJldi54bWxQ&#10;SwECFAAUAAAACACHTuJAtnI3bW4CAADSBAAADgAAAAAAAAABACAAAAAiAQAAZHJzL2Uyb0RvYy54&#10;bWxQSwUGAAAAAAYABgBZAQAAAgYAAAAA&#10;">
                        <v:fill on="t" focussize="0,0"/>
                        <v:stroke weight="0.5pt" color="#000000" joinstyle="round"/>
                        <v:imagedata o:title=""/>
                        <o:lock v:ext="edit" aspectratio="f"/>
                        <v:textbox>
                          <w:txbxContent>
                            <w:p w14:paraId="7417F805">
                              <w:pPr>
                                <w:spacing w:line="240" w:lineRule="auto"/>
                                <w:ind w:firstLine="0" w:firstLineChars="0"/>
                                <w:jc w:val="center"/>
                                <w:rPr>
                                  <w:sz w:val="21"/>
                                  <w:szCs w:val="21"/>
                                </w:rPr>
                              </w:pPr>
                              <w:r>
                                <w:rPr>
                                  <w:rFonts w:hint="eastAsia"/>
                                  <w:sz w:val="21"/>
                                  <w:szCs w:val="21"/>
                                </w:rPr>
                                <w:t>车辆清洗池</w:t>
                              </w:r>
                            </w:p>
                          </w:txbxContent>
                        </v:textbox>
                      </v:shape>
                      <v:shape id="自选图形 91" o:spid="_x0000_s1026" o:spt="32" type="#_x0000_t32" style="position:absolute;left:2097405;top:642620;height:5080;width:596900;" filled="f" stroked="t" coordsize="21600,21600" o:gfxdata="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NIANa1wAAAAUBAAAPAAAAAAAAAAEAIAAA&#10;ACIAAABkcnMvZG93bnJldi54bWxQSwECFAAUAAAACACHTuJA5nEHIQ0CAAD2AwAADgAAAAAAAAAB&#10;ACAAAAAmAQAAZHJzL2Uyb0RvYy54bWxQSwUGAAAAAAYABgBZAQAApQUAAAAA&#10;">
                        <v:fill on="f" focussize="0,0"/>
                        <v:stroke color="#000000" joinstyle="round" endarrow="block"/>
                        <v:imagedata o:title=""/>
                        <o:lock v:ext="edit" aspectratio="f"/>
                      </v:shape>
                      <v:shape id="自选图形 92" o:spid="_x0000_s1026" o:spt="34" type="#_x0000_t34" style="position:absolute;left:2431733;top:-210503;flip:x;height:1444625;width:5080;rotation:-5898240f;" filled="f" stroked="t" coordsize="21600,21600" o:gfxdata="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PVU9FbWAAAABQEAAA8AAAAAAAAAAQAgAAAAIgAAAGRycy9kb3ducmV2&#10;LnhtbFBLAQIUABQAAAAIAIdO4kDwQyamNwIAAEcEAAAOAAAAAAAAAAEAIAAAACUBAABkcnMvZTJv&#10;RG9jLnhtbFBLBQYAAAAABgAGAFkBAADOBQAAAAA=&#10;" adj="993600">
                        <v:fill on="f" focussize="0,0"/>
                        <v:stroke color="#000000" joinstyle="miter" endarrow="block"/>
                        <v:imagedata o:title=""/>
                        <o:lock v:ext="edit" aspectratio="f"/>
                      </v:shape>
                      <v:shape id="自选图形 93" o:spid="_x0000_s1026" o:spt="34" type="#_x0000_t34" style="position:absolute;left:402590;top:1743075;height:1056005;width:923290;" filled="f" stroked="t" coordsize="21600,21600" o:gfxdata="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k&#10;XLsx1gAAAAUBAAAPAAAAAAAAAAEAIAAAACIAAABkcnMvZG93bnJldi54bWxQSwECFAAUAAAACACH&#10;TuJAx+5oXCYCAAAsBAAADgAAAAAAAAABACAAAAAlAQAAZHJzL2Uyb0RvYy54bWxQSwUGAAAAAAYA&#10;BgBZAQAAvQUAAAAA&#10;" adj="10785">
                        <v:fill on="f" focussize="0,0"/>
                        <v:stroke color="#000000" joinstyle="miter" endarrow="block"/>
                        <v:imagedata o:title=""/>
                        <o:lock v:ext="edit" aspectratio="f"/>
                      </v:shape>
                      <v:shape id="自选图形 94" o:spid="_x0000_s1026" o:spt="34" type="#_x0000_t34" style="position:absolute;left:402590;top:1743075;height:1699895;width:923290;" filled="f" stroked="t" coordsize="21600,21600" o:gfxdata="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k&#10;XLsx1gAAAAUBAAAPAAAAAAAAAAEAIAAAACIAAABkcnMvZG93bnJldi54bWxQSwECFAAUAAAACACH&#10;TuJAnad5tiYCAAAsBAAADgAAAAAAAAABACAAAAAlAQAAZHJzL2Uyb0RvYy54bWxQSwUGAAAAAAYA&#10;BgBZAQAAvQUAAAAA&#10;" adj="10785">
                        <v:fill on="f" focussize="0,0"/>
                        <v:stroke color="#000000" joinstyle="miter" endarrow="block"/>
                        <v:imagedata o:title=""/>
                        <o:lock v:ext="edit" aspectratio="f"/>
                      </v:shape>
                      <v:shape id="自选图形 95" o:spid="_x0000_s1026" o:spt="33" type="#_x0000_t33" style="position:absolute;left:2773997;top:1739583;height:2379980;width:1026795;rotation:5898240f;" filled="f" stroked="t" coordsize="21600,21600" o:gfxdata="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EYHAyfXAAAABQEA&#10;AA8AAAAAAAAAAQAgAAAAIgAAAGRycy9kb3ducmV2LnhtbFBLAQIUABQAAAAIAIdO4kBZXOvzGwIA&#10;AA8EAAAOAAAAAAAAAAEAIAAAACYBAABkcnMvZTJvRG9jLnhtbFBLBQYAAAAABgAGAFkBAACzBQAA&#10;AAA=&#10;">
                        <v:fill on="f" focussize="0,0"/>
                        <v:stroke color="#000000" joinstyle="miter" endarrow="block"/>
                        <v:imagedata o:title=""/>
                        <o:lock v:ext="edit" aspectratio="f"/>
                      </v:shape>
                      <w10:wrap type="none"/>
                      <w10:anchorlock/>
                    </v:group>
                  </w:pict>
                </mc:Fallback>
              </mc:AlternateContent>
            </w:r>
          </w:p>
          <w:p w14:paraId="43F6CC7A">
            <w:pPr>
              <w:tabs>
                <w:tab w:val="left" w:pos="540"/>
                <w:tab w:val="left" w:pos="851"/>
                <w:tab w:val="left" w:pos="994"/>
                <w:tab w:val="left" w:pos="1260"/>
                <w:tab w:val="left" w:pos="3108"/>
                <w:tab w:val="left" w:pos="3150"/>
              </w:tabs>
              <w:ind w:firstLine="0" w:firstLineChars="0"/>
              <w:jc w:val="center"/>
              <w:rPr>
                <w:rFonts w:cs="宋体"/>
                <w:b/>
                <w:bCs/>
                <w:sz w:val="21"/>
                <w:szCs w:val="21"/>
              </w:rPr>
            </w:pPr>
            <w:r>
              <w:rPr>
                <w:rFonts w:hint="eastAsia"/>
                <w:b/>
                <w:bCs/>
                <w:sz w:val="21"/>
                <w:szCs w:val="21"/>
              </w:rPr>
              <w:t>图</w:t>
            </w:r>
            <w:r>
              <w:rPr>
                <w:b/>
                <w:bCs/>
                <w:sz w:val="21"/>
                <w:szCs w:val="21"/>
              </w:rPr>
              <w:t>2</w:t>
            </w:r>
            <w:r>
              <w:rPr>
                <w:rFonts w:hint="eastAsia"/>
                <w:b/>
                <w:bCs/>
                <w:sz w:val="21"/>
                <w:szCs w:val="21"/>
              </w:rPr>
              <w:t>-1</w:t>
            </w:r>
            <w:r>
              <w:rPr>
                <w:b/>
                <w:bCs/>
                <w:sz w:val="21"/>
                <w:szCs w:val="21"/>
              </w:rPr>
              <w:t xml:space="preserve"> </w:t>
            </w:r>
            <w:r>
              <w:rPr>
                <w:rFonts w:hint="eastAsia"/>
                <w:b/>
                <w:bCs/>
                <w:sz w:val="21"/>
                <w:szCs w:val="21"/>
              </w:rPr>
              <w:t xml:space="preserve"> </w:t>
            </w:r>
            <w:r>
              <w:rPr>
                <w:rFonts w:hint="eastAsia" w:cs="宋体"/>
                <w:b/>
                <w:bCs/>
                <w:sz w:val="21"/>
                <w:szCs w:val="21"/>
              </w:rPr>
              <w:t>项目晴天水平衡图（单位</w:t>
            </w:r>
            <w:r>
              <w:rPr>
                <w:b/>
                <w:bCs/>
                <w:sz w:val="21"/>
                <w:szCs w:val="21"/>
              </w:rPr>
              <w:t>m</w:t>
            </w:r>
            <w:r>
              <w:rPr>
                <w:b/>
                <w:bCs/>
                <w:sz w:val="21"/>
                <w:szCs w:val="21"/>
                <w:vertAlign w:val="superscript"/>
              </w:rPr>
              <w:t>3</w:t>
            </w:r>
            <w:r>
              <w:rPr>
                <w:b/>
                <w:bCs/>
                <w:sz w:val="21"/>
                <w:szCs w:val="21"/>
              </w:rPr>
              <w:t>/d</w:t>
            </w:r>
            <w:r>
              <w:rPr>
                <w:rFonts w:hint="eastAsia" w:cs="宋体"/>
                <w:b/>
                <w:bCs/>
                <w:sz w:val="21"/>
                <w:szCs w:val="21"/>
              </w:rPr>
              <w:t>）</w:t>
            </w:r>
          </w:p>
          <w:p w14:paraId="40731CED">
            <w:pPr>
              <w:tabs>
                <w:tab w:val="left" w:pos="540"/>
                <w:tab w:val="left" w:pos="851"/>
                <w:tab w:val="left" w:pos="994"/>
                <w:tab w:val="left" w:pos="1260"/>
                <w:tab w:val="left" w:pos="3108"/>
                <w:tab w:val="left" w:pos="3150"/>
              </w:tabs>
              <w:ind w:firstLine="0" w:firstLineChars="0"/>
              <w:jc w:val="center"/>
              <w:rPr>
                <w:rFonts w:cs="宋体"/>
                <w:b/>
                <w:bCs/>
                <w:sz w:val="21"/>
                <w:szCs w:val="21"/>
              </w:rPr>
            </w:pPr>
          </w:p>
          <w:p w14:paraId="635FF06B">
            <w:pPr>
              <w:tabs>
                <w:tab w:val="left" w:pos="540"/>
                <w:tab w:val="left" w:pos="851"/>
                <w:tab w:val="left" w:pos="994"/>
                <w:tab w:val="left" w:pos="1260"/>
                <w:tab w:val="left" w:pos="3108"/>
                <w:tab w:val="left" w:pos="3150"/>
              </w:tabs>
              <w:ind w:firstLine="0" w:firstLineChars="0"/>
              <w:jc w:val="center"/>
              <w:rPr>
                <w:rFonts w:cs="宋体"/>
                <w:b/>
                <w:bCs/>
                <w:sz w:val="21"/>
                <w:szCs w:val="21"/>
              </w:rPr>
            </w:pPr>
          </w:p>
          <w:p w14:paraId="01B44E62">
            <w:pPr>
              <w:tabs>
                <w:tab w:val="left" w:pos="540"/>
                <w:tab w:val="left" w:pos="851"/>
                <w:tab w:val="left" w:pos="994"/>
                <w:tab w:val="left" w:pos="1260"/>
                <w:tab w:val="left" w:pos="3108"/>
                <w:tab w:val="left" w:pos="3150"/>
              </w:tabs>
              <w:ind w:firstLine="0" w:firstLineChars="0"/>
              <w:jc w:val="center"/>
              <w:rPr>
                <w:rFonts w:cs="宋体"/>
                <w:b/>
                <w:bCs/>
                <w:sz w:val="21"/>
                <w:szCs w:val="21"/>
              </w:rPr>
            </w:pPr>
          </w:p>
          <w:p w14:paraId="501AC75F">
            <w:pPr>
              <w:tabs>
                <w:tab w:val="left" w:pos="540"/>
                <w:tab w:val="left" w:pos="851"/>
                <w:tab w:val="left" w:pos="994"/>
                <w:tab w:val="left" w:pos="1260"/>
                <w:tab w:val="left" w:pos="3108"/>
                <w:tab w:val="left" w:pos="3150"/>
              </w:tabs>
              <w:ind w:firstLine="0" w:firstLineChars="0"/>
              <w:jc w:val="center"/>
              <w:rPr>
                <w:rFonts w:cs="宋体"/>
                <w:b/>
                <w:bCs/>
                <w:sz w:val="21"/>
                <w:szCs w:val="21"/>
              </w:rPr>
            </w:pPr>
          </w:p>
          <w:p w14:paraId="226F4D43">
            <w:pPr>
              <w:tabs>
                <w:tab w:val="left" w:pos="540"/>
                <w:tab w:val="left" w:pos="851"/>
                <w:tab w:val="left" w:pos="994"/>
                <w:tab w:val="left" w:pos="1260"/>
                <w:tab w:val="left" w:pos="3108"/>
                <w:tab w:val="left" w:pos="3150"/>
              </w:tabs>
              <w:ind w:firstLine="0" w:firstLineChars="0"/>
            </w:pPr>
            <w:r>
              <mc:AlternateContent>
                <mc:Choice Requires="wpc">
                  <w:drawing>
                    <wp:inline distT="0" distB="0" distL="114300" distR="114300">
                      <wp:extent cx="5186045" cy="3464560"/>
                      <wp:effectExtent l="0" t="681355" r="0" b="0"/>
                      <wp:docPr id="84" name="画布 107"/>
                      <wp:cNvGraphicFramePr/>
                      <a:graphic xmlns:a="http://schemas.openxmlformats.org/drawingml/2006/main">
                        <a:graphicData uri="http://schemas.microsoft.com/office/word/2010/wordprocessingCanvas">
                          <wpc:wpc>
                            <wpc:bg>
                              <a:noFill/>
                            </wpc:bg>
                            <wpc:whole>
                              <a:ln>
                                <a:noFill/>
                              </a:ln>
                            </wpc:whole>
                            <wps:wsp>
                              <wps:cNvPr id="38" name="文本框 98"/>
                              <wps:cNvSpPr txBox="1"/>
                              <wps:spPr>
                                <a:xfrm>
                                  <a:off x="1427480" y="42545"/>
                                  <a:ext cx="771525" cy="323850"/>
                                </a:xfrm>
                                <a:prstGeom prst="rect">
                                  <a:avLst/>
                                </a:prstGeom>
                                <a:solidFill>
                                  <a:srgbClr val="FFFFFF"/>
                                </a:solidFill>
                                <a:ln w="6350">
                                  <a:noFill/>
                                </a:ln>
                                <a:effectLst/>
                              </wps:spPr>
                              <wps:txbx>
                                <w:txbxContent>
                                  <w:p w14:paraId="66EB633F">
                                    <w:pPr>
                                      <w:spacing w:line="240" w:lineRule="auto"/>
                                      <w:ind w:firstLine="0" w:firstLineChars="0"/>
                                      <w:jc w:val="center"/>
                                      <w:rPr>
                                        <w:sz w:val="21"/>
                                        <w:szCs w:val="21"/>
                                      </w:rPr>
                                    </w:pPr>
                                    <w:r>
                                      <w:rPr>
                                        <w:rFonts w:hint="eastAsia"/>
                                        <w:sz w:val="21"/>
                                        <w:szCs w:val="21"/>
                                      </w:rPr>
                                      <w:t>6.5/次</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9" name="文本框 103"/>
                              <wps:cNvSpPr txBox="1"/>
                              <wps:spPr>
                                <a:xfrm>
                                  <a:off x="1417955" y="804545"/>
                                  <a:ext cx="771525" cy="323850"/>
                                </a:xfrm>
                                <a:prstGeom prst="rect">
                                  <a:avLst/>
                                </a:prstGeom>
                                <a:solidFill>
                                  <a:srgbClr val="FFFFFF"/>
                                </a:solidFill>
                                <a:ln w="6350">
                                  <a:noFill/>
                                </a:ln>
                                <a:effectLst/>
                              </wps:spPr>
                              <wps:txbx>
                                <w:txbxContent>
                                  <w:p w14:paraId="2137144E">
                                    <w:pPr>
                                      <w:spacing w:line="240" w:lineRule="auto"/>
                                      <w:ind w:firstLine="0" w:firstLineChars="0"/>
                                      <w:rPr>
                                        <w:sz w:val="21"/>
                                        <w:szCs w:val="21"/>
                                      </w:rPr>
                                    </w:pPr>
                                    <w:r>
                                      <w:rPr>
                                        <w:rFonts w:hint="eastAsia"/>
                                        <w:sz w:val="21"/>
                                        <w:szCs w:val="21"/>
                                      </w:rPr>
                                      <w:t>耗0.03</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0" name="文本框 98"/>
                              <wps:cNvSpPr txBox="1"/>
                              <wps:spPr>
                                <a:xfrm>
                                  <a:off x="1427480" y="42545"/>
                                  <a:ext cx="771525" cy="323850"/>
                                </a:xfrm>
                                <a:prstGeom prst="rect">
                                  <a:avLst/>
                                </a:prstGeom>
                                <a:solidFill>
                                  <a:srgbClr val="FFFFFF"/>
                                </a:solidFill>
                                <a:ln w="6350">
                                  <a:noFill/>
                                </a:ln>
                                <a:effectLst/>
                              </wps:spPr>
                              <wps:txbx>
                                <w:txbxContent>
                                  <w:p w14:paraId="72CEB6A0">
                                    <w:pPr>
                                      <w:spacing w:line="240" w:lineRule="auto"/>
                                      <w:ind w:firstLine="0" w:firstLineChars="0"/>
                                      <w:rPr>
                                        <w:sz w:val="21"/>
                                        <w:szCs w:val="21"/>
                                      </w:rPr>
                                    </w:pPr>
                                    <w:r>
                                      <w:rPr>
                                        <w:rFonts w:hint="eastAsia"/>
                                        <w:sz w:val="21"/>
                                        <w:szCs w:val="21"/>
                                      </w:rPr>
                                      <w:t>0.546</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1" name="文本框 98"/>
                              <wps:cNvSpPr txBox="1"/>
                              <wps:spPr>
                                <a:xfrm>
                                  <a:off x="1427480" y="42545"/>
                                  <a:ext cx="771525" cy="323850"/>
                                </a:xfrm>
                                <a:prstGeom prst="rect">
                                  <a:avLst/>
                                </a:prstGeom>
                                <a:solidFill>
                                  <a:srgbClr val="FFFFFF"/>
                                </a:solidFill>
                                <a:ln w="6350">
                                  <a:noFill/>
                                </a:ln>
                                <a:effectLst/>
                              </wps:spPr>
                              <wps:txbx>
                                <w:txbxContent>
                                  <w:p w14:paraId="43D2D8C2">
                                    <w:pPr>
                                      <w:spacing w:line="240" w:lineRule="auto"/>
                                      <w:ind w:firstLine="0" w:firstLineChars="0"/>
                                      <w:jc w:val="center"/>
                                      <w:rPr>
                                        <w:sz w:val="21"/>
                                        <w:szCs w:val="21"/>
                                      </w:rPr>
                                    </w:pPr>
                                    <w:r>
                                      <w:rPr>
                                        <w:rFonts w:hint="eastAsia"/>
                                        <w:sz w:val="21"/>
                                        <w:szCs w:val="21"/>
                                      </w:rPr>
                                      <w:t>5.531</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2" name="文本框 98"/>
                              <wps:cNvSpPr txBox="1"/>
                              <wps:spPr>
                                <a:xfrm>
                                  <a:off x="1427480" y="42545"/>
                                  <a:ext cx="771525" cy="323850"/>
                                </a:xfrm>
                                <a:prstGeom prst="rect">
                                  <a:avLst/>
                                </a:prstGeom>
                                <a:solidFill>
                                  <a:srgbClr val="FFFFFF"/>
                                </a:solidFill>
                                <a:ln w="6350">
                                  <a:noFill/>
                                </a:ln>
                                <a:effectLst/>
                              </wps:spPr>
                              <wps:txbx>
                                <w:txbxContent>
                                  <w:p w14:paraId="4A94E429">
                                    <w:pPr>
                                      <w:spacing w:line="240" w:lineRule="auto"/>
                                      <w:ind w:firstLine="0" w:firstLineChars="0"/>
                                      <w:jc w:val="center"/>
                                      <w:rPr>
                                        <w:sz w:val="21"/>
                                        <w:szCs w:val="21"/>
                                      </w:rPr>
                                    </w:pPr>
                                    <w:r>
                                      <w:rPr>
                                        <w:rFonts w:hint="eastAsia"/>
                                        <w:sz w:val="21"/>
                                        <w:szCs w:val="21"/>
                                      </w:rPr>
                                      <w:t>4.608</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3" name="文本框 98"/>
                              <wps:cNvSpPr txBox="1"/>
                              <wps:spPr>
                                <a:xfrm>
                                  <a:off x="1427480" y="42545"/>
                                  <a:ext cx="771525" cy="323850"/>
                                </a:xfrm>
                                <a:prstGeom prst="rect">
                                  <a:avLst/>
                                </a:prstGeom>
                                <a:solidFill>
                                  <a:srgbClr val="FFFFFF"/>
                                </a:solidFill>
                                <a:ln w="6350">
                                  <a:noFill/>
                                </a:ln>
                                <a:effectLst/>
                              </wps:spPr>
                              <wps:txbx>
                                <w:txbxContent>
                                  <w:p w14:paraId="3B7732CE">
                                    <w:pPr>
                                      <w:spacing w:line="240" w:lineRule="auto"/>
                                      <w:ind w:firstLine="0" w:firstLineChars="0"/>
                                      <w:jc w:val="center"/>
                                      <w:rPr>
                                        <w:sz w:val="21"/>
                                        <w:szCs w:val="21"/>
                                      </w:rPr>
                                    </w:pPr>
                                    <w:r>
                                      <w:rPr>
                                        <w:rFonts w:hint="eastAsia"/>
                                        <w:sz w:val="21"/>
                                        <w:szCs w:val="21"/>
                                      </w:rPr>
                                      <w:t>0.426</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4" name="文本框 98"/>
                              <wps:cNvSpPr txBox="1"/>
                              <wps:spPr>
                                <a:xfrm>
                                  <a:off x="1427480" y="42545"/>
                                  <a:ext cx="771525" cy="323850"/>
                                </a:xfrm>
                                <a:prstGeom prst="rect">
                                  <a:avLst/>
                                </a:prstGeom>
                                <a:solidFill>
                                  <a:srgbClr val="FFFFFF"/>
                                </a:solidFill>
                                <a:ln w="6350">
                                  <a:noFill/>
                                </a:ln>
                                <a:effectLst/>
                              </wps:spPr>
                              <wps:txbx>
                                <w:txbxContent>
                                  <w:p w14:paraId="46A19921">
                                    <w:pPr>
                                      <w:spacing w:line="240" w:lineRule="auto"/>
                                      <w:ind w:firstLine="0" w:firstLineChars="0"/>
                                      <w:jc w:val="center"/>
                                      <w:rPr>
                                        <w:sz w:val="21"/>
                                        <w:szCs w:val="21"/>
                                      </w:rPr>
                                    </w:pPr>
                                    <w:r>
                                      <w:rPr>
                                        <w:rFonts w:hint="eastAsia"/>
                                        <w:sz w:val="21"/>
                                        <w:szCs w:val="21"/>
                                      </w:rPr>
                                      <w:t>0.426</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5" name="文本框 98"/>
                              <wps:cNvSpPr txBox="1"/>
                              <wps:spPr>
                                <a:xfrm>
                                  <a:off x="1427480" y="42545"/>
                                  <a:ext cx="771525" cy="323850"/>
                                </a:xfrm>
                                <a:prstGeom prst="rect">
                                  <a:avLst/>
                                </a:prstGeom>
                                <a:solidFill>
                                  <a:srgbClr val="FFFFFF"/>
                                </a:solidFill>
                                <a:ln w="6350">
                                  <a:noFill/>
                                </a:ln>
                                <a:effectLst/>
                              </wps:spPr>
                              <wps:txbx>
                                <w:txbxContent>
                                  <w:p w14:paraId="26695338">
                                    <w:pPr>
                                      <w:spacing w:line="240" w:lineRule="auto"/>
                                      <w:ind w:firstLine="0" w:firstLineChars="0"/>
                                      <w:jc w:val="center"/>
                                      <w:rPr>
                                        <w:sz w:val="21"/>
                                        <w:szCs w:val="21"/>
                                      </w:rPr>
                                    </w:pPr>
                                    <w:r>
                                      <w:rPr>
                                        <w:rFonts w:hint="eastAsia"/>
                                        <w:sz w:val="21"/>
                                        <w:szCs w:val="21"/>
                                      </w:rPr>
                                      <w:t>0.533</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6" name="文本框 98"/>
                              <wps:cNvSpPr txBox="1"/>
                              <wps:spPr>
                                <a:xfrm>
                                  <a:off x="1427480" y="42545"/>
                                  <a:ext cx="771525" cy="323850"/>
                                </a:xfrm>
                                <a:prstGeom prst="rect">
                                  <a:avLst/>
                                </a:prstGeom>
                                <a:solidFill>
                                  <a:srgbClr val="FFFFFF"/>
                                </a:solidFill>
                                <a:ln w="6350">
                                  <a:noFill/>
                                </a:ln>
                                <a:effectLst/>
                              </wps:spPr>
                              <wps:txbx>
                                <w:txbxContent>
                                  <w:p w14:paraId="4AC1F171">
                                    <w:pPr>
                                      <w:spacing w:line="240" w:lineRule="auto"/>
                                      <w:ind w:firstLine="0" w:firstLineChars="0"/>
                                      <w:jc w:val="center"/>
                                      <w:rPr>
                                        <w:sz w:val="21"/>
                                        <w:szCs w:val="21"/>
                                      </w:rPr>
                                    </w:pPr>
                                    <w:r>
                                      <w:rPr>
                                        <w:rFonts w:hint="eastAsia"/>
                                        <w:sz w:val="21"/>
                                        <w:szCs w:val="21"/>
                                      </w:rPr>
                                      <w:t>0.12</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7" name="文本框 98"/>
                              <wps:cNvSpPr txBox="1"/>
                              <wps:spPr>
                                <a:xfrm>
                                  <a:off x="1427480" y="42545"/>
                                  <a:ext cx="771525" cy="323850"/>
                                </a:xfrm>
                                <a:prstGeom prst="rect">
                                  <a:avLst/>
                                </a:prstGeom>
                                <a:solidFill>
                                  <a:srgbClr val="FFFFFF"/>
                                </a:solidFill>
                                <a:ln w="6350">
                                  <a:noFill/>
                                </a:ln>
                                <a:effectLst/>
                              </wps:spPr>
                              <wps:txbx>
                                <w:txbxContent>
                                  <w:p w14:paraId="7E7E079C">
                                    <w:pPr>
                                      <w:spacing w:line="240" w:lineRule="auto"/>
                                      <w:ind w:firstLine="0" w:firstLineChars="0"/>
                                      <w:jc w:val="center"/>
                                      <w:rPr>
                                        <w:sz w:val="21"/>
                                        <w:szCs w:val="21"/>
                                      </w:rPr>
                                    </w:pPr>
                                    <w:r>
                                      <w:rPr>
                                        <w:rFonts w:hint="eastAsia"/>
                                        <w:sz w:val="21"/>
                                        <w:szCs w:val="21"/>
                                      </w:rPr>
                                      <w:t>0.12</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8" name="文本框 98"/>
                              <wps:cNvSpPr txBox="1"/>
                              <wps:spPr>
                                <a:xfrm>
                                  <a:off x="1427480" y="42545"/>
                                  <a:ext cx="771525" cy="323850"/>
                                </a:xfrm>
                                <a:prstGeom prst="rect">
                                  <a:avLst/>
                                </a:prstGeom>
                                <a:solidFill>
                                  <a:srgbClr val="FFFFFF"/>
                                </a:solidFill>
                                <a:ln w="6350">
                                  <a:noFill/>
                                </a:ln>
                                <a:effectLst/>
                              </wps:spPr>
                              <wps:txbx>
                                <w:txbxContent>
                                  <w:p w14:paraId="238F3FB1">
                                    <w:pPr>
                                      <w:spacing w:line="240" w:lineRule="auto"/>
                                      <w:ind w:firstLine="0" w:firstLineChars="0"/>
                                      <w:jc w:val="center"/>
                                      <w:rPr>
                                        <w:sz w:val="21"/>
                                        <w:szCs w:val="21"/>
                                      </w:rPr>
                                    </w:pPr>
                                    <w:r>
                                      <w:rPr>
                                        <w:rFonts w:hint="eastAsia"/>
                                        <w:sz w:val="21"/>
                                        <w:szCs w:val="21"/>
                                      </w:rPr>
                                      <w:t>0.15</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9" name="文本框 98"/>
                              <wps:cNvSpPr txBox="1"/>
                              <wps:spPr>
                                <a:xfrm>
                                  <a:off x="1427480" y="42545"/>
                                  <a:ext cx="771525" cy="323850"/>
                                </a:xfrm>
                                <a:prstGeom prst="rect">
                                  <a:avLst/>
                                </a:prstGeom>
                                <a:solidFill>
                                  <a:srgbClr val="FFFFFF"/>
                                </a:solidFill>
                                <a:ln w="6350">
                                  <a:noFill/>
                                </a:ln>
                                <a:effectLst/>
                              </wps:spPr>
                              <wps:txbx>
                                <w:txbxContent>
                                  <w:p w14:paraId="4C28301F">
                                    <w:pPr>
                                      <w:spacing w:line="240" w:lineRule="auto"/>
                                      <w:ind w:firstLine="0" w:firstLineChars="0"/>
                                      <w:jc w:val="center"/>
                                      <w:rPr>
                                        <w:sz w:val="21"/>
                                        <w:szCs w:val="21"/>
                                      </w:rPr>
                                    </w:pPr>
                                    <w:r>
                                      <w:rPr>
                                        <w:rFonts w:hint="eastAsia"/>
                                        <w:sz w:val="21"/>
                                        <w:szCs w:val="21"/>
                                      </w:rPr>
                                      <w:t>0.24</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0" name="文本框 106"/>
                              <wps:cNvSpPr txBox="1"/>
                              <wps:spPr>
                                <a:xfrm>
                                  <a:off x="1417955" y="1547495"/>
                                  <a:ext cx="771525" cy="323850"/>
                                </a:xfrm>
                                <a:prstGeom prst="rect">
                                  <a:avLst/>
                                </a:prstGeom>
                                <a:solidFill>
                                  <a:srgbClr val="FFFFFF"/>
                                </a:solidFill>
                                <a:ln w="6350">
                                  <a:noFill/>
                                </a:ln>
                                <a:effectLst/>
                              </wps:spPr>
                              <wps:txbx>
                                <w:txbxContent>
                                  <w:p w14:paraId="6B5BB917">
                                    <w:pPr>
                                      <w:spacing w:line="240" w:lineRule="auto"/>
                                      <w:ind w:firstLine="0" w:firstLineChars="0"/>
                                      <w:rPr>
                                        <w:sz w:val="21"/>
                                        <w:szCs w:val="21"/>
                                      </w:rPr>
                                    </w:pPr>
                                    <w:r>
                                      <w:rPr>
                                        <w:rFonts w:hint="eastAsia"/>
                                        <w:sz w:val="21"/>
                                        <w:szCs w:val="21"/>
                                      </w:rPr>
                                      <w:t>耗0.107</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1" name="文本框 112"/>
                              <wps:cNvSpPr txBox="1"/>
                              <wps:spPr>
                                <a:xfrm>
                                  <a:off x="1370330" y="2290445"/>
                                  <a:ext cx="771525" cy="323850"/>
                                </a:xfrm>
                                <a:prstGeom prst="rect">
                                  <a:avLst/>
                                </a:prstGeom>
                                <a:solidFill>
                                  <a:srgbClr val="FFFFFF"/>
                                </a:solidFill>
                                <a:ln w="6350">
                                  <a:noFill/>
                                </a:ln>
                                <a:effectLst/>
                              </wps:spPr>
                              <wps:txbx>
                                <w:txbxContent>
                                  <w:p w14:paraId="6DEB0409">
                                    <w:pPr>
                                      <w:spacing w:line="240" w:lineRule="auto"/>
                                      <w:ind w:firstLine="0" w:firstLineChars="0"/>
                                      <w:rPr>
                                        <w:sz w:val="21"/>
                                        <w:szCs w:val="21"/>
                                      </w:rPr>
                                    </w:pPr>
                                    <w:r>
                                      <w:rPr>
                                        <w:rFonts w:hint="eastAsia"/>
                                        <w:sz w:val="21"/>
                                        <w:szCs w:val="21"/>
                                      </w:rPr>
                                      <w:t>耗4.608</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2" name="文本框 102"/>
                              <wps:cNvSpPr txBox="1"/>
                              <wps:spPr>
                                <a:xfrm>
                                  <a:off x="2284730" y="-681355"/>
                                  <a:ext cx="628650" cy="323850"/>
                                </a:xfrm>
                                <a:prstGeom prst="rect">
                                  <a:avLst/>
                                </a:prstGeom>
                                <a:solidFill>
                                  <a:srgbClr val="FFFFFF"/>
                                </a:solidFill>
                                <a:ln w="6350">
                                  <a:noFill/>
                                </a:ln>
                                <a:effectLst/>
                              </wps:spPr>
                              <wps:txbx>
                                <w:txbxContent>
                                  <w:p w14:paraId="3DE9BA9D">
                                    <w:pPr>
                                      <w:spacing w:line="240" w:lineRule="auto"/>
                                      <w:ind w:firstLine="0" w:firstLineChars="0"/>
                                      <w:rPr>
                                        <w:sz w:val="21"/>
                                        <w:szCs w:val="21"/>
                                      </w:rPr>
                                    </w:pPr>
                                    <w:r>
                                      <w:rPr>
                                        <w:rFonts w:hint="eastAsia"/>
                                        <w:sz w:val="21"/>
                                        <w:szCs w:val="21"/>
                                      </w:rPr>
                                      <w:t>2.16</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3" name="文本框 100"/>
                              <wps:cNvSpPr txBox="1"/>
                              <wps:spPr>
                                <a:xfrm>
                                  <a:off x="2132330" y="-271780"/>
                                  <a:ext cx="771525" cy="323850"/>
                                </a:xfrm>
                                <a:prstGeom prst="rect">
                                  <a:avLst/>
                                </a:prstGeom>
                                <a:solidFill>
                                  <a:srgbClr val="FFFFFF"/>
                                </a:solidFill>
                                <a:ln w="6350">
                                  <a:noFill/>
                                </a:ln>
                                <a:effectLst/>
                              </wps:spPr>
                              <wps:txbx>
                                <w:txbxContent>
                                  <w:p w14:paraId="15A663CD">
                                    <w:pPr>
                                      <w:spacing w:line="240" w:lineRule="auto"/>
                                      <w:ind w:firstLine="0" w:firstLineChars="0"/>
                                      <w:rPr>
                                        <w:sz w:val="21"/>
                                        <w:szCs w:val="21"/>
                                      </w:rPr>
                                    </w:pPr>
                                    <w:r>
                                      <w:rPr>
                                        <w:rFonts w:hint="eastAsia"/>
                                        <w:sz w:val="21"/>
                                        <w:szCs w:val="21"/>
                                      </w:rPr>
                                      <w:t>循环2.16</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4" name="文本框 98"/>
                              <wps:cNvSpPr txBox="1"/>
                              <wps:spPr>
                                <a:xfrm>
                                  <a:off x="1427480" y="42545"/>
                                  <a:ext cx="771525" cy="323850"/>
                                </a:xfrm>
                                <a:prstGeom prst="rect">
                                  <a:avLst/>
                                </a:prstGeom>
                                <a:solidFill>
                                  <a:srgbClr val="FFFFFF"/>
                                </a:solidFill>
                                <a:ln w="6350">
                                  <a:noFill/>
                                </a:ln>
                                <a:effectLst/>
                              </wps:spPr>
                              <wps:txbx>
                                <w:txbxContent>
                                  <w:p w14:paraId="0B03CD30">
                                    <w:pPr>
                                      <w:spacing w:line="240" w:lineRule="auto"/>
                                      <w:ind w:firstLine="0" w:firstLineChars="0"/>
                                      <w:rPr>
                                        <w:sz w:val="21"/>
                                        <w:szCs w:val="21"/>
                                      </w:rPr>
                                    </w:pPr>
                                    <w:r>
                                      <w:rPr>
                                        <w:rFonts w:hint="eastAsia"/>
                                        <w:sz w:val="21"/>
                                        <w:szCs w:val="21"/>
                                      </w:rPr>
                                      <w:t>耗0.24</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5" name="文本框 90"/>
                              <wps:cNvSpPr txBox="1"/>
                              <wps:spPr>
                                <a:xfrm>
                                  <a:off x="97155" y="972185"/>
                                  <a:ext cx="305435" cy="523875"/>
                                </a:xfrm>
                                <a:prstGeom prst="rect">
                                  <a:avLst/>
                                </a:prstGeom>
                                <a:solidFill>
                                  <a:srgbClr val="FFFFFF"/>
                                </a:solidFill>
                                <a:ln w="6350">
                                  <a:solidFill>
                                    <a:prstClr val="black"/>
                                  </a:solidFill>
                                </a:ln>
                                <a:effectLst/>
                              </wps:spPr>
                              <wps:txbx>
                                <w:txbxContent>
                                  <w:p w14:paraId="02D4ED5E">
                                    <w:pPr>
                                      <w:spacing w:line="240" w:lineRule="auto"/>
                                      <w:ind w:firstLine="0" w:firstLineChars="0"/>
                                    </w:pPr>
                                    <w:r>
                                      <w:rPr>
                                        <w:rFonts w:hint="eastAsia"/>
                                      </w:rPr>
                                      <w:t>供水</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6" name="文本框 94"/>
                              <wps:cNvSpPr txBox="1"/>
                              <wps:spPr>
                                <a:xfrm>
                                  <a:off x="1313180" y="509270"/>
                                  <a:ext cx="771525" cy="266700"/>
                                </a:xfrm>
                                <a:prstGeom prst="rect">
                                  <a:avLst/>
                                </a:prstGeom>
                                <a:solidFill>
                                  <a:srgbClr val="FFFFFF"/>
                                </a:solidFill>
                                <a:ln w="6350">
                                  <a:solidFill>
                                    <a:prstClr val="black"/>
                                  </a:solidFill>
                                </a:ln>
                                <a:effectLst/>
                              </wps:spPr>
                              <wps:txbx>
                                <w:txbxContent>
                                  <w:p w14:paraId="43002EF9">
                                    <w:pPr>
                                      <w:spacing w:line="240" w:lineRule="auto"/>
                                      <w:ind w:firstLine="0" w:firstLineChars="0"/>
                                      <w:jc w:val="center"/>
                                      <w:rPr>
                                        <w:sz w:val="21"/>
                                        <w:szCs w:val="21"/>
                                      </w:rPr>
                                    </w:pPr>
                                    <w:r>
                                      <w:rPr>
                                        <w:rFonts w:hint="eastAsia"/>
                                        <w:sz w:val="21"/>
                                        <w:szCs w:val="21"/>
                                      </w:rPr>
                                      <w:t>车辆清洗</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7" name="自选图形 128"/>
                              <wps:cNvSpPr/>
                              <wps:spPr>
                                <a:xfrm>
                                  <a:off x="1389380" y="318770"/>
                                  <a:ext cx="200025" cy="190500"/>
                                </a:xfrm>
                                <a:custGeom>
                                  <a:avLst/>
                                  <a:gdLst/>
                                  <a:ahLst/>
                                  <a:cxnLst>
                                    <a:cxn ang="0">
                                      <a:pos x="0" y="190500"/>
                                    </a:cxn>
                                    <a:cxn ang="0">
                                      <a:pos x="200025" y="0"/>
                                    </a:cxn>
                                  </a:cxnLst>
                                  <a:pathLst>
                                    <a:path w="200025" h="200025">
                                      <a:moveTo>
                                        <a:pt x="0" y="200025"/>
                                      </a:moveTo>
                                      <a:lnTo>
                                        <a:pt x="200025" y="0"/>
                                      </a:lnTo>
                                    </a:path>
                                  </a:pathLst>
                                </a:custGeom>
                                <a:noFill/>
                                <a:ln w="3175" cap="flat" cmpd="sng">
                                  <a:solidFill>
                                    <a:srgbClr val="000000"/>
                                  </a:solidFill>
                                  <a:prstDash val="solid"/>
                                  <a:round/>
                                  <a:headEnd type="none" w="med" len="med"/>
                                  <a:tailEnd type="triangle" w="med" len="med"/>
                                </a:ln>
                              </wps:spPr>
                              <wps:bodyPr upright="1"/>
                            </wps:wsp>
                            <wps:wsp>
                              <wps:cNvPr id="59" name="文本框 104"/>
                              <wps:cNvSpPr txBox="1"/>
                              <wps:spPr>
                                <a:xfrm>
                                  <a:off x="1303655" y="1271270"/>
                                  <a:ext cx="771525" cy="266700"/>
                                </a:xfrm>
                                <a:prstGeom prst="rect">
                                  <a:avLst/>
                                </a:prstGeom>
                                <a:solidFill>
                                  <a:srgbClr val="FFFFFF"/>
                                </a:solidFill>
                                <a:ln w="6350">
                                  <a:solidFill>
                                    <a:prstClr val="black"/>
                                  </a:solidFill>
                                </a:ln>
                                <a:effectLst/>
                              </wps:spPr>
                              <wps:txbx>
                                <w:txbxContent>
                                  <w:p w14:paraId="02F56579">
                                    <w:pPr>
                                      <w:spacing w:line="240" w:lineRule="auto"/>
                                      <w:ind w:firstLine="0" w:firstLineChars="0"/>
                                      <w:jc w:val="center"/>
                                      <w:rPr>
                                        <w:sz w:val="21"/>
                                        <w:szCs w:val="21"/>
                                      </w:rPr>
                                    </w:pPr>
                                    <w:r>
                                      <w:rPr>
                                        <w:rFonts w:hint="eastAsia"/>
                                        <w:sz w:val="21"/>
                                        <w:szCs w:val="21"/>
                                      </w:rPr>
                                      <w:t>厨房用水</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0" name="自选图形 131"/>
                              <wps:cNvSpPr/>
                              <wps:spPr>
                                <a:xfrm>
                                  <a:off x="1417955" y="966470"/>
                                  <a:ext cx="190500" cy="190500"/>
                                </a:xfrm>
                                <a:custGeom>
                                  <a:avLst/>
                                  <a:gdLst/>
                                  <a:ahLst/>
                                  <a:cxnLst>
                                    <a:cxn ang="0">
                                      <a:pos x="0" y="190500"/>
                                    </a:cxn>
                                    <a:cxn ang="0">
                                      <a:pos x="190500" y="0"/>
                                    </a:cxn>
                                  </a:cxnLst>
                                  <a:pathLst>
                                    <a:path w="200025" h="200025">
                                      <a:moveTo>
                                        <a:pt x="0" y="200025"/>
                                      </a:moveTo>
                                      <a:lnTo>
                                        <a:pt x="200025" y="0"/>
                                      </a:lnTo>
                                    </a:path>
                                  </a:pathLst>
                                </a:custGeom>
                                <a:noFill/>
                                <a:ln w="3175" cap="flat" cmpd="sng">
                                  <a:solidFill>
                                    <a:srgbClr val="000000"/>
                                  </a:solidFill>
                                  <a:prstDash val="solid"/>
                                  <a:round/>
                                  <a:headEnd type="none" w="med" len="med"/>
                                  <a:tailEnd type="triangle" w="med" len="med"/>
                                </a:ln>
                              </wps:spPr>
                              <wps:bodyPr upright="1"/>
                            </wps:wsp>
                            <wps:wsp>
                              <wps:cNvPr id="61" name="文本框 107"/>
                              <wps:cNvSpPr txBox="1"/>
                              <wps:spPr>
                                <a:xfrm>
                                  <a:off x="1303655" y="2014220"/>
                                  <a:ext cx="771525" cy="266700"/>
                                </a:xfrm>
                                <a:prstGeom prst="rect">
                                  <a:avLst/>
                                </a:prstGeom>
                                <a:solidFill>
                                  <a:srgbClr val="FFFFFF"/>
                                </a:solidFill>
                                <a:ln w="6350">
                                  <a:solidFill>
                                    <a:prstClr val="black"/>
                                  </a:solidFill>
                                </a:ln>
                                <a:effectLst/>
                              </wps:spPr>
                              <wps:txbx>
                                <w:txbxContent>
                                  <w:p w14:paraId="4B1F12F6">
                                    <w:pPr>
                                      <w:spacing w:line="240" w:lineRule="auto"/>
                                      <w:ind w:firstLine="0" w:firstLineChars="0"/>
                                      <w:jc w:val="center"/>
                                      <w:rPr>
                                        <w:sz w:val="21"/>
                                        <w:szCs w:val="21"/>
                                      </w:rPr>
                                    </w:pPr>
                                    <w:r>
                                      <w:rPr>
                                        <w:rFonts w:hint="eastAsia"/>
                                        <w:sz w:val="21"/>
                                        <w:szCs w:val="21"/>
                                      </w:rPr>
                                      <w:t>其他生活用水</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2" name="自选图形 133"/>
                              <wps:cNvSpPr/>
                              <wps:spPr>
                                <a:xfrm>
                                  <a:off x="1398905" y="1638300"/>
                                  <a:ext cx="190500" cy="190500"/>
                                </a:xfrm>
                                <a:custGeom>
                                  <a:avLst/>
                                  <a:gdLst/>
                                  <a:ahLst/>
                                  <a:cxnLst>
                                    <a:cxn ang="0">
                                      <a:pos x="0" y="190500"/>
                                    </a:cxn>
                                    <a:cxn ang="0">
                                      <a:pos x="190500" y="0"/>
                                    </a:cxn>
                                  </a:cxnLst>
                                  <a:pathLst>
                                    <a:path w="200025" h="200025">
                                      <a:moveTo>
                                        <a:pt x="0" y="200025"/>
                                      </a:moveTo>
                                      <a:lnTo>
                                        <a:pt x="200025" y="0"/>
                                      </a:lnTo>
                                    </a:path>
                                  </a:pathLst>
                                </a:custGeom>
                                <a:noFill/>
                                <a:ln w="3175" cap="flat" cmpd="sng">
                                  <a:solidFill>
                                    <a:srgbClr val="000000"/>
                                  </a:solidFill>
                                  <a:prstDash val="solid"/>
                                  <a:round/>
                                  <a:headEnd type="none" w="med" len="med"/>
                                  <a:tailEnd type="triangle" w="med" len="med"/>
                                </a:ln>
                              </wps:spPr>
                              <wps:bodyPr upright="1"/>
                            </wps:wsp>
                            <wps:wsp>
                              <wps:cNvPr id="63" name="文本框 109"/>
                              <wps:cNvSpPr txBox="1"/>
                              <wps:spPr>
                                <a:xfrm>
                                  <a:off x="2485390" y="1280795"/>
                                  <a:ext cx="894715" cy="266700"/>
                                </a:xfrm>
                                <a:prstGeom prst="rect">
                                  <a:avLst/>
                                </a:prstGeom>
                                <a:solidFill>
                                  <a:srgbClr val="FFFFFF"/>
                                </a:solidFill>
                                <a:ln w="6350">
                                  <a:solidFill>
                                    <a:prstClr val="black"/>
                                  </a:solidFill>
                                </a:ln>
                                <a:effectLst/>
                              </wps:spPr>
                              <wps:txbx>
                                <w:txbxContent>
                                  <w:p w14:paraId="6E995C11">
                                    <w:pPr>
                                      <w:spacing w:line="240" w:lineRule="auto"/>
                                      <w:ind w:firstLine="0" w:firstLineChars="0"/>
                                      <w:jc w:val="center"/>
                                      <w:rPr>
                                        <w:sz w:val="21"/>
                                        <w:szCs w:val="21"/>
                                      </w:rPr>
                                    </w:pPr>
                                    <w:r>
                                      <w:rPr>
                                        <w:rFonts w:hint="eastAsia"/>
                                        <w:sz w:val="21"/>
                                        <w:szCs w:val="21"/>
                                      </w:rPr>
                                      <w:t>油水分离器</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4" name="文本框 110"/>
                              <wps:cNvSpPr txBox="1"/>
                              <wps:spPr>
                                <a:xfrm>
                                  <a:off x="2607945" y="2004695"/>
                                  <a:ext cx="600075" cy="266700"/>
                                </a:xfrm>
                                <a:prstGeom prst="rect">
                                  <a:avLst/>
                                </a:prstGeom>
                                <a:solidFill>
                                  <a:srgbClr val="FFFFFF"/>
                                </a:solidFill>
                                <a:ln w="6350">
                                  <a:solidFill>
                                    <a:prstClr val="black"/>
                                  </a:solidFill>
                                </a:ln>
                                <a:effectLst/>
                              </wps:spPr>
                              <wps:txbx>
                                <w:txbxContent>
                                  <w:p w14:paraId="44AFAF4F">
                                    <w:pPr>
                                      <w:spacing w:line="240" w:lineRule="auto"/>
                                      <w:ind w:firstLine="0" w:firstLineChars="0"/>
                                      <w:rPr>
                                        <w:sz w:val="21"/>
                                        <w:szCs w:val="21"/>
                                      </w:rPr>
                                    </w:pPr>
                                    <w:r>
                                      <w:rPr>
                                        <w:rFonts w:hint="eastAsia"/>
                                        <w:sz w:val="21"/>
                                        <w:szCs w:val="21"/>
                                      </w:rPr>
                                      <w:t>化粪池</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5" name="文本框 111"/>
                              <wps:cNvSpPr txBox="1"/>
                              <wps:spPr>
                                <a:xfrm>
                                  <a:off x="3695065" y="2004695"/>
                                  <a:ext cx="1389380" cy="266700"/>
                                </a:xfrm>
                                <a:prstGeom prst="rect">
                                  <a:avLst/>
                                </a:prstGeom>
                                <a:solidFill>
                                  <a:srgbClr val="FFFFFF"/>
                                </a:solidFill>
                                <a:ln w="6350">
                                  <a:solidFill>
                                    <a:prstClr val="black"/>
                                  </a:solidFill>
                                </a:ln>
                                <a:effectLst/>
                              </wps:spPr>
                              <wps:txbx>
                                <w:txbxContent>
                                  <w:p w14:paraId="4A2DEE1F">
                                    <w:pPr>
                                      <w:spacing w:line="240" w:lineRule="auto"/>
                                      <w:ind w:firstLine="0" w:firstLineChars="0"/>
                                      <w:rPr>
                                        <w:sz w:val="21"/>
                                        <w:szCs w:val="21"/>
                                      </w:rPr>
                                    </w:pPr>
                                    <w:r>
                                      <w:rPr>
                                        <w:rFonts w:hint="eastAsia"/>
                                        <w:sz w:val="21"/>
                                        <w:szCs w:val="21"/>
                                      </w:rPr>
                                      <w:t>一体化污水处理设备</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6" name="文本框 113"/>
                              <wps:cNvSpPr txBox="1"/>
                              <wps:spPr>
                                <a:xfrm>
                                  <a:off x="1256030" y="2719070"/>
                                  <a:ext cx="771525" cy="266700"/>
                                </a:xfrm>
                                <a:prstGeom prst="rect">
                                  <a:avLst/>
                                </a:prstGeom>
                                <a:solidFill>
                                  <a:srgbClr val="FFFFFF"/>
                                </a:solidFill>
                                <a:ln w="6350">
                                  <a:solidFill>
                                    <a:prstClr val="black"/>
                                  </a:solidFill>
                                </a:ln>
                                <a:effectLst/>
                              </wps:spPr>
                              <wps:txbx>
                                <w:txbxContent>
                                  <w:p w14:paraId="04809FF9">
                                    <w:pPr>
                                      <w:spacing w:line="240" w:lineRule="auto"/>
                                      <w:ind w:firstLine="0" w:firstLineChars="0"/>
                                      <w:jc w:val="center"/>
                                      <w:rPr>
                                        <w:sz w:val="21"/>
                                        <w:szCs w:val="21"/>
                                      </w:rPr>
                                    </w:pPr>
                                    <w:r>
                                      <w:rPr>
                                        <w:rFonts w:hint="eastAsia"/>
                                        <w:sz w:val="21"/>
                                        <w:szCs w:val="21"/>
                                      </w:rPr>
                                      <w:t>降尘用水</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7" name="自选图形 138"/>
                              <wps:cNvSpPr/>
                              <wps:spPr>
                                <a:xfrm>
                                  <a:off x="1417955" y="2333625"/>
                                  <a:ext cx="190500" cy="190500"/>
                                </a:xfrm>
                                <a:custGeom>
                                  <a:avLst/>
                                  <a:gdLst/>
                                  <a:ahLst/>
                                  <a:cxnLst>
                                    <a:cxn ang="0">
                                      <a:pos x="0" y="190500"/>
                                    </a:cxn>
                                    <a:cxn ang="0">
                                      <a:pos x="190500" y="0"/>
                                    </a:cxn>
                                  </a:cxnLst>
                                  <a:pathLst>
                                    <a:path w="200025" h="200025">
                                      <a:moveTo>
                                        <a:pt x="0" y="200025"/>
                                      </a:moveTo>
                                      <a:lnTo>
                                        <a:pt x="200025" y="0"/>
                                      </a:lnTo>
                                    </a:path>
                                  </a:pathLst>
                                </a:custGeom>
                                <a:noFill/>
                                <a:ln w="3175" cap="flat" cmpd="sng">
                                  <a:solidFill>
                                    <a:srgbClr val="000000"/>
                                  </a:solidFill>
                                  <a:prstDash val="solid"/>
                                  <a:round/>
                                  <a:headEnd type="none" w="med" len="med"/>
                                  <a:tailEnd type="triangle" w="med" len="med"/>
                                </a:ln>
                              </wps:spPr>
                              <wps:bodyPr upright="1"/>
                            </wps:wsp>
                            <wps:wsp>
                              <wps:cNvPr id="68" name="自选图形 141"/>
                              <wps:cNvCnPr/>
                              <wps:spPr>
                                <a:xfrm flipV="1">
                                  <a:off x="402590" y="642620"/>
                                  <a:ext cx="923290" cy="1100455"/>
                                </a:xfrm>
                                <a:prstGeom prst="bentConnector3">
                                  <a:avLst>
                                    <a:gd name="adj1" fmla="val 49931"/>
                                  </a:avLst>
                                </a:prstGeom>
                                <a:ln w="9525" cap="flat" cmpd="sng">
                                  <a:solidFill>
                                    <a:srgbClr val="000000"/>
                                  </a:solidFill>
                                  <a:prstDash val="solid"/>
                                  <a:miter/>
                                  <a:headEnd type="none" w="med" len="med"/>
                                  <a:tailEnd type="triangle" w="med" len="med"/>
                                </a:ln>
                              </wps:spPr>
                              <wps:bodyPr/>
                            </wps:wsp>
                            <wps:wsp>
                              <wps:cNvPr id="69" name="自选图形 142"/>
                              <wps:cNvCnPr/>
                              <wps:spPr>
                                <a:xfrm flipV="1">
                                  <a:off x="402590" y="1290320"/>
                                  <a:ext cx="923290" cy="452755"/>
                                </a:xfrm>
                                <a:prstGeom prst="bentConnector3">
                                  <a:avLst>
                                    <a:gd name="adj1" fmla="val 49931"/>
                                  </a:avLst>
                                </a:prstGeom>
                                <a:ln w="9525" cap="flat" cmpd="sng">
                                  <a:solidFill>
                                    <a:srgbClr val="000000"/>
                                  </a:solidFill>
                                  <a:prstDash val="solid"/>
                                  <a:miter/>
                                  <a:headEnd type="none" w="med" len="med"/>
                                  <a:tailEnd type="triangle" w="med" len="med"/>
                                </a:ln>
                              </wps:spPr>
                              <wps:bodyPr/>
                            </wps:wsp>
                            <wps:wsp>
                              <wps:cNvPr id="70" name="自选图形 143"/>
                              <wps:cNvCnPr/>
                              <wps:spPr>
                                <a:xfrm>
                                  <a:off x="402590" y="1743075"/>
                                  <a:ext cx="923290" cy="219075"/>
                                </a:xfrm>
                                <a:prstGeom prst="bentConnector3">
                                  <a:avLst>
                                    <a:gd name="adj1" fmla="val 49931"/>
                                  </a:avLst>
                                </a:prstGeom>
                                <a:ln w="9525" cap="flat" cmpd="sng">
                                  <a:solidFill>
                                    <a:srgbClr val="000000"/>
                                  </a:solidFill>
                                  <a:prstDash val="solid"/>
                                  <a:miter/>
                                  <a:headEnd type="none" w="med" len="med"/>
                                  <a:tailEnd type="triangle" w="med" len="med"/>
                                </a:ln>
                              </wps:spPr>
                              <wps:bodyPr/>
                            </wps:wsp>
                            <wps:wsp>
                              <wps:cNvPr id="71" name="自选图形 144"/>
                              <wps:cNvCnPr/>
                              <wps:spPr>
                                <a:xfrm>
                                  <a:off x="2381885" y="1962150"/>
                                  <a:ext cx="464820" cy="1"/>
                                </a:xfrm>
                                <a:prstGeom prst="straightConnector1">
                                  <a:avLst/>
                                </a:prstGeom>
                                <a:ln w="9525" cap="flat" cmpd="sng">
                                  <a:solidFill>
                                    <a:srgbClr val="000000"/>
                                  </a:solidFill>
                                  <a:prstDash val="solid"/>
                                  <a:headEnd type="none" w="med" len="med"/>
                                  <a:tailEnd type="triangle" w="med" len="med"/>
                                </a:ln>
                              </wps:spPr>
                              <wps:bodyPr/>
                            </wps:wsp>
                            <wps:wsp>
                              <wps:cNvPr id="72" name="自选图形 145"/>
                              <wps:cNvCnPr/>
                              <wps:spPr>
                                <a:xfrm>
                                  <a:off x="2097405" y="1290320"/>
                                  <a:ext cx="466090" cy="1"/>
                                </a:xfrm>
                                <a:prstGeom prst="straightConnector1">
                                  <a:avLst/>
                                </a:prstGeom>
                                <a:ln w="9525" cap="flat" cmpd="sng">
                                  <a:solidFill>
                                    <a:srgbClr val="000000"/>
                                  </a:solidFill>
                                  <a:prstDash val="solid"/>
                                  <a:headEnd type="none" w="med" len="med"/>
                                  <a:tailEnd type="triangle" w="med" len="med"/>
                                </a:ln>
                              </wps:spPr>
                              <wps:bodyPr/>
                            </wps:wsp>
                            <wps:wsp>
                              <wps:cNvPr id="73" name="自选图形 146"/>
                              <wps:cNvCnPr/>
                              <wps:spPr>
                                <a:xfrm>
                                  <a:off x="3458210" y="1290320"/>
                                  <a:ext cx="1076325" cy="414655"/>
                                </a:xfrm>
                                <a:prstGeom prst="bentConnector2">
                                  <a:avLst/>
                                </a:prstGeom>
                                <a:ln w="9525" cap="flat" cmpd="sng">
                                  <a:solidFill>
                                    <a:srgbClr val="000000"/>
                                  </a:solidFill>
                                  <a:prstDash val="solid"/>
                                  <a:miter/>
                                  <a:headEnd type="none" w="med" len="med"/>
                                  <a:tailEnd type="triangle" w="med" len="med"/>
                                </a:ln>
                              </wps:spPr>
                              <wps:bodyPr/>
                            </wps:wsp>
                            <wps:wsp>
                              <wps:cNvPr id="74" name="自选图形 147"/>
                              <wps:cNvCnPr/>
                              <wps:spPr>
                                <a:xfrm>
                                  <a:off x="3446780" y="1962150"/>
                                  <a:ext cx="630555" cy="15240"/>
                                </a:xfrm>
                                <a:prstGeom prst="straightConnector1">
                                  <a:avLst/>
                                </a:prstGeom>
                                <a:ln w="9525" cap="flat" cmpd="sng">
                                  <a:solidFill>
                                    <a:srgbClr val="000000"/>
                                  </a:solidFill>
                                  <a:prstDash val="solid"/>
                                  <a:headEnd type="none" w="med" len="med"/>
                                  <a:tailEnd type="triangle" w="med" len="med"/>
                                </a:ln>
                              </wps:spPr>
                              <wps:bodyPr/>
                            </wps:wsp>
                            <wps:wsp>
                              <wps:cNvPr id="75" name="文本框 92"/>
                              <wps:cNvSpPr txBox="1"/>
                              <wps:spPr>
                                <a:xfrm>
                                  <a:off x="2846705" y="-528955"/>
                                  <a:ext cx="923925" cy="266700"/>
                                </a:xfrm>
                                <a:prstGeom prst="rect">
                                  <a:avLst/>
                                </a:prstGeom>
                                <a:solidFill>
                                  <a:srgbClr val="FFFFFF"/>
                                </a:solidFill>
                                <a:ln w="6350">
                                  <a:solidFill>
                                    <a:prstClr val="black"/>
                                  </a:solidFill>
                                </a:ln>
                                <a:effectLst/>
                              </wps:spPr>
                              <wps:txbx>
                                <w:txbxContent>
                                  <w:p w14:paraId="4ADC72FE">
                                    <w:pPr>
                                      <w:spacing w:line="240" w:lineRule="auto"/>
                                      <w:ind w:firstLine="0" w:firstLineChars="0"/>
                                      <w:jc w:val="center"/>
                                      <w:rPr>
                                        <w:sz w:val="21"/>
                                        <w:szCs w:val="21"/>
                                      </w:rPr>
                                    </w:pPr>
                                    <w:r>
                                      <w:rPr>
                                        <w:rFonts w:hint="eastAsia"/>
                                        <w:sz w:val="21"/>
                                        <w:szCs w:val="21"/>
                                      </w:rPr>
                                      <w:t>车辆清洗池</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6" name="自选图形 149"/>
                              <wps:cNvCnPr/>
                              <wps:spPr>
                                <a:xfrm>
                                  <a:off x="2097405" y="642620"/>
                                  <a:ext cx="596900" cy="5080"/>
                                </a:xfrm>
                                <a:prstGeom prst="straightConnector1">
                                  <a:avLst/>
                                </a:prstGeom>
                                <a:ln w="9525" cap="flat" cmpd="sng">
                                  <a:solidFill>
                                    <a:srgbClr val="000000"/>
                                  </a:solidFill>
                                  <a:prstDash val="solid"/>
                                  <a:headEnd type="none" w="med" len="med"/>
                                  <a:tailEnd type="triangle" w="med" len="med"/>
                                </a:ln>
                              </wps:spPr>
                              <wps:bodyPr/>
                            </wps:wsp>
                            <wps:wsp>
                              <wps:cNvPr id="77" name="自选图形 150"/>
                              <wps:cNvCnPr/>
                              <wps:spPr>
                                <a:xfrm rot="-16200000" flipH="1">
                                  <a:off x="2431733" y="-210503"/>
                                  <a:ext cx="5080" cy="1444625"/>
                                </a:xfrm>
                                <a:prstGeom prst="bentConnector3">
                                  <a:avLst>
                                    <a:gd name="adj1" fmla="val 4600000"/>
                                  </a:avLst>
                                </a:prstGeom>
                                <a:ln w="9525" cap="flat" cmpd="sng">
                                  <a:solidFill>
                                    <a:srgbClr val="000000"/>
                                  </a:solidFill>
                                  <a:prstDash val="solid"/>
                                  <a:miter/>
                                  <a:headEnd type="none" w="med" len="med"/>
                                  <a:tailEnd type="triangle" w="med" len="med"/>
                                </a:ln>
                              </wps:spPr>
                              <wps:bodyPr/>
                            </wps:wsp>
                            <wps:wsp>
                              <wps:cNvPr id="78" name="自选图形 151"/>
                              <wps:cNvCnPr/>
                              <wps:spPr>
                                <a:xfrm>
                                  <a:off x="402590" y="1743075"/>
                                  <a:ext cx="923290" cy="914400"/>
                                </a:xfrm>
                                <a:prstGeom prst="bentConnector3">
                                  <a:avLst>
                                    <a:gd name="adj1" fmla="val 49931"/>
                                  </a:avLst>
                                </a:prstGeom>
                                <a:ln w="9525" cap="flat" cmpd="sng">
                                  <a:solidFill>
                                    <a:srgbClr val="000000"/>
                                  </a:solidFill>
                                  <a:prstDash val="solid"/>
                                  <a:miter/>
                                  <a:headEnd type="none" w="med" len="med"/>
                                  <a:tailEnd type="triangle" w="med" len="med"/>
                                </a:ln>
                              </wps:spPr>
                              <wps:bodyPr/>
                            </wps:wsp>
                            <wps:wsp>
                              <wps:cNvPr id="79" name="文本框 98"/>
                              <wps:cNvSpPr txBox="1"/>
                              <wps:spPr>
                                <a:xfrm>
                                  <a:off x="1427480" y="42545"/>
                                  <a:ext cx="771525" cy="323850"/>
                                </a:xfrm>
                                <a:prstGeom prst="rect">
                                  <a:avLst/>
                                </a:prstGeom>
                                <a:solidFill>
                                  <a:srgbClr val="FFFFFF"/>
                                </a:solidFill>
                                <a:ln w="6350">
                                  <a:noFill/>
                                </a:ln>
                                <a:effectLst/>
                              </wps:spPr>
                              <wps:txbx>
                                <w:txbxContent>
                                  <w:p w14:paraId="20F0CE55">
                                    <w:pPr>
                                      <w:spacing w:line="240" w:lineRule="auto"/>
                                      <w:ind w:firstLine="0" w:firstLineChars="0"/>
                                      <w:rPr>
                                        <w:sz w:val="21"/>
                                        <w:szCs w:val="21"/>
                                      </w:rPr>
                                    </w:pPr>
                                    <w:r>
                                      <w:rPr>
                                        <w:sz w:val="21"/>
                                        <w:szCs w:val="21"/>
                                      </w:rPr>
                                      <w:t>初期雨水收集池暂存</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0" name="文本框 113"/>
                              <wps:cNvSpPr txBox="1"/>
                              <wps:spPr>
                                <a:xfrm>
                                  <a:off x="1256030" y="2719070"/>
                                  <a:ext cx="771525" cy="266700"/>
                                </a:xfrm>
                                <a:prstGeom prst="rect">
                                  <a:avLst/>
                                </a:prstGeom>
                                <a:solidFill>
                                  <a:srgbClr val="FFFFFF"/>
                                </a:solidFill>
                                <a:ln w="6350">
                                  <a:solidFill>
                                    <a:prstClr val="black"/>
                                  </a:solidFill>
                                </a:ln>
                                <a:effectLst/>
                              </wps:spPr>
                              <wps:txbx>
                                <w:txbxContent>
                                  <w:p w14:paraId="21C3BBD8">
                                    <w:pPr>
                                      <w:spacing w:line="240" w:lineRule="auto"/>
                                      <w:ind w:firstLine="0" w:firstLineChars="0"/>
                                      <w:jc w:val="center"/>
                                      <w:rPr>
                                        <w:sz w:val="21"/>
                                        <w:szCs w:val="21"/>
                                      </w:rPr>
                                    </w:pPr>
                                    <w:r>
                                      <w:rPr>
                                        <w:sz w:val="21"/>
                                        <w:szCs w:val="21"/>
                                      </w:rPr>
                                      <w:t>初期雨水</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1" name="文本框 157"/>
                              <wps:cNvSpPr txBox="1"/>
                              <wps:spPr>
                                <a:xfrm>
                                  <a:off x="1541780" y="3100705"/>
                                  <a:ext cx="2931795" cy="266700"/>
                                </a:xfrm>
                                <a:prstGeom prst="rect">
                                  <a:avLst/>
                                </a:prstGeom>
                                <a:solidFill>
                                  <a:srgbClr val="FFFFFF"/>
                                </a:solidFill>
                                <a:ln w="6350">
                                  <a:noFill/>
                                </a:ln>
                              </wps:spPr>
                              <wps:txbx>
                                <w:txbxContent>
                                  <w:p w14:paraId="4DB02745">
                                    <w:pPr>
                                      <w:spacing w:line="240" w:lineRule="auto"/>
                                      <w:ind w:firstLine="0" w:firstLineChars="0"/>
                                      <w:jc w:val="center"/>
                                      <w:rPr>
                                        <w:sz w:val="21"/>
                                        <w:szCs w:val="21"/>
                                      </w:rPr>
                                    </w:pPr>
                                    <w:r>
                                      <w:rPr>
                                        <w:sz w:val="21"/>
                                        <w:szCs w:val="21"/>
                                      </w:rPr>
                                      <w:t>初期雨水收集池收集暂存用于晴天降尘和绿化</w:t>
                                    </w:r>
                                  </w:p>
                                </w:txbxContent>
                              </wps:txbx>
                              <wps:bodyPr upright="1"/>
                            </wps:wsp>
                            <wps:wsp>
                              <wps:cNvPr id="82" name="自选图形 158"/>
                              <wps:cNvCnPr/>
                              <wps:spPr>
                                <a:xfrm>
                                  <a:off x="868680" y="3234055"/>
                                  <a:ext cx="673100" cy="1"/>
                                </a:xfrm>
                                <a:prstGeom prst="straightConnector1">
                                  <a:avLst/>
                                </a:prstGeom>
                                <a:ln w="9525" cap="flat" cmpd="sng">
                                  <a:solidFill>
                                    <a:srgbClr val="000000"/>
                                  </a:solidFill>
                                  <a:prstDash val="solid"/>
                                  <a:headEnd type="none" w="med" len="med"/>
                                  <a:tailEnd type="triangle" w="med" len="med"/>
                                </a:ln>
                              </wps:spPr>
                              <wps:bodyPr/>
                            </wps:wsp>
                            <wps:wsp>
                              <wps:cNvPr id="83" name="自选图形 159"/>
                              <wps:cNvCnPr/>
                              <wps:spPr>
                                <a:xfrm>
                                  <a:off x="4534535" y="2249805"/>
                                  <a:ext cx="1" cy="274320"/>
                                </a:xfrm>
                                <a:prstGeom prst="straightConnector1">
                                  <a:avLst/>
                                </a:prstGeom>
                                <a:ln w="9525" cap="flat" cmpd="sng">
                                  <a:solidFill>
                                    <a:srgbClr val="000000"/>
                                  </a:solidFill>
                                  <a:prstDash val="solid"/>
                                  <a:headEnd type="none" w="med" len="med"/>
                                  <a:tailEnd type="triangle" w="med" len="med"/>
                                </a:ln>
                              </wps:spPr>
                              <wps:bodyPr/>
                            </wps:wsp>
                          </wpc:wpc>
                        </a:graphicData>
                      </a:graphic>
                    </wp:inline>
                  </w:drawing>
                </mc:Choice>
                <mc:Fallback>
                  <w:pict>
                    <v:group id="画布 107" o:spid="_x0000_s1026" o:spt="203" style="height:272.8pt;width:408.35pt;" coordsize="5186045,3464560" editas="canvas" o:gfxdata="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">
                      <o:lock v:ext="edit" aspectratio="f"/>
                      <v:shape id="画布 107" o:spid="_x0000_s1026" style="position:absolute;left:0;top:0;height:3464560;width:5186045;" filled="f" stroked="f" coordsize="21600,21600" o:gfxdata="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">
                        <v:fill on="f" focussize="0,0"/>
                        <v:stroke on="f"/>
                        <v:imagedata o:title=""/>
                        <o:lock v:ext="edit" aspectratio="f"/>
                      </v:shape>
                      <v:shape id="文本框 98" o:spid="_x0000_s1026" o:spt="202" type="#_x0000_t202" style="position:absolute;left:1427480;top:42545;height:323850;width:771525;" fillcolor="#FFFFFF" filled="t" stroked="f" coordsize="21600,21600" o:gfxdata="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C7s&#10;pGPSAAAABQEAAA8AAAAAAAAAAQAgAAAAIgAAAGRycy9kb3ducmV2LnhtbFBLAQIUABQAAAAIAIdO&#10;4kBpTBucYgIAAKgEAAAOAAAAAAAAAAEAIAAAACEBAABkcnMvZTJvRG9jLnhtbFBLBQYAAAAABgAG&#10;AFkBAAD1BQAAAAA=&#10;">
                        <v:fill on="t" focussize="0,0"/>
                        <v:stroke on="f" weight="0.5pt"/>
                        <v:imagedata o:title=""/>
                        <o:lock v:ext="edit" aspectratio="f"/>
                        <v:textbox>
                          <w:txbxContent>
                            <w:p w14:paraId="66EB633F">
                              <w:pPr>
                                <w:spacing w:line="240" w:lineRule="auto"/>
                                <w:ind w:firstLine="0" w:firstLineChars="0"/>
                                <w:jc w:val="center"/>
                                <w:rPr>
                                  <w:sz w:val="21"/>
                                  <w:szCs w:val="21"/>
                                </w:rPr>
                              </w:pPr>
                              <w:r>
                                <w:rPr>
                                  <w:rFonts w:hint="eastAsia"/>
                                  <w:sz w:val="21"/>
                                  <w:szCs w:val="21"/>
                                </w:rPr>
                                <w:t>6.5/次</w:t>
                              </w:r>
                            </w:p>
                          </w:txbxContent>
                        </v:textbox>
                      </v:shape>
                      <v:shape id="文本框 103" o:spid="_x0000_s1026" o:spt="202" type="#_x0000_t202" style="position:absolute;left:1417955;top:804545;height:323850;width:771525;" fillcolor="#FFFFFF" filled="t" stroked="f" coordsize="21600,21600" o:gfxdata="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LuykY9IAAAAFAQAADwAAAAAAAAABACAAAAAiAAAAZHJzL2Rvd25yZXYueG1sUEsBAhQAFAAAAAgA&#10;h07iQLmvYKtkAgAAqgQAAA4AAAAAAAAAAQAgAAAAIQEAAGRycy9lMm9Eb2MueG1sUEsFBgAAAAAG&#10;AAYAWQEAAPcFAAAAAA==&#10;">
                        <v:fill on="t" focussize="0,0"/>
                        <v:stroke on="f" weight="0.5pt"/>
                        <v:imagedata o:title=""/>
                        <o:lock v:ext="edit" aspectratio="f"/>
                        <v:textbox>
                          <w:txbxContent>
                            <w:p w14:paraId="2137144E">
                              <w:pPr>
                                <w:spacing w:line="240" w:lineRule="auto"/>
                                <w:ind w:firstLine="0" w:firstLineChars="0"/>
                                <w:rPr>
                                  <w:sz w:val="21"/>
                                  <w:szCs w:val="21"/>
                                </w:rPr>
                              </w:pPr>
                              <w:r>
                                <w:rPr>
                                  <w:rFonts w:hint="eastAsia"/>
                                  <w:sz w:val="21"/>
                                  <w:szCs w:val="21"/>
                                </w:rPr>
                                <w:t>耗0.03</w:t>
                              </w:r>
                            </w:p>
                          </w:txbxContent>
                        </v:textbox>
                      </v:shape>
                      <v:shape id="文本框 98" o:spid="_x0000_s1026" o:spt="202" type="#_x0000_t202" style="position:absolute;left:1427480;top:42545;height:323850;width:771525;" fillcolor="#FFFFFF" filled="t" stroked="f" coordsize="21600,21600" o:gfxdata="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Luyk&#10;Y9IAAAAFAQAADwAAAAAAAAABACAAAAAiAAAAZHJzL2Rvd25yZXYueG1sUEsBAhQAFAAAAAgAh07i&#10;QFcr10ZhAgAAqAQAAA4AAAAAAAAAAQAgAAAAIQEAAGRycy9lMm9Eb2MueG1sUEsFBgAAAAAGAAYA&#10;WQEAAPQFAAAAAA==&#10;">
                        <v:fill on="t" focussize="0,0"/>
                        <v:stroke on="f" weight="0.5pt"/>
                        <v:imagedata o:title=""/>
                        <o:lock v:ext="edit" aspectratio="f"/>
                        <v:textbox>
                          <w:txbxContent>
                            <w:p w14:paraId="72CEB6A0">
                              <w:pPr>
                                <w:spacing w:line="240" w:lineRule="auto"/>
                                <w:ind w:firstLine="0" w:firstLineChars="0"/>
                                <w:rPr>
                                  <w:sz w:val="21"/>
                                  <w:szCs w:val="21"/>
                                </w:rPr>
                              </w:pPr>
                              <w:r>
                                <w:rPr>
                                  <w:rFonts w:hint="eastAsia"/>
                                  <w:sz w:val="21"/>
                                  <w:szCs w:val="21"/>
                                </w:rPr>
                                <w:t>0.546</w:t>
                              </w:r>
                            </w:p>
                          </w:txbxContent>
                        </v:textbox>
                      </v:shape>
                      <v:shape id="文本框 98" o:spid="_x0000_s1026" o:spt="202" type="#_x0000_t202" style="position:absolute;left:1427480;top:42545;height:323850;width:771525;" fillcolor="#FFFFFF" filled="t" stroked="f" coordsize="21600,21600" o:gfxdata="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Luyk&#10;Y9IAAAAFAQAADwAAAAAAAAABACAAAAAiAAAAZHJzL2Rvd25yZXYueG1sUEsBAhQAFAAAAAgAh07i&#10;QFBSzSZhAgAAqAQAAA4AAAAAAAAAAQAgAAAAIQEAAGRycy9lMm9Eb2MueG1sUEsFBgAAAAAGAAYA&#10;WQEAAPQFAAAAAA==&#10;">
                        <v:fill on="t" focussize="0,0"/>
                        <v:stroke on="f" weight="0.5pt"/>
                        <v:imagedata o:title=""/>
                        <o:lock v:ext="edit" aspectratio="f"/>
                        <v:textbox>
                          <w:txbxContent>
                            <w:p w14:paraId="43D2D8C2">
                              <w:pPr>
                                <w:spacing w:line="240" w:lineRule="auto"/>
                                <w:ind w:firstLine="0" w:firstLineChars="0"/>
                                <w:jc w:val="center"/>
                                <w:rPr>
                                  <w:sz w:val="21"/>
                                  <w:szCs w:val="21"/>
                                </w:rPr>
                              </w:pPr>
                              <w:r>
                                <w:rPr>
                                  <w:rFonts w:hint="eastAsia"/>
                                  <w:sz w:val="21"/>
                                  <w:szCs w:val="21"/>
                                </w:rPr>
                                <w:t>5.531</w:t>
                              </w:r>
                            </w:p>
                          </w:txbxContent>
                        </v:textbox>
                      </v:shape>
                      <v:shape id="文本框 98" o:spid="_x0000_s1026" o:spt="202" type="#_x0000_t202" style="position:absolute;left:1427480;top:42545;height:323850;width:771525;" fillcolor="#FFFFFF" filled="t" stroked="f" coordsize="21600,21600" o:gfxdata="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Luyk&#10;Y9IAAAAFAQAADwAAAAAAAAABACAAAAAiAAAAZHJzL2Rvd25yZXYueG1sUEsBAhQAFAAAAAgAh07i&#10;QFnZ44ZhAgAAqAQAAA4AAAAAAAAAAQAgAAAAIQEAAGRycy9lMm9Eb2MueG1sUEsFBgAAAAAGAAYA&#10;WQEAAPQFAAAAAA==&#10;">
                        <v:fill on="t" focussize="0,0"/>
                        <v:stroke on="f" weight="0.5pt"/>
                        <v:imagedata o:title=""/>
                        <o:lock v:ext="edit" aspectratio="f"/>
                        <v:textbox>
                          <w:txbxContent>
                            <w:p w14:paraId="4A94E429">
                              <w:pPr>
                                <w:spacing w:line="240" w:lineRule="auto"/>
                                <w:ind w:firstLine="0" w:firstLineChars="0"/>
                                <w:jc w:val="center"/>
                                <w:rPr>
                                  <w:sz w:val="21"/>
                                  <w:szCs w:val="21"/>
                                </w:rPr>
                              </w:pPr>
                              <w:r>
                                <w:rPr>
                                  <w:rFonts w:hint="eastAsia"/>
                                  <w:sz w:val="21"/>
                                  <w:szCs w:val="21"/>
                                </w:rPr>
                                <w:t>4.608</w:t>
                              </w:r>
                            </w:p>
                          </w:txbxContent>
                        </v:textbox>
                      </v:shape>
                      <v:shape id="文本框 98" o:spid="_x0000_s1026" o:spt="202" type="#_x0000_t202" style="position:absolute;left:1427480;top:42545;height:323850;width:771525;" fillcolor="#FFFFFF" filled="t" stroked="f" coordsize="21600,21600" o:gfxdata="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C7s&#10;pGPSAAAABQEAAA8AAAAAAAAAAQAgAAAAIgAAAGRycy9kb3ducmV2LnhtbFBLAQIUABQAAAAIAIdO&#10;4kBeoPnmYgIAAKgEAAAOAAAAAAAAAAEAIAAAACEBAABkcnMvZTJvRG9jLnhtbFBLBQYAAAAABgAG&#10;AFkBAAD1BQAAAAA=&#10;">
                        <v:fill on="t" focussize="0,0"/>
                        <v:stroke on="f" weight="0.5pt"/>
                        <v:imagedata o:title=""/>
                        <o:lock v:ext="edit" aspectratio="f"/>
                        <v:textbox>
                          <w:txbxContent>
                            <w:p w14:paraId="3B7732CE">
                              <w:pPr>
                                <w:spacing w:line="240" w:lineRule="auto"/>
                                <w:ind w:firstLine="0" w:firstLineChars="0"/>
                                <w:jc w:val="center"/>
                                <w:rPr>
                                  <w:sz w:val="21"/>
                                  <w:szCs w:val="21"/>
                                </w:rPr>
                              </w:pPr>
                              <w:r>
                                <w:rPr>
                                  <w:rFonts w:hint="eastAsia"/>
                                  <w:sz w:val="21"/>
                                  <w:szCs w:val="21"/>
                                </w:rPr>
                                <w:t>0.426</w:t>
                              </w:r>
                            </w:p>
                          </w:txbxContent>
                        </v:textbox>
                      </v:shape>
                      <v:shape id="文本框 98" o:spid="_x0000_s1026" o:spt="202" type="#_x0000_t202" style="position:absolute;left:1427480;top:42545;height:323850;width:771525;" fillcolor="#FFFFFF" filled="t" stroked="f" coordsize="21600,21600" o:gfxdata="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C7s&#10;pGPSAAAABQEAAA8AAAAAAAAAAQAgAAAAIgAAAGRycy9kb3ducmV2LnhtbFBLAQIUABQAAAAIAIdO&#10;4kAKyc8dYgIAAKgEAAAOAAAAAAAAAAEAIAAAACEBAABkcnMvZTJvRG9jLnhtbFBLBQYAAAAABgAG&#10;AFkBAAD1BQAAAAA=&#10;">
                        <v:fill on="t" focussize="0,0"/>
                        <v:stroke on="f" weight="0.5pt"/>
                        <v:imagedata o:title=""/>
                        <o:lock v:ext="edit" aspectratio="f"/>
                        <v:textbox>
                          <w:txbxContent>
                            <w:p w14:paraId="46A19921">
                              <w:pPr>
                                <w:spacing w:line="240" w:lineRule="auto"/>
                                <w:ind w:firstLine="0" w:firstLineChars="0"/>
                                <w:jc w:val="center"/>
                                <w:rPr>
                                  <w:sz w:val="21"/>
                                  <w:szCs w:val="21"/>
                                </w:rPr>
                              </w:pPr>
                              <w:r>
                                <w:rPr>
                                  <w:rFonts w:hint="eastAsia"/>
                                  <w:sz w:val="21"/>
                                  <w:szCs w:val="21"/>
                                </w:rPr>
                                <w:t>0.426</w:t>
                              </w:r>
                            </w:p>
                          </w:txbxContent>
                        </v:textbox>
                      </v:shape>
                      <v:shape id="文本框 98" o:spid="_x0000_s1026" o:spt="202" type="#_x0000_t202" style="position:absolute;left:1427480;top:42545;height:323850;width:771525;" fillcolor="#FFFFFF" filled="t" stroked="f" coordsize="21600,21600" o:gfxdata="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C7spGPS&#10;AAAABQEAAA8AAAAAAAAAAQAgAAAAIgAAAGRycy9kb3ducmV2LnhtbFBLAQIUABQAAAAIAIdO4kAN&#10;sNV9XwIAAKgEAAAOAAAAAAAAAAEAIAAAACEBAABkcnMvZTJvRG9jLnhtbFBLBQYAAAAABgAGAFkB&#10;AADyBQAAAAA=&#10;">
                        <v:fill on="t" focussize="0,0"/>
                        <v:stroke on="f" weight="0.5pt"/>
                        <v:imagedata o:title=""/>
                        <o:lock v:ext="edit" aspectratio="f"/>
                        <v:textbox>
                          <w:txbxContent>
                            <w:p w14:paraId="26695338">
                              <w:pPr>
                                <w:spacing w:line="240" w:lineRule="auto"/>
                                <w:ind w:firstLine="0" w:firstLineChars="0"/>
                                <w:jc w:val="center"/>
                                <w:rPr>
                                  <w:sz w:val="21"/>
                                  <w:szCs w:val="21"/>
                                </w:rPr>
                              </w:pPr>
                              <w:r>
                                <w:rPr>
                                  <w:rFonts w:hint="eastAsia"/>
                                  <w:sz w:val="21"/>
                                  <w:szCs w:val="21"/>
                                </w:rPr>
                                <w:t>0.533</w:t>
                              </w:r>
                            </w:p>
                          </w:txbxContent>
                        </v:textbox>
                      </v:shape>
                      <v:shape id="文本框 98" o:spid="_x0000_s1026" o:spt="202" type="#_x0000_t202" style="position:absolute;left:1427480;top:42545;height:323850;width:771525;" fillcolor="#FFFFFF" filled="t" stroked="f" coordsize="21600,21600" o:gfxdata="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C7s&#10;pGPSAAAABQEAAA8AAAAAAAAAAQAgAAAAIgAAAGRycy9kb3ducmV2LnhtbFBLAQIUABQAAAAIAIdO&#10;4kAEO/vdYgIAAKgEAAAOAAAAAAAAAAEAIAAAACEBAABkcnMvZTJvRG9jLnhtbFBLBQYAAAAABgAG&#10;AFkBAAD1BQAAAAA=&#10;">
                        <v:fill on="t" focussize="0,0"/>
                        <v:stroke on="f" weight="0.5pt"/>
                        <v:imagedata o:title=""/>
                        <o:lock v:ext="edit" aspectratio="f"/>
                        <v:textbox>
                          <w:txbxContent>
                            <w:p w14:paraId="4AC1F171">
                              <w:pPr>
                                <w:spacing w:line="240" w:lineRule="auto"/>
                                <w:ind w:firstLine="0" w:firstLineChars="0"/>
                                <w:jc w:val="center"/>
                                <w:rPr>
                                  <w:sz w:val="21"/>
                                  <w:szCs w:val="21"/>
                                </w:rPr>
                              </w:pPr>
                              <w:r>
                                <w:rPr>
                                  <w:rFonts w:hint="eastAsia"/>
                                  <w:sz w:val="21"/>
                                  <w:szCs w:val="21"/>
                                </w:rPr>
                                <w:t>0.12</w:t>
                              </w:r>
                            </w:p>
                          </w:txbxContent>
                        </v:textbox>
                      </v:shape>
                      <v:shape id="文本框 98" o:spid="_x0000_s1026" o:spt="202" type="#_x0000_t202" style="position:absolute;left:1427480;top:42545;height:323850;width:771525;" fillcolor="#FFFFFF" filled="t" stroked="f" coordsize="21600,21600" o:gfxdata="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C7s&#10;pGPSAAAABQEAAA8AAAAAAAAAAQAgAAAAIgAAAGRycy9kb3ducmV2LnhtbFBLAQIUABQAAAAIAIdO&#10;4kADQuG9YgIAAKgEAAAOAAAAAAAAAAEAIAAAACEBAABkcnMvZTJvRG9jLnhtbFBLBQYAAAAABgAG&#10;AFkBAAD1BQAAAAA=&#10;">
                        <v:fill on="t" focussize="0,0"/>
                        <v:stroke on="f" weight="0.5pt"/>
                        <v:imagedata o:title=""/>
                        <o:lock v:ext="edit" aspectratio="f"/>
                        <v:textbox>
                          <w:txbxContent>
                            <w:p w14:paraId="7E7E079C">
                              <w:pPr>
                                <w:spacing w:line="240" w:lineRule="auto"/>
                                <w:ind w:firstLine="0" w:firstLineChars="0"/>
                                <w:jc w:val="center"/>
                                <w:rPr>
                                  <w:sz w:val="21"/>
                                  <w:szCs w:val="21"/>
                                </w:rPr>
                              </w:pPr>
                              <w:r>
                                <w:rPr>
                                  <w:rFonts w:hint="eastAsia"/>
                                  <w:sz w:val="21"/>
                                  <w:szCs w:val="21"/>
                                </w:rPr>
                                <w:t>0.12</w:t>
                              </w:r>
                            </w:p>
                          </w:txbxContent>
                        </v:textbox>
                      </v:shape>
                      <v:shape id="文本框 98" o:spid="_x0000_s1026" o:spt="202" type="#_x0000_t202" style="position:absolute;left:1427480;top:42545;height:323850;width:771525;" fillcolor="#FFFFFF" filled="t" stroked="f" coordsize="21600,21600" o:gfxdata="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C7s&#10;pGPSAAAABQEAAA8AAAAAAAAAAQAgAAAAIgAAAGRycy9kb3ducmV2LnhtbFBLAQIUABQAAAAIAIdO&#10;4kDt7+bwYgIAAKgEAAAOAAAAAAAAAAEAIAAAACEBAABkcnMvZTJvRG9jLnhtbFBLBQYAAAAABgAG&#10;AFkBAAD1BQAAAAA=&#10;">
                        <v:fill on="t" focussize="0,0"/>
                        <v:stroke on="f" weight="0.5pt"/>
                        <v:imagedata o:title=""/>
                        <o:lock v:ext="edit" aspectratio="f"/>
                        <v:textbox>
                          <w:txbxContent>
                            <w:p w14:paraId="238F3FB1">
                              <w:pPr>
                                <w:spacing w:line="240" w:lineRule="auto"/>
                                <w:ind w:firstLine="0" w:firstLineChars="0"/>
                                <w:jc w:val="center"/>
                                <w:rPr>
                                  <w:sz w:val="21"/>
                                  <w:szCs w:val="21"/>
                                </w:rPr>
                              </w:pPr>
                              <w:r>
                                <w:rPr>
                                  <w:rFonts w:hint="eastAsia"/>
                                  <w:sz w:val="21"/>
                                  <w:szCs w:val="21"/>
                                </w:rPr>
                                <w:t>0.15</w:t>
                              </w:r>
                            </w:p>
                          </w:txbxContent>
                        </v:textbox>
                      </v:shape>
                      <v:shape id="文本框 98" o:spid="_x0000_s1026" o:spt="202" type="#_x0000_t202" style="position:absolute;left:1427480;top:42545;height:323850;width:771525;" fillcolor="#FFFFFF" filled="t" stroked="f" coordsize="21600,21600" o:gfxdata="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C7s&#10;pGPSAAAABQEAAA8AAAAAAAAAAQAgAAAAIgAAAGRycy9kb3ducmV2LnhtbFBLAQIUABQAAAAIAIdO&#10;4kDqlvyQYgIAAKgEAAAOAAAAAAAAAAEAIAAAACEBAABkcnMvZTJvRG9jLnhtbFBLBQYAAAAABgAG&#10;AFkBAAD1BQAAAAA=&#10;">
                        <v:fill on="t" focussize="0,0"/>
                        <v:stroke on="f" weight="0.5pt"/>
                        <v:imagedata o:title=""/>
                        <o:lock v:ext="edit" aspectratio="f"/>
                        <v:textbox>
                          <w:txbxContent>
                            <w:p w14:paraId="4C28301F">
                              <w:pPr>
                                <w:spacing w:line="240" w:lineRule="auto"/>
                                <w:ind w:firstLine="0" w:firstLineChars="0"/>
                                <w:jc w:val="center"/>
                                <w:rPr>
                                  <w:sz w:val="21"/>
                                  <w:szCs w:val="21"/>
                                </w:rPr>
                              </w:pPr>
                              <w:r>
                                <w:rPr>
                                  <w:rFonts w:hint="eastAsia"/>
                                  <w:sz w:val="21"/>
                                  <w:szCs w:val="21"/>
                                </w:rPr>
                                <w:t>0.24</w:t>
                              </w:r>
                            </w:p>
                          </w:txbxContent>
                        </v:textbox>
                      </v:shape>
                      <v:shape id="文本框 106" o:spid="_x0000_s1026" o:spt="202" type="#_x0000_t202" style="position:absolute;left:1417955;top:1547495;height:323850;width:771525;" fillcolor="#FFFFFF" filled="t" stroked="f" coordsize="21600,21600" o:gfxdata="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Luyk&#10;Y9IAAAAFAQAADwAAAAAAAAABACAAAAAiAAAAZHJzL2Rvd25yZXYueG1sUEsBAhQAFAAAAAgAh07i&#10;QN2zmzNhAgAAqwQAAA4AAAAAAAAAAQAgAAAAIQEAAGRycy9lMm9Eb2MueG1sUEsFBgAAAAAGAAYA&#10;WQEAAPQFAAAAAA==&#10;">
                        <v:fill on="t" focussize="0,0"/>
                        <v:stroke on="f" weight="0.5pt"/>
                        <v:imagedata o:title=""/>
                        <o:lock v:ext="edit" aspectratio="f"/>
                        <v:textbox>
                          <w:txbxContent>
                            <w:p w14:paraId="6B5BB917">
                              <w:pPr>
                                <w:spacing w:line="240" w:lineRule="auto"/>
                                <w:ind w:firstLine="0" w:firstLineChars="0"/>
                                <w:rPr>
                                  <w:sz w:val="21"/>
                                  <w:szCs w:val="21"/>
                                </w:rPr>
                              </w:pPr>
                              <w:r>
                                <w:rPr>
                                  <w:rFonts w:hint="eastAsia"/>
                                  <w:sz w:val="21"/>
                                  <w:szCs w:val="21"/>
                                </w:rPr>
                                <w:t>耗0.107</w:t>
                              </w:r>
                            </w:p>
                          </w:txbxContent>
                        </v:textbox>
                      </v:shape>
                      <v:shape id="文本框 112" o:spid="_x0000_s1026" o:spt="202" type="#_x0000_t202" style="position:absolute;left:1370330;top:2290445;height:323850;width:771525;" fillcolor="#FFFFFF" filled="t" stroked="f" coordsize="21600,21600" o:gfxdata="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LuykY9IAAAAFAQAADwAAAAAAAAABACAAAAAiAAAAZHJzL2Rvd25yZXYueG1sUEsBAhQAFAAAAAgA&#10;h07iQKKqzvxkAgAAqwQAAA4AAAAAAAAAAQAgAAAAIQEAAGRycy9lMm9Eb2MueG1sUEsFBgAAAAAG&#10;AAYAWQEAAPcFAAAAAA==&#10;">
                        <v:fill on="t" focussize="0,0"/>
                        <v:stroke on="f" weight="0.5pt"/>
                        <v:imagedata o:title=""/>
                        <o:lock v:ext="edit" aspectratio="f"/>
                        <v:textbox>
                          <w:txbxContent>
                            <w:p w14:paraId="6DEB0409">
                              <w:pPr>
                                <w:spacing w:line="240" w:lineRule="auto"/>
                                <w:ind w:firstLine="0" w:firstLineChars="0"/>
                                <w:rPr>
                                  <w:sz w:val="21"/>
                                  <w:szCs w:val="21"/>
                                </w:rPr>
                              </w:pPr>
                              <w:r>
                                <w:rPr>
                                  <w:rFonts w:hint="eastAsia"/>
                                  <w:sz w:val="21"/>
                                  <w:szCs w:val="21"/>
                                </w:rPr>
                                <w:t>耗4.608</w:t>
                              </w:r>
                            </w:p>
                          </w:txbxContent>
                        </v:textbox>
                      </v:shape>
                      <v:shape id="文本框 102" o:spid="_x0000_s1026" o:spt="202" type="#_x0000_t202" style="position:absolute;left:2284730;top:-681355;height:323850;width:628650;" fillcolor="#FFFFFF" filled="t" stroked="f" coordsize="21600,21600" o:gfxdata="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C7s&#10;pGPSAAAABQEAAA8AAAAAAAAAAQAgAAAAIgAAAGRycy9kb3ducmV2LnhtbFBLAQIUABQAAAAIAIdO&#10;4kBuwAhJYgIAAKsEAAAOAAAAAAAAAAEAIAAAACEBAABkcnMvZTJvRG9jLnhtbFBLBQYAAAAABgAG&#10;AFkBAAD1BQAAAAA=&#10;">
                        <v:fill on="t" focussize="0,0"/>
                        <v:stroke on="f" weight="0.5pt"/>
                        <v:imagedata o:title=""/>
                        <o:lock v:ext="edit" aspectratio="f"/>
                        <v:textbox>
                          <w:txbxContent>
                            <w:p w14:paraId="3DE9BA9D">
                              <w:pPr>
                                <w:spacing w:line="240" w:lineRule="auto"/>
                                <w:ind w:firstLine="0" w:firstLineChars="0"/>
                                <w:rPr>
                                  <w:sz w:val="21"/>
                                  <w:szCs w:val="21"/>
                                </w:rPr>
                              </w:pPr>
                              <w:r>
                                <w:rPr>
                                  <w:rFonts w:hint="eastAsia"/>
                                  <w:sz w:val="21"/>
                                  <w:szCs w:val="21"/>
                                </w:rPr>
                                <w:t>2.16</w:t>
                              </w:r>
                            </w:p>
                          </w:txbxContent>
                        </v:textbox>
                      </v:shape>
                      <v:shape id="文本框 100" o:spid="_x0000_s1026" o:spt="202" type="#_x0000_t202" style="position:absolute;left:2132330;top:-271780;height:323850;width:771525;" fillcolor="#FFFFFF" filled="t" stroked="f" coordsize="21600,21600" o:gfxdata="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C7s&#10;pGPSAAAABQEAAA8AAAAAAAAAAQAgAAAAIgAAAGRycy9kb3ducmV2LnhtbFBLAQIUABQAAAAIAIdO&#10;4kAepQYDYgIAAKsEAAAOAAAAAAAAAAEAIAAAACEBAABkcnMvZTJvRG9jLnhtbFBLBQYAAAAABgAG&#10;AFkBAAD1BQAAAAA=&#10;">
                        <v:fill on="t" focussize="0,0"/>
                        <v:stroke on="f" weight="0.5pt"/>
                        <v:imagedata o:title=""/>
                        <o:lock v:ext="edit" aspectratio="f"/>
                        <v:textbox>
                          <w:txbxContent>
                            <w:p w14:paraId="15A663CD">
                              <w:pPr>
                                <w:spacing w:line="240" w:lineRule="auto"/>
                                <w:ind w:firstLine="0" w:firstLineChars="0"/>
                                <w:rPr>
                                  <w:sz w:val="21"/>
                                  <w:szCs w:val="21"/>
                                </w:rPr>
                              </w:pPr>
                              <w:r>
                                <w:rPr>
                                  <w:rFonts w:hint="eastAsia"/>
                                  <w:sz w:val="21"/>
                                  <w:szCs w:val="21"/>
                                </w:rPr>
                                <w:t>循环2.16</w:t>
                              </w:r>
                            </w:p>
                          </w:txbxContent>
                        </v:textbox>
                      </v:shape>
                      <v:shape id="文本框 98" o:spid="_x0000_s1026" o:spt="202" type="#_x0000_t202" style="position:absolute;left:1427480;top:42545;height:323850;width:771525;" fillcolor="#FFFFFF" filled="t" stroked="f" coordsize="21600,21600" o:gfxdata="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C7s&#10;pGPSAAAABQEAAA8AAAAAAAAAAQAgAAAAIgAAAGRycy9kb3ducmV2LnhtbFBLAQIUABQAAAAIAIdO&#10;4kDQRsuDYgIAAKgEAAAOAAAAAAAAAAEAIAAAACEBAABkcnMvZTJvRG9jLnhtbFBLBQYAAAAABgAG&#10;AFkBAAD1BQAAAAA=&#10;">
                        <v:fill on="t" focussize="0,0"/>
                        <v:stroke on="f" weight="0.5pt"/>
                        <v:imagedata o:title=""/>
                        <o:lock v:ext="edit" aspectratio="f"/>
                        <v:textbox>
                          <w:txbxContent>
                            <w:p w14:paraId="0B03CD30">
                              <w:pPr>
                                <w:spacing w:line="240" w:lineRule="auto"/>
                                <w:ind w:firstLine="0" w:firstLineChars="0"/>
                                <w:rPr>
                                  <w:sz w:val="21"/>
                                  <w:szCs w:val="21"/>
                                </w:rPr>
                              </w:pPr>
                              <w:r>
                                <w:rPr>
                                  <w:rFonts w:hint="eastAsia"/>
                                  <w:sz w:val="21"/>
                                  <w:szCs w:val="21"/>
                                </w:rPr>
                                <w:t>耗0.24</w:t>
                              </w:r>
                            </w:p>
                          </w:txbxContent>
                        </v:textbox>
                      </v:shape>
                      <v:shape id="文本框 90" o:spid="_x0000_s1026" o:spt="202" type="#_x0000_t202" style="position:absolute;left:97155;top:972185;height:523875;width:305435;" fillcolor="#FFFFFF" filled="t" stroked="t" coordsize="21600,21600" o:gfxdata="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1MzusNQAAAAFAQAADwAAAAAAAAABACAAAAAiAAAAZHJzL2Rvd25yZXYueG1sUEsBAhQA&#10;FAAAAAgAh07iQHqLn+9oAgAAzwQAAA4AAAAAAAAAAQAgAAAAIwEAAGRycy9lMm9Eb2MueG1sUEsF&#10;BgAAAAAGAAYAWQEAAP0FAAAAAA==&#10;">
                        <v:fill on="t" focussize="0,0"/>
                        <v:stroke weight="0.5pt" color="#000000" joinstyle="round"/>
                        <v:imagedata o:title=""/>
                        <o:lock v:ext="edit" aspectratio="f"/>
                        <v:textbox>
                          <w:txbxContent>
                            <w:p w14:paraId="02D4ED5E">
                              <w:pPr>
                                <w:spacing w:line="240" w:lineRule="auto"/>
                                <w:ind w:firstLine="0" w:firstLineChars="0"/>
                              </w:pPr>
                              <w:r>
                                <w:rPr>
                                  <w:rFonts w:hint="eastAsia"/>
                                </w:rPr>
                                <w:t>供水</w:t>
                              </w:r>
                            </w:p>
                          </w:txbxContent>
                        </v:textbox>
                      </v:shape>
                      <v:shape id="文本框 94" o:spid="_x0000_s1026" o:spt="202" type="#_x0000_t202" style="position:absolute;left:1313180;top:509270;height:266700;width:771525;" fillcolor="#FFFFFF" filled="t" stroked="t" coordsize="21600,21600" o:gfxdata="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1MzusNQAAAAFAQAADwAAAAAAAAABACAAAAAiAAAAZHJzL2Rvd25yZXYueG1sUEsB&#10;AhQAFAAAAAgAh07iQB4bRKlrAgAA0QQAAA4AAAAAAAAAAQAgAAAAIwEAAGRycy9lMm9Eb2MueG1s&#10;UEsFBgAAAAAGAAYAWQEAAAAGAAAAAA==&#10;">
                        <v:fill on="t" focussize="0,0"/>
                        <v:stroke weight="0.5pt" color="#000000" joinstyle="round"/>
                        <v:imagedata o:title=""/>
                        <o:lock v:ext="edit" aspectratio="f"/>
                        <v:textbox>
                          <w:txbxContent>
                            <w:p w14:paraId="43002EF9">
                              <w:pPr>
                                <w:spacing w:line="240" w:lineRule="auto"/>
                                <w:ind w:firstLine="0" w:firstLineChars="0"/>
                                <w:jc w:val="center"/>
                                <w:rPr>
                                  <w:sz w:val="21"/>
                                  <w:szCs w:val="21"/>
                                </w:rPr>
                              </w:pPr>
                              <w:r>
                                <w:rPr>
                                  <w:rFonts w:hint="eastAsia"/>
                                  <w:sz w:val="21"/>
                                  <w:szCs w:val="21"/>
                                </w:rPr>
                                <w:t>车辆清洗</w:t>
                              </w:r>
                            </w:p>
                          </w:txbxContent>
                        </v:textbox>
                      </v:shape>
                      <v:shape id="自选图形 128" o:spid="_x0000_s1026" o:spt="100" style="position:absolute;left:1389380;top:318770;height:190500;width:200025;" filled="f" stroked="t" coordsize="200025,200025" o:gfxdata="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ZU1jiNYAAAAFAQAADwAAAAAAAAABACAAAAAiAAAAZHJzL2Rvd25yZXYueG1sUEsBAhQA&#10;FAAAAAgAh07iQBGT8TRmAgAAHQUAAA4AAAAAAAAAAQAgAAAAJQEAAGRycy9lMm9Eb2MueG1sUEsF&#10;BgAAAAAGAAYAWQEAAP0FAAAAAA==&#10;" path="m0,200025l200025,0e">
                        <v:path o:connectlocs="0,190500;200025,0" o:connectangles="0,0"/>
                        <v:fill on="f" focussize="0,0"/>
                        <v:stroke weight="0.25pt" color="#000000" joinstyle="round" endarrow="block"/>
                        <v:imagedata o:title=""/>
                        <o:lock v:ext="edit" aspectratio="f"/>
                      </v:shape>
                      <v:shape id="文本框 104" o:spid="_x0000_s1026" o:spt="202" type="#_x0000_t202" style="position:absolute;left:1303655;top:1271270;height:266700;width:771525;" fillcolor="#FFFFFF" filled="t" stroked="t" coordsize="21600,21600" o:gfxdata="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NTM7rDUAAAABQEAAA8AAAAAAAAAAQAgAAAAIgAAAGRycy9kb3ducmV2LnhtbFBL&#10;AQIUABQAAAAIAIdO4kAun1cTbAIAANMEAAAOAAAAAAAAAAEAIAAAACMBAABkcnMvZTJvRG9jLnht&#10;bFBLBQYAAAAABgAGAFkBAAABBgAAAAA=&#10;">
                        <v:fill on="t" focussize="0,0"/>
                        <v:stroke weight="0.5pt" color="#000000" joinstyle="round"/>
                        <v:imagedata o:title=""/>
                        <o:lock v:ext="edit" aspectratio="f"/>
                        <v:textbox>
                          <w:txbxContent>
                            <w:p w14:paraId="02F56579">
                              <w:pPr>
                                <w:spacing w:line="240" w:lineRule="auto"/>
                                <w:ind w:firstLine="0" w:firstLineChars="0"/>
                                <w:jc w:val="center"/>
                                <w:rPr>
                                  <w:sz w:val="21"/>
                                  <w:szCs w:val="21"/>
                                </w:rPr>
                              </w:pPr>
                              <w:r>
                                <w:rPr>
                                  <w:rFonts w:hint="eastAsia"/>
                                  <w:sz w:val="21"/>
                                  <w:szCs w:val="21"/>
                                </w:rPr>
                                <w:t>厨房用水</w:t>
                              </w:r>
                            </w:p>
                          </w:txbxContent>
                        </v:textbox>
                      </v:shape>
                      <v:shape id="自选图形 131" o:spid="_x0000_s1026" o:spt="100" style="position:absolute;left:1417955;top:966470;height:190500;width:190500;" filled="f" stroked="t" coordsize="200025,200025" o:gfxdata="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ZU1jiNYAAAAFAQAADwAAAAAAAAABACAAAAAiAAAAZHJzL2Rvd25yZXYueG1sUEsB&#10;AhQAFAAAAAgAh07iQLyZsWJpAgAAHQUAAA4AAAAAAAAAAQAgAAAAJQEAAGRycy9lMm9Eb2MueG1s&#10;UEsFBgAAAAAGAAYAWQEAAAAGAAAAAA==&#10;" path="m0,200025l200025,0e">
                        <v:path o:connectlocs="0,190500;190500,0" o:connectangles="0,0"/>
                        <v:fill on="f" focussize="0,0"/>
                        <v:stroke weight="0.25pt" color="#000000" joinstyle="round" endarrow="block"/>
                        <v:imagedata o:title=""/>
                        <o:lock v:ext="edit" aspectratio="f"/>
                      </v:shape>
                      <v:shape id="文本框 107" o:spid="_x0000_s1026" o:spt="202" type="#_x0000_t202" style="position:absolute;left:1303655;top:2014220;height:266700;width:771525;" fillcolor="#FFFFFF" filled="t" stroked="t" coordsize="21600,21600" o:gfxdata="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1MzusNQAAAAFAQAADwAAAAAAAAABACAAAAAiAAAAZHJzL2Rvd25yZXYueG1sUEsB&#10;AhQAFAAAAAgAh07iQGwaRaZrAgAA0wQAAA4AAAAAAAAAAQAgAAAAIwEAAGRycy9lMm9Eb2MueG1s&#10;UEsFBgAAAAAGAAYAWQEAAAAGAAAAAA==&#10;">
                        <v:fill on="t" focussize="0,0"/>
                        <v:stroke weight="0.5pt" color="#000000" joinstyle="round"/>
                        <v:imagedata o:title=""/>
                        <o:lock v:ext="edit" aspectratio="f"/>
                        <v:textbox>
                          <w:txbxContent>
                            <w:p w14:paraId="4B1F12F6">
                              <w:pPr>
                                <w:spacing w:line="240" w:lineRule="auto"/>
                                <w:ind w:firstLine="0" w:firstLineChars="0"/>
                                <w:jc w:val="center"/>
                                <w:rPr>
                                  <w:sz w:val="21"/>
                                  <w:szCs w:val="21"/>
                                </w:rPr>
                              </w:pPr>
                              <w:r>
                                <w:rPr>
                                  <w:rFonts w:hint="eastAsia"/>
                                  <w:sz w:val="21"/>
                                  <w:szCs w:val="21"/>
                                </w:rPr>
                                <w:t>其他生活用水</w:t>
                              </w:r>
                            </w:p>
                          </w:txbxContent>
                        </v:textbox>
                      </v:shape>
                      <v:shape id="自选图形 133" o:spid="_x0000_s1026" o:spt="100" style="position:absolute;left:1398905;top:1638300;height:190500;width:190500;" filled="f" stroked="t" coordsize="200025,200025" o:gfxdata="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GVNY4jWAAAABQEAAA8AAAAAAAAAAQAgAAAAIgAAAGRycy9kb3ducmV2LnhtbFBLAQIU&#10;ABQAAAAIAIdO4kCmEzi8ZwIAAB4FAAAOAAAAAAAAAAEAIAAAACUBAABkcnMvZTJvRG9jLnhtbFBL&#10;BQYAAAAABgAGAFkBAAD+BQAAAAA=&#10;" path="m0,200025l200025,0e">
                        <v:path o:connectlocs="0,190500;190500,0" o:connectangles="0,0"/>
                        <v:fill on="f" focussize="0,0"/>
                        <v:stroke weight="0.25pt" color="#000000" joinstyle="round" endarrow="block"/>
                        <v:imagedata o:title=""/>
                        <o:lock v:ext="edit" aspectratio="f"/>
                      </v:shape>
                      <v:shape id="文本框 109" o:spid="_x0000_s1026" o:spt="202" type="#_x0000_t202" style="position:absolute;left:2485390;top:1280795;height:266700;width:894715;" fillcolor="#FFFFFF" filled="t" stroked="t" coordsize="21600,21600" o:gfxdata="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1MzusNQAAAAFAQAADwAAAAAAAAABACAAAAAiAAAAZHJzL2Rvd25yZXYueG1s&#10;UEsBAhQAFAAAAAgAh07iQEmmxm1uAgAA0wQAAA4AAAAAAAAAAQAgAAAAIwEAAGRycy9lMm9Eb2Mu&#10;eG1sUEsFBgAAAAAGAAYAWQEAAAMGAAAAAA==&#10;">
                        <v:fill on="t" focussize="0,0"/>
                        <v:stroke weight="0.5pt" color="#000000" joinstyle="round"/>
                        <v:imagedata o:title=""/>
                        <o:lock v:ext="edit" aspectratio="f"/>
                        <v:textbox>
                          <w:txbxContent>
                            <w:p w14:paraId="6E995C11">
                              <w:pPr>
                                <w:spacing w:line="240" w:lineRule="auto"/>
                                <w:ind w:firstLine="0" w:firstLineChars="0"/>
                                <w:jc w:val="center"/>
                                <w:rPr>
                                  <w:sz w:val="21"/>
                                  <w:szCs w:val="21"/>
                                </w:rPr>
                              </w:pPr>
                              <w:r>
                                <w:rPr>
                                  <w:rFonts w:hint="eastAsia"/>
                                  <w:sz w:val="21"/>
                                  <w:szCs w:val="21"/>
                                </w:rPr>
                                <w:t>油水分离器</w:t>
                              </w:r>
                            </w:p>
                          </w:txbxContent>
                        </v:textbox>
                      </v:shape>
                      <v:shape id="文本框 110" o:spid="_x0000_s1026" o:spt="202" type="#_x0000_t202" style="position:absolute;left:2607945;top:2004695;height:266700;width:600075;" fillcolor="#FFFFFF" filled="t" stroked="t" coordsize="21600,21600" o:gfxdata="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NTM7rDUAAAABQEAAA8AAAAAAAAAAQAgAAAAIgAAAGRycy9kb3ducmV2LnhtbFBL&#10;AQIUABQAAAAIAIdO4kDeYOwQbAIAANMEAAAOAAAAAAAAAAEAIAAAACMBAABkcnMvZTJvRG9jLnht&#10;bFBLBQYAAAAABgAGAFkBAAABBgAAAAA=&#10;">
                        <v:fill on="t" focussize="0,0"/>
                        <v:stroke weight="0.5pt" color="#000000" joinstyle="round"/>
                        <v:imagedata o:title=""/>
                        <o:lock v:ext="edit" aspectratio="f"/>
                        <v:textbox>
                          <w:txbxContent>
                            <w:p w14:paraId="44AFAF4F">
                              <w:pPr>
                                <w:spacing w:line="240" w:lineRule="auto"/>
                                <w:ind w:firstLine="0" w:firstLineChars="0"/>
                                <w:rPr>
                                  <w:sz w:val="21"/>
                                  <w:szCs w:val="21"/>
                                </w:rPr>
                              </w:pPr>
                              <w:r>
                                <w:rPr>
                                  <w:rFonts w:hint="eastAsia"/>
                                  <w:sz w:val="21"/>
                                  <w:szCs w:val="21"/>
                                </w:rPr>
                                <w:t>化粪池</w:t>
                              </w:r>
                            </w:p>
                          </w:txbxContent>
                        </v:textbox>
                      </v:shape>
                      <v:shape id="文本框 111" o:spid="_x0000_s1026" o:spt="202" type="#_x0000_t202" style="position:absolute;left:3695065;top:2004695;height:266700;width:1389380;" fillcolor="#FFFFFF" filled="t" stroked="t" coordsize="21600,21600" o:gfxdata="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NTM7rDUAAAABQEAAA8AAAAAAAAAAQAgAAAAIgAAAGRycy9kb3ducmV2LnhtbFBL&#10;AQIUABQAAAAIAIdO4kBasRA9bAIAANQEAAAOAAAAAAAAAAEAIAAAACMBAABkcnMvZTJvRG9jLnht&#10;bFBLBQYAAAAABgAGAFkBAAABBgAAAAA=&#10;">
                        <v:fill on="t" focussize="0,0"/>
                        <v:stroke weight="0.5pt" color="#000000" joinstyle="round"/>
                        <v:imagedata o:title=""/>
                        <o:lock v:ext="edit" aspectratio="f"/>
                        <v:textbox>
                          <w:txbxContent>
                            <w:p w14:paraId="4A2DEE1F">
                              <w:pPr>
                                <w:spacing w:line="240" w:lineRule="auto"/>
                                <w:ind w:firstLine="0" w:firstLineChars="0"/>
                                <w:rPr>
                                  <w:sz w:val="21"/>
                                  <w:szCs w:val="21"/>
                                </w:rPr>
                              </w:pPr>
                              <w:r>
                                <w:rPr>
                                  <w:rFonts w:hint="eastAsia"/>
                                  <w:sz w:val="21"/>
                                  <w:szCs w:val="21"/>
                                </w:rPr>
                                <w:t>一体化污水处理设备</w:t>
                              </w:r>
                            </w:p>
                          </w:txbxContent>
                        </v:textbox>
                      </v:shape>
                      <v:shape id="文本框 113" o:spid="_x0000_s1026" o:spt="202" type="#_x0000_t202" style="position:absolute;left:1256030;top:2719070;height:266700;width:771525;" fillcolor="#FFFFFF" filled="t" stroked="t" coordsize="21600,21600" o:gfxdata="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DUzO6w1AAAAAUBAAAPAAAAAAAAAAEAIAAAACIAAABkcnMvZG93bnJldi54bWxQ&#10;SwECFAAUAAAACACHTuJACSNeBW0CAADTBAAADgAAAAAAAAABACAAAAAjAQAAZHJzL2Uyb0RvYy54&#10;bWxQSwUGAAAAAAYABgBZAQAAAgYAAAAA&#10;">
                        <v:fill on="t" focussize="0,0"/>
                        <v:stroke weight="0.5pt" color="#000000" joinstyle="round"/>
                        <v:imagedata o:title=""/>
                        <o:lock v:ext="edit" aspectratio="f"/>
                        <v:textbox>
                          <w:txbxContent>
                            <w:p w14:paraId="04809FF9">
                              <w:pPr>
                                <w:spacing w:line="240" w:lineRule="auto"/>
                                <w:ind w:firstLine="0" w:firstLineChars="0"/>
                                <w:jc w:val="center"/>
                                <w:rPr>
                                  <w:sz w:val="21"/>
                                  <w:szCs w:val="21"/>
                                </w:rPr>
                              </w:pPr>
                              <w:r>
                                <w:rPr>
                                  <w:rFonts w:hint="eastAsia"/>
                                  <w:sz w:val="21"/>
                                  <w:szCs w:val="21"/>
                                </w:rPr>
                                <w:t>降尘用水</w:t>
                              </w:r>
                            </w:p>
                          </w:txbxContent>
                        </v:textbox>
                      </v:shape>
                      <v:shape id="自选图形 138" o:spid="_x0000_s1026" o:spt="100" style="position:absolute;left:1417955;top:2333625;height:190500;width:190500;" filled="f" stroked="t" coordsize="200025,200025" o:gfxdata="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BlTWOI1gAAAAUBAAAPAAAAAAAAAAEAIAAAACIAAABkcnMvZG93bnJldi54bWxQ&#10;SwECFAAUAAAACACHTuJA5OXo7WsCAAAeBQAADgAAAAAAAAABACAAAAAlAQAAZHJzL2Uyb0RvYy54&#10;bWxQSwUGAAAAAAYABgBZAQAAAgYAAAAA&#10;" path="m0,200025l200025,0e">
                        <v:path o:connectlocs="0,190500;190500,0" o:connectangles="0,0"/>
                        <v:fill on="f" focussize="0,0"/>
                        <v:stroke weight="0.25pt" color="#000000" joinstyle="round" endarrow="block"/>
                        <v:imagedata o:title=""/>
                        <o:lock v:ext="edit" aspectratio="f"/>
                      </v:shape>
                      <v:shape id="自选图形 141" o:spid="_x0000_s1026" o:spt="34" type="#_x0000_t34" style="position:absolute;left:402590;top:642620;flip:y;height:1100455;width:923290;" filled="f" stroked="t" coordsize="21600,21600" o:gfxdata="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NLCtA3UAAAABQEAAA8AAAAAAAAAAQAgAAAAIgAAAGRycy9kb3ducmV2LnhtbFBLAQIUABQA&#10;AAAIAIdO4kBK46vQLQIAADYEAAAOAAAAAAAAAAEAIAAAACMBAABkcnMvZTJvRG9jLnhtbFBLBQYA&#10;AAAABgAGAFkBAADCBQAAAAA=&#10;" adj="10785">
                        <v:fill on="f" focussize="0,0"/>
                        <v:stroke color="#000000" joinstyle="miter" endarrow="block"/>
                        <v:imagedata o:title=""/>
                        <o:lock v:ext="edit" aspectratio="f"/>
                      </v:shape>
                      <v:shape id="自选图形 142" o:spid="_x0000_s1026" o:spt="34" type="#_x0000_t34" style="position:absolute;left:402590;top:1290320;flip:y;height:452755;width:923290;" filled="f" stroked="t" coordsize="21600,21600" o:gfxdata="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NLCtA3UAAAABQEAAA8AAAAAAAAAAQAgAAAAIgAAAGRycy9kb3ducmV2LnhtbFBLAQIUABQA&#10;AAAIAIdO4kDqcg8JLQIAADYEAAAOAAAAAAAAAAEAIAAAACMBAABkcnMvZTJvRG9jLnhtbFBLBQYA&#10;AAAABgAGAFkBAADCBQAAAAA=&#10;" adj="10785">
                        <v:fill on="f" focussize="0,0"/>
                        <v:stroke color="#000000" joinstyle="miter" endarrow="block"/>
                        <v:imagedata o:title=""/>
                        <o:lock v:ext="edit" aspectratio="f"/>
                      </v:shape>
                      <v:shape id="自选图形 143" o:spid="_x0000_s1026" o:spt="34" type="#_x0000_t34" style="position:absolute;left:402590;top:1743075;height:219075;width:923290;" filled="f" stroked="t" coordsize="21600,21600" o:gfxdata="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D4U&#10;nSbXAAAABQEAAA8AAAAAAAAAAQAgAAAAIgAAAGRycy9kb3ducmV2LnhtbFBLAQIUABQAAAAIAIdO&#10;4kC6NQi6JAIAACwEAAAOAAAAAAAAAAEAIAAAACYBAABkcnMvZTJvRG9jLnhtbFBLBQYAAAAABgAG&#10;AFkBAAC8BQAAAAA=&#10;" adj="10785">
                        <v:fill on="f" focussize="0,0"/>
                        <v:stroke color="#000000" joinstyle="miter" endarrow="block"/>
                        <v:imagedata o:title=""/>
                        <o:lock v:ext="edit" aspectratio="f"/>
                      </v:shape>
                      <v:shape id="自选图形 144" o:spid="_x0000_s1026" o:spt="32" type="#_x0000_t32" style="position:absolute;left:2381885;top:1962150;height:1;width:464820;" filled="f" stroked="t" coordsize="21600,21600" o:gfxdata="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XaCVN1wAAAAUBAAAPAAAAAAAAAAEAIAAAACIA&#10;AABkcnMvZG93bnJldi54bWxQSwECFAAUAAAACACHTuJAi1LUCAoCAAD1AwAADgAAAAAAAAABACAA&#10;AAAmAQAAZHJzL2Uyb0RvYy54bWxQSwUGAAAAAAYABgBZAQAAogUAAAAA&#10;">
                        <v:fill on="f" focussize="0,0"/>
                        <v:stroke color="#000000" joinstyle="round" endarrow="block"/>
                        <v:imagedata o:title=""/>
                        <o:lock v:ext="edit" aspectratio="f"/>
                      </v:shape>
                      <v:shape id="自选图形 145" o:spid="_x0000_s1026" o:spt="32" type="#_x0000_t32" style="position:absolute;left:2097405;top:1290320;height:1;width:466090;" filled="f" stroked="t" coordsize="21600,21600" o:gfxdata="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XaCVN1wAAAAUBAAAPAAAAAAAAAAEAIAAAACIA&#10;AABkcnMvZG93bnJldi54bWxQSwECFAAUAAAACACHTuJAwKFvewoCAAD1AwAADgAAAAAAAAABACAA&#10;AAAmAQAAZHJzL2Uyb0RvYy54bWxQSwUGAAAAAAYABgBZAQAAogUAAAAA&#10;">
                        <v:fill on="f" focussize="0,0"/>
                        <v:stroke color="#000000" joinstyle="round" endarrow="block"/>
                        <v:imagedata o:title=""/>
                        <o:lock v:ext="edit" aspectratio="f"/>
                      </v:shape>
                      <v:shape id="自选图形 146" o:spid="_x0000_s1026" o:spt="33" type="#_x0000_t33" style="position:absolute;left:3458210;top:1290320;height:414655;width:1076325;" filled="f" stroked="t" coordsize="21600,21600" o:gfxdata="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1Iya2NcAAAAFAQAADwAAAAAAAAAB&#10;ACAAAAAiAAAAZHJzL2Rvd25yZXYueG1sUEsBAhQAFAAAAAgAh07iQBYr9bsRAgAAAQQAAA4AAAAA&#10;AAAAAQAgAAAAJgEAAGRycy9lMm9Eb2MueG1sUEsFBgAAAAAGAAYAWQEAAKkFAAAAAA==&#10;">
                        <v:fill on="f" focussize="0,0"/>
                        <v:stroke color="#000000" joinstyle="miter" endarrow="block"/>
                        <v:imagedata o:title=""/>
                        <o:lock v:ext="edit" aspectratio="f"/>
                      </v:shape>
                      <v:shape id="自选图形 147" o:spid="_x0000_s1026" o:spt="32" type="#_x0000_t32" style="position:absolute;left:3446780;top:1962150;height:15240;width:630555;" filled="f" stroked="t" coordsize="21600,21600" o:gfxdata="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XaCVN1wAAAAUBAAAPAAAAAAAAAAEA&#10;IAAAACIAAABkcnMvZG93bnJldi54bWxQSwECFAAUAAAACACHTuJAQrjCXhACAAD5AwAADgAAAAAA&#10;AAABACAAAAAmAQAAZHJzL2Uyb0RvYy54bWxQSwUGAAAAAAYABgBZAQAAqAUAAAAA&#10;">
                        <v:fill on="f" focussize="0,0"/>
                        <v:stroke color="#000000" joinstyle="round" endarrow="block"/>
                        <v:imagedata o:title=""/>
                        <o:lock v:ext="edit" aspectratio="f"/>
                      </v:shape>
                      <v:shape id="文本框 92" o:spid="_x0000_s1026" o:spt="202" type="#_x0000_t202" style="position:absolute;left:2846705;top:-528955;height:266700;width:923925;" fillcolor="#FFFFFF" filled="t" stroked="t" coordsize="21600,21600" o:gfxdata="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1MzusNQAAAAFAQAADwAAAAAAAAABACAAAAAiAAAAZHJzL2Rvd25yZXYueG1s&#10;UEsBAhQAFAAAAAgAh07iQAIKBQduAgAA0gQAAA4AAAAAAAAAAQAgAAAAIwEAAGRycy9lMm9Eb2Mu&#10;eG1sUEsFBgAAAAAGAAYAWQEAAAMGAAAAAA==&#10;">
                        <v:fill on="t" focussize="0,0"/>
                        <v:stroke weight="0.5pt" color="#000000" joinstyle="round"/>
                        <v:imagedata o:title=""/>
                        <o:lock v:ext="edit" aspectratio="f"/>
                        <v:textbox>
                          <w:txbxContent>
                            <w:p w14:paraId="4ADC72FE">
                              <w:pPr>
                                <w:spacing w:line="240" w:lineRule="auto"/>
                                <w:ind w:firstLine="0" w:firstLineChars="0"/>
                                <w:jc w:val="center"/>
                                <w:rPr>
                                  <w:sz w:val="21"/>
                                  <w:szCs w:val="21"/>
                                </w:rPr>
                              </w:pPr>
                              <w:r>
                                <w:rPr>
                                  <w:rFonts w:hint="eastAsia"/>
                                  <w:sz w:val="21"/>
                                  <w:szCs w:val="21"/>
                                </w:rPr>
                                <w:t>车辆清洗池</w:t>
                              </w:r>
                            </w:p>
                          </w:txbxContent>
                        </v:textbox>
                      </v:shape>
                      <v:shape id="自选图形 149" o:spid="_x0000_s1026" o:spt="32" type="#_x0000_t32" style="position:absolute;left:2097405;top:642620;height:5080;width:596900;" filled="f" stroked="t" coordsize="21600,21600" o:gfxdata="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12glTdcAAAAFAQAADwAAAAAAAAABACAA&#10;AAAiAAAAZHJzL2Rvd25yZXYueG1sUEsBAhQAFAAAAAgAh07iQG+p+JYOAgAA9wMAAA4AAAAAAAAA&#10;AQAgAAAAJgEAAGRycy9lMm9Eb2MueG1sUEsFBgAAAAAGAAYAWQEAAKYFAAAAAA==&#10;">
                        <v:fill on="f" focussize="0,0"/>
                        <v:stroke color="#000000" joinstyle="round" endarrow="block"/>
                        <v:imagedata o:title=""/>
                        <o:lock v:ext="edit" aspectratio="f"/>
                      </v:shape>
                      <v:shape id="自选图形 150" o:spid="_x0000_s1026" o:spt="34" type="#_x0000_t34" style="position:absolute;left:2431733;top:-210503;flip:x;height:1444625;width:5080;rotation:-5898240f;" filled="f" stroked="t" coordsize="21600,21600" o:gfxdata="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vHNJB1gAAAAUBAAAPAAAAAAAAAAEAIAAAACIAAABkcnMvZG93bnJl&#10;di54bWxQSwECFAAUAAAACACHTuJAfGKBMTgCAABIBAAADgAAAAAAAAABACAAAAAlAQAAZHJzL2Uy&#10;b0RvYy54bWxQSwUGAAAAAAYABgBZAQAAzwUAAAAA&#10;" adj="993600">
                        <v:fill on="f" focussize="0,0"/>
                        <v:stroke color="#000000" joinstyle="miter" endarrow="block"/>
                        <v:imagedata o:title=""/>
                        <o:lock v:ext="edit" aspectratio="f"/>
                      </v:shape>
                      <v:shape id="自选图形 151" o:spid="_x0000_s1026" o:spt="34" type="#_x0000_t34" style="position:absolute;left:402590;top:1743075;height:914400;width:923290;" filled="f" stroked="t" coordsize="21600,21600" o:gfxdata="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FJ0m1wAAAAUBAAAPAAAAAAAAAAEAIAAAACIAAABkcnMvZG93bnJldi54bWxQSwECFAAUAAAA&#10;CACHTuJABOwKdSgCAAAsBAAADgAAAAAAAAABACAAAAAmAQAAZHJzL2Uyb0RvYy54bWxQSwUGAAAA&#10;AAYABgBZAQAAwAUAAAAA&#10;" adj="10785">
                        <v:fill on="f" focussize="0,0"/>
                        <v:stroke color="#000000" joinstyle="miter" endarrow="block"/>
                        <v:imagedata o:title=""/>
                        <o:lock v:ext="edit" aspectratio="f"/>
                      </v:shape>
                      <v:shape id="文本框 98" o:spid="_x0000_s1026" o:spt="202" type="#_x0000_t202" style="position:absolute;left:1427480;top:42545;height:323850;width:771525;" fillcolor="#FFFFFF" filled="t" stroked="f" coordsize="21600,21600" o:gfxdata="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Au&#10;7KRj0gAAAAUBAAAPAAAAAAAAAAEAIAAAACIAAABkcnMvZG93bnJldi54bWxQSwECFAAUAAAACACH&#10;TuJAxQCA6WMCAACoBAAADgAAAAAAAAABACAAAAAhAQAAZHJzL2Uyb0RvYy54bWxQSwUGAAAAAAYA&#10;BgBZAQAA9gUAAAAA&#10;">
                        <v:fill on="t" focussize="0,0"/>
                        <v:stroke on="f" weight="0.5pt"/>
                        <v:imagedata o:title=""/>
                        <o:lock v:ext="edit" aspectratio="f"/>
                        <v:textbox>
                          <w:txbxContent>
                            <w:p w14:paraId="20F0CE55">
                              <w:pPr>
                                <w:spacing w:line="240" w:lineRule="auto"/>
                                <w:ind w:firstLine="0" w:firstLineChars="0"/>
                                <w:rPr>
                                  <w:sz w:val="21"/>
                                  <w:szCs w:val="21"/>
                                </w:rPr>
                              </w:pPr>
                              <w:r>
                                <w:rPr>
                                  <w:sz w:val="21"/>
                                  <w:szCs w:val="21"/>
                                </w:rPr>
                                <w:t>初期雨水收集池暂存</w:t>
                              </w:r>
                            </w:p>
                          </w:txbxContent>
                        </v:textbox>
                      </v:shape>
                      <v:shape id="文本框 113" o:spid="_x0000_s1026" o:spt="202" type="#_x0000_t202" style="position:absolute;left:1256030;top:2719070;height:266700;width:771525;" fillcolor="#FFFFFF" filled="t" stroked="t" coordsize="21600,21600" o:gfxdata="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DUzO6w1AAAAAUBAAAPAAAAAAAAAAEAIAAAACIAAABkcnMvZG93bnJldi54bWxQ&#10;SwECFAAUAAAACACHTuJAx48FPW0CAADTBAAADgAAAAAAAAABACAAAAAjAQAAZHJzL2Uyb0RvYy54&#10;bWxQSwUGAAAAAAYABgBZAQAAAgYAAAAA&#10;">
                        <v:fill on="t" focussize="0,0"/>
                        <v:stroke weight="0.5pt" color="#000000" joinstyle="round"/>
                        <v:imagedata o:title=""/>
                        <o:lock v:ext="edit" aspectratio="f"/>
                        <v:textbox>
                          <w:txbxContent>
                            <w:p w14:paraId="21C3BBD8">
                              <w:pPr>
                                <w:spacing w:line="240" w:lineRule="auto"/>
                                <w:ind w:firstLine="0" w:firstLineChars="0"/>
                                <w:jc w:val="center"/>
                                <w:rPr>
                                  <w:sz w:val="21"/>
                                  <w:szCs w:val="21"/>
                                </w:rPr>
                              </w:pPr>
                              <w:r>
                                <w:rPr>
                                  <w:sz w:val="21"/>
                                  <w:szCs w:val="21"/>
                                </w:rPr>
                                <w:t>初期雨水</w:t>
                              </w:r>
                            </w:p>
                          </w:txbxContent>
                        </v:textbox>
                      </v:shape>
                      <v:shape id="文本框 157" o:spid="_x0000_s1026" o:spt="202" type="#_x0000_t202" style="position:absolute;left:1541780;top:3100705;height:266700;width:2931795;" fillcolor="#FFFFFF" filled="t" stroked="f" coordsize="21600,21600" o:gfxdata="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Au7KRj0gAAAAUBAAAPAAAAAAAAAAEAIAAA&#10;ACIAAABkcnMvZG93bnJldi54bWxQSwECFAAUAAAACACHTuJAsCJAHtkBAACPAwAADgAAAAAAAAAB&#10;ACAAAAAhAQAAZHJzL2Uyb0RvYy54bWxQSwUGAAAAAAYABgBZAQAAbAUAAAAA&#10;">
                        <v:fill on="t" focussize="0,0"/>
                        <v:stroke on="f" weight="0.5pt"/>
                        <v:imagedata o:title=""/>
                        <o:lock v:ext="edit" aspectratio="f"/>
                        <v:textbox>
                          <w:txbxContent>
                            <w:p w14:paraId="4DB02745">
                              <w:pPr>
                                <w:spacing w:line="240" w:lineRule="auto"/>
                                <w:ind w:firstLine="0" w:firstLineChars="0"/>
                                <w:jc w:val="center"/>
                                <w:rPr>
                                  <w:sz w:val="21"/>
                                  <w:szCs w:val="21"/>
                                </w:rPr>
                              </w:pPr>
                              <w:r>
                                <w:rPr>
                                  <w:sz w:val="21"/>
                                  <w:szCs w:val="21"/>
                                </w:rPr>
                                <w:t>初期雨水收集池收集暂存用于晴天降尘和绿化</w:t>
                              </w:r>
                            </w:p>
                          </w:txbxContent>
                        </v:textbox>
                      </v:shape>
                      <v:shape id="自选图形 158" o:spid="_x0000_s1026" o:spt="32" type="#_x0000_t32" style="position:absolute;left:868680;top:3234055;height:1;width:673100;" filled="f" stroked="t" coordsize="21600,21600" o:gfxdata="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12glTdcAAAAFAQAADwAAAAAAAAABACAAAAAiAAAA&#10;ZHJzL2Rvd25yZXYueG1sUEsBAhQAFAAAAAgAh07iQESHIjEIAgAA9AMAAA4AAAAAAAAAAQAgAAAA&#10;JgEAAGRycy9lMm9Eb2MueG1sUEsFBgAAAAAGAAYAWQEAAKAFAAAAAA==&#10;">
                        <v:fill on="f" focussize="0,0"/>
                        <v:stroke color="#000000" joinstyle="round" endarrow="block"/>
                        <v:imagedata o:title=""/>
                        <o:lock v:ext="edit" aspectratio="f"/>
                      </v:shape>
                      <v:shape id="自选图形 159" o:spid="_x0000_s1026" o:spt="32" type="#_x0000_t32" style="position:absolute;left:4534535;top:2249805;height:274320;width:1;" filled="f" stroked="t" coordsize="21600,21600" o:gfxdata="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NdoJU3XAAAABQEAAA8AAAAAAAAAAQAgAAAA&#10;IgAAAGRycy9kb3ducmV2LnhtbFBLAQIUABQAAAAIAIdO4kAGEOhtDAIAAPUDAAAOAAAAAAAAAAEA&#10;IAAAACYBAABkcnMvZTJvRG9jLnhtbFBLBQYAAAAABgAGAFkBAACkBQAAAAA=&#10;">
                        <v:fill on="f" focussize="0,0"/>
                        <v:stroke color="#000000" joinstyle="round" endarrow="block"/>
                        <v:imagedata o:title=""/>
                        <o:lock v:ext="edit" aspectratio="f"/>
                      </v:shape>
                      <w10:wrap type="none"/>
                      <w10:anchorlock/>
                    </v:group>
                  </w:pict>
                </mc:Fallback>
              </mc:AlternateContent>
            </w:r>
          </w:p>
          <w:p w14:paraId="6CE4766A">
            <w:pPr>
              <w:tabs>
                <w:tab w:val="left" w:pos="540"/>
                <w:tab w:val="left" w:pos="851"/>
                <w:tab w:val="left" w:pos="994"/>
                <w:tab w:val="left" w:pos="1260"/>
                <w:tab w:val="left" w:pos="3108"/>
                <w:tab w:val="left" w:pos="3150"/>
              </w:tabs>
              <w:ind w:firstLine="422"/>
              <w:jc w:val="center"/>
              <w:rPr>
                <w:rFonts w:cs="宋体"/>
                <w:b/>
                <w:bCs/>
                <w:sz w:val="21"/>
                <w:szCs w:val="21"/>
              </w:rPr>
            </w:pPr>
            <w:r>
              <w:rPr>
                <w:rFonts w:hint="eastAsia"/>
                <w:b/>
                <w:bCs/>
                <w:sz w:val="21"/>
                <w:szCs w:val="21"/>
              </w:rPr>
              <w:t>图</w:t>
            </w:r>
            <w:r>
              <w:rPr>
                <w:b/>
                <w:bCs/>
                <w:sz w:val="21"/>
                <w:szCs w:val="21"/>
              </w:rPr>
              <w:t>2</w:t>
            </w:r>
            <w:r>
              <w:rPr>
                <w:rFonts w:hint="eastAsia"/>
                <w:b/>
                <w:bCs/>
                <w:sz w:val="21"/>
                <w:szCs w:val="21"/>
              </w:rPr>
              <w:t>-2</w:t>
            </w:r>
            <w:r>
              <w:rPr>
                <w:b/>
                <w:bCs/>
                <w:sz w:val="21"/>
                <w:szCs w:val="21"/>
              </w:rPr>
              <w:t xml:space="preserve"> </w:t>
            </w:r>
            <w:r>
              <w:rPr>
                <w:rFonts w:hint="eastAsia"/>
                <w:b/>
                <w:bCs/>
                <w:sz w:val="21"/>
                <w:szCs w:val="21"/>
              </w:rPr>
              <w:t xml:space="preserve"> </w:t>
            </w:r>
            <w:r>
              <w:rPr>
                <w:rFonts w:hint="eastAsia" w:cs="宋体"/>
                <w:b/>
                <w:bCs/>
                <w:sz w:val="21"/>
                <w:szCs w:val="21"/>
              </w:rPr>
              <w:t>项目雨天水平衡图（单位</w:t>
            </w:r>
            <w:r>
              <w:rPr>
                <w:b/>
                <w:bCs/>
                <w:sz w:val="21"/>
                <w:szCs w:val="21"/>
              </w:rPr>
              <w:t>m</w:t>
            </w:r>
            <w:r>
              <w:rPr>
                <w:b/>
                <w:bCs/>
                <w:sz w:val="21"/>
                <w:szCs w:val="21"/>
                <w:vertAlign w:val="superscript"/>
              </w:rPr>
              <w:t>3</w:t>
            </w:r>
            <w:r>
              <w:rPr>
                <w:b/>
                <w:bCs/>
                <w:sz w:val="21"/>
                <w:szCs w:val="21"/>
              </w:rPr>
              <w:t>/d</w:t>
            </w:r>
            <w:r>
              <w:rPr>
                <w:rFonts w:hint="eastAsia" w:cs="宋体"/>
                <w:b/>
                <w:bCs/>
                <w:sz w:val="21"/>
                <w:szCs w:val="21"/>
              </w:rPr>
              <w:t>）</w:t>
            </w:r>
          </w:p>
          <w:p w14:paraId="4A18A38F">
            <w:pPr>
              <w:ind w:firstLine="480" w:firstLineChars="0"/>
              <w:rPr>
                <w:rFonts w:cs="宋体"/>
                <w:b/>
              </w:rPr>
            </w:pPr>
            <w:r>
              <w:rPr>
                <w:rFonts w:hint="eastAsia" w:cs="宋体"/>
                <w:b/>
              </w:rPr>
              <w:t>10、建设进度</w:t>
            </w:r>
          </w:p>
          <w:p w14:paraId="62F8B1FB">
            <w:pPr>
              <w:ind w:firstLine="480" w:firstLineChars="0"/>
              <w:rPr>
                <w:rFonts w:cs="宋体"/>
                <w:b/>
              </w:rPr>
            </w:pPr>
            <w:r>
              <w:rPr>
                <w:rFonts w:hint="eastAsia"/>
              </w:rPr>
              <w:t>项目计划于2026年10月开始建设，2027年1月建成投产。</w:t>
            </w:r>
          </w:p>
          <w:p w14:paraId="00DAE910">
            <w:pPr>
              <w:ind w:firstLine="480" w:firstLineChars="0"/>
              <w:rPr>
                <w:rFonts w:cs="宋体"/>
                <w:b/>
              </w:rPr>
            </w:pPr>
            <w:r>
              <w:rPr>
                <w:rFonts w:hint="eastAsia" w:cs="宋体"/>
                <w:b/>
              </w:rPr>
              <w:t>11、环保投资</w:t>
            </w:r>
          </w:p>
          <w:p w14:paraId="4C00CD55">
            <w:pPr>
              <w:adjustRightInd w:val="0"/>
              <w:snapToGrid w:val="0"/>
              <w:ind w:firstLine="480"/>
              <w:rPr>
                <w:b/>
              </w:rPr>
            </w:pPr>
            <w:r>
              <w:rPr>
                <w:rFonts w:hint="eastAsia" w:cs="宋体"/>
                <w:bCs/>
              </w:rPr>
              <w:t>项目总投资</w:t>
            </w:r>
            <w:r>
              <w:rPr>
                <w:rFonts w:hint="eastAsia"/>
                <w:bCs/>
              </w:rPr>
              <w:t>1500</w:t>
            </w:r>
            <w:r>
              <w:rPr>
                <w:rFonts w:hint="eastAsia" w:cs="宋体"/>
                <w:bCs/>
              </w:rPr>
              <w:t>万</w:t>
            </w:r>
            <w:r>
              <w:rPr>
                <w:rFonts w:hint="eastAsia"/>
              </w:rPr>
              <w:t>元，其中环保投资96.9万元，占总投资的6.5%。</w:t>
            </w:r>
          </w:p>
          <w:p w14:paraId="537B478A">
            <w:pPr>
              <w:adjustRightInd w:val="0"/>
              <w:snapToGrid w:val="0"/>
              <w:ind w:firstLine="422"/>
              <w:jc w:val="center"/>
              <w:rPr>
                <w:rFonts w:cs="宋体"/>
                <w:b/>
                <w:sz w:val="21"/>
                <w:szCs w:val="21"/>
              </w:rPr>
            </w:pPr>
            <w:r>
              <w:rPr>
                <w:rFonts w:hint="eastAsia" w:cs="宋体"/>
                <w:b/>
                <w:sz w:val="21"/>
                <w:szCs w:val="21"/>
              </w:rPr>
              <w:t>表</w:t>
            </w:r>
            <w:r>
              <w:rPr>
                <w:b/>
                <w:sz w:val="21"/>
                <w:szCs w:val="21"/>
              </w:rPr>
              <w:t>2-</w:t>
            </w:r>
            <w:r>
              <w:rPr>
                <w:rFonts w:hint="eastAsia"/>
                <w:b/>
                <w:sz w:val="21"/>
                <w:szCs w:val="21"/>
              </w:rPr>
              <w:t>8</w:t>
            </w:r>
            <w:r>
              <w:rPr>
                <w:b/>
                <w:sz w:val="21"/>
                <w:szCs w:val="21"/>
              </w:rPr>
              <w:t xml:space="preserve">  </w:t>
            </w:r>
            <w:r>
              <w:rPr>
                <w:rFonts w:hint="eastAsia" w:cs="宋体"/>
                <w:b/>
                <w:sz w:val="21"/>
                <w:szCs w:val="21"/>
              </w:rPr>
              <w:t>环保投资一览表</w:t>
            </w:r>
          </w:p>
          <w:tbl>
            <w:tblPr>
              <w:tblStyle w:val="26"/>
              <w:tblW w:w="4947" w:type="pct"/>
              <w:tblInd w:w="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2"/>
              <w:gridCol w:w="2118"/>
              <w:gridCol w:w="4181"/>
              <w:gridCol w:w="1085"/>
            </w:tblGrid>
            <w:tr w14:paraId="4EB9F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exact"/>
              </w:trPr>
              <w:tc>
                <w:tcPr>
                  <w:tcW w:w="451" w:type="pct"/>
                  <w:tcBorders>
                    <w:top w:val="single" w:color="auto" w:sz="4" w:space="0"/>
                    <w:left w:val="single" w:color="auto" w:sz="4" w:space="0"/>
                    <w:bottom w:val="single" w:color="auto" w:sz="4" w:space="0"/>
                    <w:right w:val="single" w:color="auto" w:sz="4" w:space="0"/>
                  </w:tcBorders>
                  <w:vAlign w:val="center"/>
                </w:tcPr>
                <w:p w14:paraId="6D98399E">
                  <w:pPr>
                    <w:adjustRightInd w:val="0"/>
                    <w:snapToGrid w:val="0"/>
                    <w:spacing w:line="240" w:lineRule="auto"/>
                    <w:ind w:firstLine="0" w:firstLineChars="0"/>
                    <w:rPr>
                      <w:b/>
                      <w:bCs/>
                      <w:sz w:val="21"/>
                      <w:szCs w:val="21"/>
                    </w:rPr>
                  </w:pPr>
                  <w:r>
                    <w:rPr>
                      <w:b/>
                      <w:bCs/>
                      <w:sz w:val="21"/>
                      <w:szCs w:val="21"/>
                    </w:rPr>
                    <w:t>序号</w:t>
                  </w:r>
                </w:p>
              </w:tc>
              <w:tc>
                <w:tcPr>
                  <w:tcW w:w="1305" w:type="pct"/>
                  <w:tcBorders>
                    <w:top w:val="single" w:color="auto" w:sz="4" w:space="0"/>
                    <w:left w:val="single" w:color="auto" w:sz="4" w:space="0"/>
                    <w:bottom w:val="single" w:color="auto" w:sz="4" w:space="0"/>
                    <w:right w:val="single" w:color="auto" w:sz="4" w:space="0"/>
                  </w:tcBorders>
                  <w:vAlign w:val="center"/>
                </w:tcPr>
                <w:p w14:paraId="7A705780">
                  <w:pPr>
                    <w:adjustRightInd w:val="0"/>
                    <w:snapToGrid w:val="0"/>
                    <w:spacing w:line="240" w:lineRule="auto"/>
                    <w:ind w:firstLine="0" w:firstLineChars="0"/>
                    <w:jc w:val="center"/>
                    <w:rPr>
                      <w:b/>
                      <w:bCs/>
                      <w:sz w:val="21"/>
                      <w:szCs w:val="21"/>
                    </w:rPr>
                  </w:pPr>
                  <w:r>
                    <w:rPr>
                      <w:b/>
                      <w:bCs/>
                      <w:sz w:val="21"/>
                      <w:szCs w:val="21"/>
                    </w:rPr>
                    <w:t>治理类别</w:t>
                  </w:r>
                </w:p>
              </w:tc>
              <w:tc>
                <w:tcPr>
                  <w:tcW w:w="2575" w:type="pct"/>
                  <w:tcBorders>
                    <w:top w:val="single" w:color="auto" w:sz="4" w:space="0"/>
                    <w:left w:val="single" w:color="auto" w:sz="4" w:space="0"/>
                    <w:bottom w:val="single" w:color="auto" w:sz="4" w:space="0"/>
                    <w:right w:val="single" w:color="auto" w:sz="4" w:space="0"/>
                  </w:tcBorders>
                  <w:vAlign w:val="center"/>
                </w:tcPr>
                <w:p w14:paraId="7636E660">
                  <w:pPr>
                    <w:adjustRightInd w:val="0"/>
                    <w:snapToGrid w:val="0"/>
                    <w:spacing w:line="240" w:lineRule="auto"/>
                    <w:ind w:firstLine="0" w:firstLineChars="0"/>
                    <w:jc w:val="center"/>
                    <w:rPr>
                      <w:b/>
                      <w:bCs/>
                      <w:sz w:val="21"/>
                      <w:szCs w:val="21"/>
                    </w:rPr>
                  </w:pPr>
                  <w:r>
                    <w:rPr>
                      <w:b/>
                      <w:bCs/>
                      <w:sz w:val="21"/>
                      <w:szCs w:val="21"/>
                    </w:rPr>
                    <w:t>处置措施或处置设施</w:t>
                  </w:r>
                </w:p>
              </w:tc>
              <w:tc>
                <w:tcPr>
                  <w:tcW w:w="667" w:type="pct"/>
                  <w:tcBorders>
                    <w:top w:val="single" w:color="auto" w:sz="4" w:space="0"/>
                    <w:left w:val="single" w:color="auto" w:sz="4" w:space="0"/>
                    <w:bottom w:val="single" w:color="auto" w:sz="4" w:space="0"/>
                    <w:right w:val="single" w:color="auto" w:sz="4" w:space="0"/>
                  </w:tcBorders>
                  <w:vAlign w:val="center"/>
                </w:tcPr>
                <w:p w14:paraId="25501077">
                  <w:pPr>
                    <w:adjustRightInd w:val="0"/>
                    <w:snapToGrid w:val="0"/>
                    <w:spacing w:line="240" w:lineRule="auto"/>
                    <w:ind w:firstLine="0" w:firstLineChars="0"/>
                    <w:rPr>
                      <w:b/>
                      <w:bCs/>
                      <w:sz w:val="21"/>
                      <w:szCs w:val="21"/>
                    </w:rPr>
                  </w:pPr>
                  <w:r>
                    <w:rPr>
                      <w:b/>
                      <w:bCs/>
                      <w:sz w:val="21"/>
                      <w:szCs w:val="21"/>
                    </w:rPr>
                    <w:t>投资估算</w:t>
                  </w:r>
                </w:p>
                <w:p w14:paraId="7670E512">
                  <w:pPr>
                    <w:adjustRightInd w:val="0"/>
                    <w:snapToGrid w:val="0"/>
                    <w:spacing w:line="240" w:lineRule="auto"/>
                    <w:ind w:firstLine="0" w:firstLineChars="0"/>
                    <w:rPr>
                      <w:b/>
                      <w:bCs/>
                      <w:sz w:val="21"/>
                      <w:szCs w:val="21"/>
                    </w:rPr>
                  </w:pPr>
                  <w:r>
                    <w:rPr>
                      <w:rFonts w:hint="eastAsia"/>
                      <w:b/>
                      <w:bCs/>
                      <w:sz w:val="21"/>
                      <w:szCs w:val="21"/>
                    </w:rPr>
                    <w:t>（万元）</w:t>
                  </w:r>
                </w:p>
              </w:tc>
            </w:tr>
            <w:tr w14:paraId="5C314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5000" w:type="pct"/>
                  <w:gridSpan w:val="4"/>
                  <w:tcBorders>
                    <w:top w:val="single" w:color="auto" w:sz="4" w:space="0"/>
                    <w:left w:val="single" w:color="auto" w:sz="4" w:space="0"/>
                    <w:bottom w:val="single" w:color="auto" w:sz="4" w:space="0"/>
                    <w:right w:val="single" w:color="auto" w:sz="4" w:space="0"/>
                  </w:tcBorders>
                  <w:vAlign w:val="center"/>
                </w:tcPr>
                <w:p w14:paraId="4AFA98BF">
                  <w:pPr>
                    <w:adjustRightInd w:val="0"/>
                    <w:snapToGrid w:val="0"/>
                    <w:spacing w:line="240" w:lineRule="auto"/>
                    <w:ind w:firstLine="0" w:firstLineChars="0"/>
                    <w:rPr>
                      <w:sz w:val="21"/>
                      <w:szCs w:val="21"/>
                    </w:rPr>
                  </w:pPr>
                  <w:r>
                    <w:rPr>
                      <w:rFonts w:hint="eastAsia"/>
                      <w:sz w:val="21"/>
                      <w:szCs w:val="21"/>
                    </w:rPr>
                    <w:t>一、施工期</w:t>
                  </w:r>
                </w:p>
              </w:tc>
            </w:tr>
            <w:tr w14:paraId="7E69B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exact"/>
              </w:trPr>
              <w:tc>
                <w:tcPr>
                  <w:tcW w:w="451" w:type="pct"/>
                  <w:tcBorders>
                    <w:top w:val="single" w:color="auto" w:sz="4" w:space="0"/>
                    <w:left w:val="single" w:color="auto" w:sz="4" w:space="0"/>
                    <w:bottom w:val="single" w:color="auto" w:sz="4" w:space="0"/>
                    <w:right w:val="single" w:color="auto" w:sz="4" w:space="0"/>
                  </w:tcBorders>
                  <w:vAlign w:val="center"/>
                </w:tcPr>
                <w:p w14:paraId="216EBFB1">
                  <w:pPr>
                    <w:adjustRightInd w:val="0"/>
                    <w:snapToGrid w:val="0"/>
                    <w:spacing w:line="240" w:lineRule="auto"/>
                    <w:ind w:firstLine="0" w:firstLineChars="0"/>
                    <w:jc w:val="center"/>
                    <w:rPr>
                      <w:kern w:val="0"/>
                      <w:sz w:val="21"/>
                      <w:szCs w:val="21"/>
                    </w:rPr>
                  </w:pPr>
                  <w:r>
                    <w:rPr>
                      <w:rFonts w:hint="eastAsia"/>
                      <w:kern w:val="0"/>
                      <w:sz w:val="21"/>
                      <w:szCs w:val="21"/>
                    </w:rPr>
                    <w:t>1</w:t>
                  </w:r>
                </w:p>
              </w:tc>
              <w:tc>
                <w:tcPr>
                  <w:tcW w:w="1305" w:type="pct"/>
                  <w:tcBorders>
                    <w:top w:val="single" w:color="auto" w:sz="4" w:space="0"/>
                    <w:left w:val="single" w:color="auto" w:sz="4" w:space="0"/>
                    <w:bottom w:val="single" w:color="auto" w:sz="4" w:space="0"/>
                    <w:right w:val="single" w:color="auto" w:sz="4" w:space="0"/>
                  </w:tcBorders>
                  <w:vAlign w:val="center"/>
                </w:tcPr>
                <w:p w14:paraId="6D57C552">
                  <w:pPr>
                    <w:adjustRightInd w:val="0"/>
                    <w:snapToGrid w:val="0"/>
                    <w:spacing w:line="240" w:lineRule="auto"/>
                    <w:ind w:firstLine="0" w:firstLineChars="0"/>
                    <w:jc w:val="center"/>
                    <w:rPr>
                      <w:kern w:val="0"/>
                      <w:sz w:val="21"/>
                      <w:szCs w:val="21"/>
                    </w:rPr>
                  </w:pPr>
                  <w:r>
                    <w:rPr>
                      <w:kern w:val="0"/>
                      <w:sz w:val="21"/>
                      <w:szCs w:val="21"/>
                    </w:rPr>
                    <w:t>施工扬尘</w:t>
                  </w:r>
                </w:p>
              </w:tc>
              <w:tc>
                <w:tcPr>
                  <w:tcW w:w="2575" w:type="pct"/>
                  <w:tcBorders>
                    <w:top w:val="single" w:color="auto" w:sz="4" w:space="0"/>
                    <w:left w:val="single" w:color="auto" w:sz="4" w:space="0"/>
                    <w:bottom w:val="single" w:color="auto" w:sz="4" w:space="0"/>
                    <w:right w:val="single" w:color="auto" w:sz="4" w:space="0"/>
                  </w:tcBorders>
                  <w:vAlign w:val="center"/>
                </w:tcPr>
                <w:p w14:paraId="17351769">
                  <w:pPr>
                    <w:adjustRightInd w:val="0"/>
                    <w:snapToGrid w:val="0"/>
                    <w:spacing w:line="240" w:lineRule="auto"/>
                    <w:ind w:firstLine="0" w:firstLineChars="0"/>
                    <w:jc w:val="center"/>
                    <w:rPr>
                      <w:kern w:val="0"/>
                      <w:sz w:val="21"/>
                      <w:szCs w:val="21"/>
                    </w:rPr>
                  </w:pPr>
                  <w:r>
                    <w:rPr>
                      <w:kern w:val="0"/>
                      <w:sz w:val="21"/>
                      <w:szCs w:val="21"/>
                    </w:rPr>
                    <w:t>洒水降尘，运输车辆加盖篷布</w:t>
                  </w:r>
                  <w:r>
                    <w:rPr>
                      <w:rFonts w:hint="eastAsia"/>
                      <w:kern w:val="0"/>
                      <w:sz w:val="21"/>
                      <w:szCs w:val="21"/>
                    </w:rPr>
                    <w:t>，建材临时覆盖</w:t>
                  </w:r>
                </w:p>
              </w:tc>
              <w:tc>
                <w:tcPr>
                  <w:tcW w:w="667" w:type="pct"/>
                  <w:tcBorders>
                    <w:top w:val="single" w:color="auto" w:sz="4" w:space="0"/>
                    <w:left w:val="single" w:color="auto" w:sz="4" w:space="0"/>
                    <w:bottom w:val="single" w:color="auto" w:sz="4" w:space="0"/>
                    <w:right w:val="single" w:color="auto" w:sz="4" w:space="0"/>
                  </w:tcBorders>
                  <w:vAlign w:val="center"/>
                </w:tcPr>
                <w:p w14:paraId="64BE47C5">
                  <w:pPr>
                    <w:adjustRightInd w:val="0"/>
                    <w:snapToGrid w:val="0"/>
                    <w:spacing w:line="240" w:lineRule="auto"/>
                    <w:ind w:firstLine="0" w:firstLineChars="0"/>
                    <w:jc w:val="center"/>
                    <w:rPr>
                      <w:kern w:val="0"/>
                      <w:sz w:val="21"/>
                      <w:szCs w:val="21"/>
                    </w:rPr>
                  </w:pPr>
                  <w:r>
                    <w:rPr>
                      <w:rFonts w:hint="eastAsia"/>
                      <w:kern w:val="0"/>
                      <w:sz w:val="21"/>
                      <w:szCs w:val="21"/>
                    </w:rPr>
                    <w:t>1.5</w:t>
                  </w:r>
                </w:p>
              </w:tc>
            </w:tr>
            <w:tr w14:paraId="42AEB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51" w:type="pct"/>
                  <w:tcBorders>
                    <w:top w:val="single" w:color="auto" w:sz="4" w:space="0"/>
                    <w:left w:val="single" w:color="auto" w:sz="4" w:space="0"/>
                    <w:bottom w:val="single" w:color="auto" w:sz="4" w:space="0"/>
                    <w:right w:val="single" w:color="auto" w:sz="4" w:space="0"/>
                  </w:tcBorders>
                  <w:vAlign w:val="center"/>
                </w:tcPr>
                <w:p w14:paraId="499F16F7">
                  <w:pPr>
                    <w:adjustRightInd w:val="0"/>
                    <w:snapToGrid w:val="0"/>
                    <w:spacing w:line="240" w:lineRule="auto"/>
                    <w:ind w:firstLine="0" w:firstLineChars="0"/>
                    <w:jc w:val="center"/>
                    <w:rPr>
                      <w:kern w:val="0"/>
                      <w:sz w:val="21"/>
                      <w:szCs w:val="21"/>
                    </w:rPr>
                  </w:pPr>
                  <w:r>
                    <w:rPr>
                      <w:rFonts w:hint="eastAsia"/>
                      <w:kern w:val="0"/>
                      <w:sz w:val="21"/>
                      <w:szCs w:val="21"/>
                    </w:rPr>
                    <w:t>2</w:t>
                  </w:r>
                </w:p>
              </w:tc>
              <w:tc>
                <w:tcPr>
                  <w:tcW w:w="1305" w:type="pct"/>
                  <w:tcBorders>
                    <w:top w:val="single" w:color="auto" w:sz="4" w:space="0"/>
                    <w:left w:val="single" w:color="auto" w:sz="4" w:space="0"/>
                    <w:bottom w:val="single" w:color="auto" w:sz="4" w:space="0"/>
                    <w:right w:val="single" w:color="auto" w:sz="4" w:space="0"/>
                  </w:tcBorders>
                  <w:vAlign w:val="center"/>
                </w:tcPr>
                <w:p w14:paraId="31130107">
                  <w:pPr>
                    <w:adjustRightInd w:val="0"/>
                    <w:snapToGrid w:val="0"/>
                    <w:spacing w:line="240" w:lineRule="auto"/>
                    <w:ind w:firstLine="0" w:firstLineChars="0"/>
                    <w:jc w:val="center"/>
                    <w:rPr>
                      <w:kern w:val="0"/>
                      <w:sz w:val="21"/>
                      <w:szCs w:val="21"/>
                    </w:rPr>
                  </w:pPr>
                  <w:r>
                    <w:rPr>
                      <w:kern w:val="0"/>
                      <w:sz w:val="21"/>
                      <w:szCs w:val="21"/>
                    </w:rPr>
                    <w:t>施工废水</w:t>
                  </w:r>
                </w:p>
              </w:tc>
              <w:tc>
                <w:tcPr>
                  <w:tcW w:w="2575" w:type="pct"/>
                  <w:tcBorders>
                    <w:top w:val="single" w:color="auto" w:sz="4" w:space="0"/>
                    <w:left w:val="single" w:color="auto" w:sz="4" w:space="0"/>
                    <w:bottom w:val="single" w:color="auto" w:sz="4" w:space="0"/>
                    <w:right w:val="single" w:color="auto" w:sz="4" w:space="0"/>
                  </w:tcBorders>
                  <w:vAlign w:val="center"/>
                </w:tcPr>
                <w:p w14:paraId="38D9047B">
                  <w:pPr>
                    <w:adjustRightInd w:val="0"/>
                    <w:snapToGrid w:val="0"/>
                    <w:spacing w:line="240" w:lineRule="auto"/>
                    <w:ind w:firstLine="0" w:firstLineChars="0"/>
                    <w:jc w:val="center"/>
                    <w:rPr>
                      <w:kern w:val="0"/>
                      <w:sz w:val="21"/>
                      <w:szCs w:val="21"/>
                    </w:rPr>
                  </w:pPr>
                  <w:r>
                    <w:rPr>
                      <w:kern w:val="0"/>
                      <w:sz w:val="21"/>
                      <w:szCs w:val="21"/>
                    </w:rPr>
                    <w:t>1个</w:t>
                  </w:r>
                  <w:r>
                    <w:rPr>
                      <w:rFonts w:hint="eastAsia"/>
                      <w:kern w:val="0"/>
                      <w:sz w:val="21"/>
                      <w:szCs w:val="21"/>
                    </w:rPr>
                    <w:t>容积为2m</w:t>
                  </w:r>
                  <w:r>
                    <w:rPr>
                      <w:rFonts w:hint="eastAsia"/>
                      <w:kern w:val="0"/>
                      <w:sz w:val="21"/>
                      <w:szCs w:val="21"/>
                      <w:vertAlign w:val="superscript"/>
                    </w:rPr>
                    <w:t>3</w:t>
                  </w:r>
                  <w:r>
                    <w:rPr>
                      <w:kern w:val="0"/>
                      <w:sz w:val="21"/>
                      <w:szCs w:val="21"/>
                    </w:rPr>
                    <w:t>临时沉淀池</w:t>
                  </w:r>
                </w:p>
              </w:tc>
              <w:tc>
                <w:tcPr>
                  <w:tcW w:w="667" w:type="pct"/>
                  <w:tcBorders>
                    <w:top w:val="single" w:color="auto" w:sz="4" w:space="0"/>
                    <w:left w:val="single" w:color="auto" w:sz="4" w:space="0"/>
                    <w:bottom w:val="single" w:color="auto" w:sz="4" w:space="0"/>
                    <w:right w:val="single" w:color="auto" w:sz="4" w:space="0"/>
                  </w:tcBorders>
                  <w:vAlign w:val="center"/>
                </w:tcPr>
                <w:p w14:paraId="32F1E6D0">
                  <w:pPr>
                    <w:adjustRightInd w:val="0"/>
                    <w:snapToGrid w:val="0"/>
                    <w:spacing w:line="240" w:lineRule="auto"/>
                    <w:ind w:firstLine="0" w:firstLineChars="0"/>
                    <w:jc w:val="center"/>
                    <w:rPr>
                      <w:kern w:val="0"/>
                      <w:sz w:val="21"/>
                      <w:szCs w:val="21"/>
                    </w:rPr>
                  </w:pPr>
                  <w:r>
                    <w:rPr>
                      <w:rFonts w:hint="eastAsia"/>
                      <w:kern w:val="0"/>
                      <w:sz w:val="21"/>
                      <w:szCs w:val="21"/>
                    </w:rPr>
                    <w:t>1.5</w:t>
                  </w:r>
                </w:p>
              </w:tc>
            </w:tr>
            <w:tr w14:paraId="59EEF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exact"/>
              </w:trPr>
              <w:tc>
                <w:tcPr>
                  <w:tcW w:w="451" w:type="pct"/>
                  <w:tcBorders>
                    <w:top w:val="single" w:color="auto" w:sz="4" w:space="0"/>
                    <w:left w:val="single" w:color="auto" w:sz="4" w:space="0"/>
                    <w:bottom w:val="single" w:color="auto" w:sz="4" w:space="0"/>
                    <w:right w:val="single" w:color="auto" w:sz="4" w:space="0"/>
                  </w:tcBorders>
                  <w:vAlign w:val="center"/>
                </w:tcPr>
                <w:p w14:paraId="3F000E28">
                  <w:pPr>
                    <w:adjustRightInd w:val="0"/>
                    <w:snapToGrid w:val="0"/>
                    <w:spacing w:line="240" w:lineRule="auto"/>
                    <w:ind w:firstLine="0" w:firstLineChars="0"/>
                    <w:jc w:val="center"/>
                    <w:rPr>
                      <w:kern w:val="0"/>
                      <w:sz w:val="21"/>
                      <w:szCs w:val="21"/>
                    </w:rPr>
                  </w:pPr>
                  <w:r>
                    <w:rPr>
                      <w:rFonts w:hint="eastAsia"/>
                      <w:kern w:val="0"/>
                      <w:sz w:val="21"/>
                      <w:szCs w:val="21"/>
                    </w:rPr>
                    <w:t>3</w:t>
                  </w:r>
                </w:p>
              </w:tc>
              <w:tc>
                <w:tcPr>
                  <w:tcW w:w="1305" w:type="pct"/>
                  <w:tcBorders>
                    <w:top w:val="single" w:color="auto" w:sz="4" w:space="0"/>
                    <w:left w:val="single" w:color="auto" w:sz="4" w:space="0"/>
                    <w:bottom w:val="single" w:color="auto" w:sz="4" w:space="0"/>
                    <w:right w:val="single" w:color="auto" w:sz="4" w:space="0"/>
                  </w:tcBorders>
                  <w:vAlign w:val="center"/>
                </w:tcPr>
                <w:p w14:paraId="54AD8644">
                  <w:pPr>
                    <w:adjustRightInd w:val="0"/>
                    <w:snapToGrid w:val="0"/>
                    <w:spacing w:line="240" w:lineRule="auto"/>
                    <w:ind w:firstLine="0" w:firstLineChars="0"/>
                    <w:jc w:val="center"/>
                    <w:rPr>
                      <w:kern w:val="0"/>
                      <w:sz w:val="21"/>
                      <w:szCs w:val="21"/>
                    </w:rPr>
                  </w:pPr>
                  <w:r>
                    <w:rPr>
                      <w:kern w:val="0"/>
                      <w:sz w:val="21"/>
                      <w:szCs w:val="21"/>
                    </w:rPr>
                    <w:t>施工噪声</w:t>
                  </w:r>
                </w:p>
              </w:tc>
              <w:tc>
                <w:tcPr>
                  <w:tcW w:w="2575" w:type="pct"/>
                  <w:tcBorders>
                    <w:top w:val="single" w:color="auto" w:sz="4" w:space="0"/>
                    <w:left w:val="single" w:color="auto" w:sz="4" w:space="0"/>
                    <w:bottom w:val="single" w:color="auto" w:sz="4" w:space="0"/>
                    <w:right w:val="single" w:color="auto" w:sz="4" w:space="0"/>
                  </w:tcBorders>
                  <w:vAlign w:val="center"/>
                </w:tcPr>
                <w:p w14:paraId="39BBB04A">
                  <w:pPr>
                    <w:adjustRightInd w:val="0"/>
                    <w:snapToGrid w:val="0"/>
                    <w:spacing w:line="240" w:lineRule="auto"/>
                    <w:ind w:firstLine="0" w:firstLineChars="0"/>
                    <w:jc w:val="center"/>
                    <w:rPr>
                      <w:kern w:val="0"/>
                      <w:sz w:val="21"/>
                      <w:szCs w:val="21"/>
                    </w:rPr>
                  </w:pPr>
                  <w:r>
                    <w:rPr>
                      <w:kern w:val="0"/>
                      <w:sz w:val="21"/>
                      <w:szCs w:val="21"/>
                    </w:rPr>
                    <w:t>选用低噪设备、</w:t>
                  </w:r>
                  <w:r>
                    <w:rPr>
                      <w:rFonts w:hint="eastAsia"/>
                      <w:kern w:val="0"/>
                      <w:sz w:val="21"/>
                      <w:szCs w:val="21"/>
                    </w:rPr>
                    <w:t>合理安排施工时间</w:t>
                  </w:r>
                  <w:r>
                    <w:rPr>
                      <w:kern w:val="0"/>
                      <w:sz w:val="21"/>
                      <w:szCs w:val="21"/>
                    </w:rPr>
                    <w:t>等措施</w:t>
                  </w:r>
                </w:p>
              </w:tc>
              <w:tc>
                <w:tcPr>
                  <w:tcW w:w="667" w:type="pct"/>
                  <w:tcBorders>
                    <w:top w:val="single" w:color="auto" w:sz="4" w:space="0"/>
                    <w:left w:val="single" w:color="auto" w:sz="4" w:space="0"/>
                    <w:bottom w:val="single" w:color="auto" w:sz="4" w:space="0"/>
                    <w:right w:val="single" w:color="auto" w:sz="4" w:space="0"/>
                  </w:tcBorders>
                  <w:vAlign w:val="center"/>
                </w:tcPr>
                <w:p w14:paraId="2DD7BA18">
                  <w:pPr>
                    <w:adjustRightInd w:val="0"/>
                    <w:snapToGrid w:val="0"/>
                    <w:spacing w:line="240" w:lineRule="auto"/>
                    <w:ind w:firstLine="0" w:firstLineChars="0"/>
                    <w:jc w:val="center"/>
                    <w:rPr>
                      <w:kern w:val="0"/>
                      <w:sz w:val="21"/>
                      <w:szCs w:val="21"/>
                    </w:rPr>
                  </w:pPr>
                  <w:r>
                    <w:rPr>
                      <w:rFonts w:hint="eastAsia"/>
                      <w:kern w:val="0"/>
                      <w:sz w:val="21"/>
                      <w:szCs w:val="21"/>
                    </w:rPr>
                    <w:t>1</w:t>
                  </w:r>
                  <w:r>
                    <w:rPr>
                      <w:kern w:val="0"/>
                      <w:sz w:val="21"/>
                      <w:szCs w:val="21"/>
                    </w:rPr>
                    <w:t>.</w:t>
                  </w:r>
                  <w:r>
                    <w:rPr>
                      <w:rFonts w:hint="eastAsia"/>
                      <w:kern w:val="0"/>
                      <w:sz w:val="21"/>
                      <w:szCs w:val="21"/>
                    </w:rPr>
                    <w:t>0</w:t>
                  </w:r>
                </w:p>
              </w:tc>
            </w:tr>
            <w:tr w14:paraId="6CE7C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51" w:type="pct"/>
                  <w:tcBorders>
                    <w:top w:val="single" w:color="auto" w:sz="4" w:space="0"/>
                    <w:left w:val="single" w:color="auto" w:sz="4" w:space="0"/>
                    <w:bottom w:val="single" w:color="auto" w:sz="4" w:space="0"/>
                    <w:right w:val="single" w:color="auto" w:sz="4" w:space="0"/>
                  </w:tcBorders>
                  <w:vAlign w:val="center"/>
                </w:tcPr>
                <w:p w14:paraId="537D293C">
                  <w:pPr>
                    <w:adjustRightInd w:val="0"/>
                    <w:snapToGrid w:val="0"/>
                    <w:spacing w:line="240" w:lineRule="auto"/>
                    <w:ind w:firstLine="0" w:firstLineChars="0"/>
                    <w:jc w:val="center"/>
                    <w:rPr>
                      <w:kern w:val="0"/>
                      <w:sz w:val="21"/>
                      <w:szCs w:val="21"/>
                    </w:rPr>
                  </w:pPr>
                  <w:r>
                    <w:rPr>
                      <w:rFonts w:hint="eastAsia"/>
                      <w:kern w:val="0"/>
                      <w:sz w:val="21"/>
                      <w:szCs w:val="21"/>
                    </w:rPr>
                    <w:t>4</w:t>
                  </w:r>
                </w:p>
              </w:tc>
              <w:tc>
                <w:tcPr>
                  <w:tcW w:w="1305" w:type="pct"/>
                  <w:tcBorders>
                    <w:top w:val="single" w:color="auto" w:sz="4" w:space="0"/>
                    <w:left w:val="single" w:color="auto" w:sz="4" w:space="0"/>
                    <w:bottom w:val="single" w:color="auto" w:sz="4" w:space="0"/>
                    <w:right w:val="single" w:color="auto" w:sz="4" w:space="0"/>
                  </w:tcBorders>
                  <w:vAlign w:val="center"/>
                </w:tcPr>
                <w:p w14:paraId="22158E54">
                  <w:pPr>
                    <w:adjustRightInd w:val="0"/>
                    <w:snapToGrid w:val="0"/>
                    <w:spacing w:line="240" w:lineRule="auto"/>
                    <w:ind w:firstLine="0" w:firstLineChars="0"/>
                    <w:jc w:val="center"/>
                    <w:rPr>
                      <w:kern w:val="0"/>
                      <w:sz w:val="21"/>
                      <w:szCs w:val="21"/>
                    </w:rPr>
                  </w:pPr>
                  <w:r>
                    <w:rPr>
                      <w:kern w:val="0"/>
                      <w:sz w:val="21"/>
                      <w:szCs w:val="21"/>
                    </w:rPr>
                    <w:t>施工固废</w:t>
                  </w:r>
                </w:p>
              </w:tc>
              <w:tc>
                <w:tcPr>
                  <w:tcW w:w="2575" w:type="pct"/>
                  <w:tcBorders>
                    <w:top w:val="single" w:color="auto" w:sz="4" w:space="0"/>
                    <w:left w:val="single" w:color="auto" w:sz="4" w:space="0"/>
                    <w:bottom w:val="single" w:color="auto" w:sz="4" w:space="0"/>
                    <w:right w:val="single" w:color="auto" w:sz="4" w:space="0"/>
                  </w:tcBorders>
                  <w:vAlign w:val="center"/>
                </w:tcPr>
                <w:p w14:paraId="403C4921">
                  <w:pPr>
                    <w:adjustRightInd w:val="0"/>
                    <w:snapToGrid w:val="0"/>
                    <w:spacing w:line="240" w:lineRule="auto"/>
                    <w:ind w:firstLine="0" w:firstLineChars="0"/>
                    <w:jc w:val="center"/>
                    <w:rPr>
                      <w:kern w:val="0"/>
                      <w:sz w:val="21"/>
                      <w:szCs w:val="21"/>
                    </w:rPr>
                  </w:pPr>
                  <w:r>
                    <w:rPr>
                      <w:rFonts w:hint="eastAsia"/>
                      <w:kern w:val="0"/>
                      <w:sz w:val="21"/>
                      <w:szCs w:val="21"/>
                    </w:rPr>
                    <w:t>建筑垃圾清运、</w:t>
                  </w:r>
                  <w:r>
                    <w:rPr>
                      <w:kern w:val="0"/>
                      <w:sz w:val="21"/>
                      <w:szCs w:val="21"/>
                    </w:rPr>
                    <w:t>垃圾桶</w:t>
                  </w:r>
                </w:p>
              </w:tc>
              <w:tc>
                <w:tcPr>
                  <w:tcW w:w="667" w:type="pct"/>
                  <w:tcBorders>
                    <w:top w:val="single" w:color="auto" w:sz="4" w:space="0"/>
                    <w:left w:val="single" w:color="auto" w:sz="4" w:space="0"/>
                    <w:bottom w:val="single" w:color="auto" w:sz="4" w:space="0"/>
                    <w:right w:val="single" w:color="auto" w:sz="4" w:space="0"/>
                  </w:tcBorders>
                  <w:vAlign w:val="center"/>
                </w:tcPr>
                <w:p w14:paraId="3CBC5999">
                  <w:pPr>
                    <w:adjustRightInd w:val="0"/>
                    <w:snapToGrid w:val="0"/>
                    <w:spacing w:line="240" w:lineRule="auto"/>
                    <w:ind w:firstLine="0" w:firstLineChars="0"/>
                    <w:jc w:val="center"/>
                    <w:rPr>
                      <w:kern w:val="0"/>
                      <w:sz w:val="21"/>
                      <w:szCs w:val="21"/>
                    </w:rPr>
                  </w:pPr>
                  <w:r>
                    <w:rPr>
                      <w:rFonts w:hint="eastAsia"/>
                      <w:kern w:val="0"/>
                      <w:sz w:val="21"/>
                      <w:szCs w:val="21"/>
                    </w:rPr>
                    <w:t>1.5</w:t>
                  </w:r>
                </w:p>
              </w:tc>
            </w:tr>
            <w:tr w14:paraId="4A6F9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5000" w:type="pct"/>
                  <w:gridSpan w:val="4"/>
                  <w:tcBorders>
                    <w:top w:val="single" w:color="auto" w:sz="4" w:space="0"/>
                    <w:left w:val="single" w:color="auto" w:sz="4" w:space="0"/>
                    <w:bottom w:val="single" w:color="auto" w:sz="4" w:space="0"/>
                    <w:right w:val="single" w:color="auto" w:sz="4" w:space="0"/>
                  </w:tcBorders>
                  <w:vAlign w:val="center"/>
                </w:tcPr>
                <w:p w14:paraId="0254BBED">
                  <w:pPr>
                    <w:adjustRightInd w:val="0"/>
                    <w:snapToGrid w:val="0"/>
                    <w:spacing w:line="240" w:lineRule="auto"/>
                    <w:ind w:firstLine="0" w:firstLineChars="0"/>
                    <w:rPr>
                      <w:kern w:val="0"/>
                      <w:sz w:val="21"/>
                      <w:szCs w:val="21"/>
                    </w:rPr>
                  </w:pPr>
                  <w:r>
                    <w:rPr>
                      <w:rFonts w:hint="eastAsia"/>
                      <w:kern w:val="0"/>
                      <w:sz w:val="21"/>
                      <w:szCs w:val="21"/>
                    </w:rPr>
                    <w:t>二、运营</w:t>
                  </w:r>
                  <w:r>
                    <w:rPr>
                      <w:kern w:val="0"/>
                      <w:sz w:val="21"/>
                      <w:szCs w:val="21"/>
                    </w:rPr>
                    <w:t>期</w:t>
                  </w:r>
                </w:p>
              </w:tc>
            </w:tr>
            <w:tr w14:paraId="03B3A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451" w:type="pct"/>
                  <w:tcBorders>
                    <w:top w:val="single" w:color="auto" w:sz="4" w:space="0"/>
                    <w:left w:val="single" w:color="auto" w:sz="4" w:space="0"/>
                    <w:right w:val="single" w:color="auto" w:sz="4" w:space="0"/>
                  </w:tcBorders>
                  <w:vAlign w:val="center"/>
                </w:tcPr>
                <w:p w14:paraId="61533398">
                  <w:pPr>
                    <w:adjustRightInd w:val="0"/>
                    <w:snapToGrid w:val="0"/>
                    <w:spacing w:line="240" w:lineRule="auto"/>
                    <w:ind w:firstLine="0" w:firstLineChars="0"/>
                    <w:jc w:val="center"/>
                    <w:rPr>
                      <w:kern w:val="0"/>
                      <w:sz w:val="21"/>
                      <w:szCs w:val="21"/>
                    </w:rPr>
                  </w:pPr>
                  <w:r>
                    <w:rPr>
                      <w:rFonts w:hint="eastAsia"/>
                      <w:kern w:val="0"/>
                      <w:sz w:val="21"/>
                      <w:szCs w:val="21"/>
                    </w:rPr>
                    <w:t>1</w:t>
                  </w:r>
                </w:p>
              </w:tc>
              <w:tc>
                <w:tcPr>
                  <w:tcW w:w="1305" w:type="pct"/>
                  <w:tcBorders>
                    <w:top w:val="single" w:color="auto" w:sz="4" w:space="0"/>
                    <w:left w:val="single" w:color="auto" w:sz="4" w:space="0"/>
                    <w:right w:val="single" w:color="auto" w:sz="4" w:space="0"/>
                  </w:tcBorders>
                  <w:shd w:val="clear" w:color="auto" w:fill="auto"/>
                  <w:vAlign w:val="center"/>
                </w:tcPr>
                <w:p w14:paraId="26F29660">
                  <w:pPr>
                    <w:adjustRightInd w:val="0"/>
                    <w:snapToGrid w:val="0"/>
                    <w:spacing w:line="240" w:lineRule="auto"/>
                    <w:ind w:firstLine="0" w:firstLineChars="0"/>
                    <w:jc w:val="center"/>
                    <w:rPr>
                      <w:kern w:val="0"/>
                      <w:sz w:val="21"/>
                      <w:szCs w:val="21"/>
                    </w:rPr>
                  </w:pPr>
                  <w:r>
                    <w:rPr>
                      <w:rFonts w:hint="eastAsia"/>
                      <w:kern w:val="0"/>
                      <w:sz w:val="21"/>
                      <w:szCs w:val="21"/>
                    </w:rPr>
                    <w:t>沥青混凝土生产冷料烘干、提升、筛分粉尘、烘干滚筒燃烧器烟尘</w:t>
                  </w:r>
                </w:p>
              </w:tc>
              <w:tc>
                <w:tcPr>
                  <w:tcW w:w="2575" w:type="pct"/>
                  <w:tcBorders>
                    <w:top w:val="single" w:color="auto" w:sz="4" w:space="0"/>
                    <w:left w:val="single" w:color="auto" w:sz="4" w:space="0"/>
                    <w:right w:val="single" w:color="auto" w:sz="4" w:space="0"/>
                  </w:tcBorders>
                  <w:shd w:val="clear" w:color="auto" w:fill="auto"/>
                  <w:vAlign w:val="center"/>
                </w:tcPr>
                <w:p w14:paraId="61303294">
                  <w:pPr>
                    <w:adjustRightInd w:val="0"/>
                    <w:snapToGrid w:val="0"/>
                    <w:spacing w:line="240" w:lineRule="auto"/>
                    <w:ind w:firstLine="0" w:firstLineChars="0"/>
                    <w:jc w:val="center"/>
                    <w:rPr>
                      <w:kern w:val="0"/>
                      <w:sz w:val="21"/>
                      <w:szCs w:val="21"/>
                    </w:rPr>
                  </w:pPr>
                  <w:r>
                    <w:rPr>
                      <w:rFonts w:hint="eastAsia"/>
                      <w:kern w:val="0"/>
                      <w:sz w:val="21"/>
                      <w:szCs w:val="21"/>
                    </w:rPr>
                    <w:t>管道封闭收集</w:t>
                  </w:r>
                  <w:r>
                    <w:rPr>
                      <w:kern w:val="0"/>
                      <w:sz w:val="21"/>
                      <w:szCs w:val="21"/>
                    </w:rPr>
                    <w:t>经</w:t>
                  </w:r>
                  <w:r>
                    <w:rPr>
                      <w:rFonts w:hint="eastAsia"/>
                      <w:kern w:val="0"/>
                      <w:sz w:val="21"/>
                      <w:szCs w:val="21"/>
                    </w:rPr>
                    <w:t>1套</w:t>
                  </w:r>
                  <w:r>
                    <w:rPr>
                      <w:kern w:val="0"/>
                      <w:sz w:val="21"/>
                      <w:szCs w:val="21"/>
                    </w:rPr>
                    <w:t>布袋除尘器处理后，通过</w:t>
                  </w:r>
                  <w:r>
                    <w:rPr>
                      <w:rFonts w:hint="eastAsia"/>
                      <w:kern w:val="0"/>
                      <w:sz w:val="21"/>
                      <w:szCs w:val="21"/>
                    </w:rPr>
                    <w:t>1根15</w:t>
                  </w:r>
                  <w:r>
                    <w:rPr>
                      <w:kern w:val="0"/>
                      <w:sz w:val="21"/>
                      <w:szCs w:val="21"/>
                    </w:rPr>
                    <w:t>m高</w:t>
                  </w:r>
                  <w:r>
                    <w:rPr>
                      <w:rFonts w:hint="eastAsia"/>
                      <w:kern w:val="0"/>
                      <w:sz w:val="21"/>
                      <w:szCs w:val="21"/>
                    </w:rPr>
                    <w:t>，</w:t>
                  </w:r>
                  <w:r>
                    <w:rPr>
                      <w:kern w:val="0"/>
                      <w:sz w:val="21"/>
                      <w:szCs w:val="21"/>
                    </w:rPr>
                    <w:t>内径</w:t>
                  </w:r>
                  <w:r>
                    <w:rPr>
                      <w:rFonts w:hint="eastAsia"/>
                      <w:kern w:val="0"/>
                      <w:sz w:val="21"/>
                      <w:szCs w:val="21"/>
                    </w:rPr>
                    <w:t>1.4</w:t>
                  </w:r>
                  <w:r>
                    <w:rPr>
                      <w:kern w:val="0"/>
                      <w:sz w:val="21"/>
                      <w:szCs w:val="21"/>
                    </w:rPr>
                    <w:t>m排气筒排</w:t>
                  </w:r>
                  <w:r>
                    <w:rPr>
                      <w:rFonts w:hint="eastAsia"/>
                      <w:kern w:val="0"/>
                      <w:sz w:val="21"/>
                      <w:szCs w:val="21"/>
                    </w:rPr>
                    <w:t>放</w:t>
                  </w:r>
                  <w:r>
                    <w:rPr>
                      <w:kern w:val="0"/>
                      <w:sz w:val="21"/>
                      <w:szCs w:val="21"/>
                    </w:rPr>
                    <w:t>（DA001）</w:t>
                  </w:r>
                </w:p>
              </w:tc>
              <w:tc>
                <w:tcPr>
                  <w:tcW w:w="667" w:type="pct"/>
                  <w:tcBorders>
                    <w:top w:val="single" w:color="auto" w:sz="4" w:space="0"/>
                    <w:left w:val="single" w:color="auto" w:sz="4" w:space="0"/>
                    <w:right w:val="single" w:color="auto" w:sz="4" w:space="0"/>
                  </w:tcBorders>
                  <w:vAlign w:val="center"/>
                </w:tcPr>
                <w:p w14:paraId="194685EC">
                  <w:pPr>
                    <w:adjustRightInd w:val="0"/>
                    <w:snapToGrid w:val="0"/>
                    <w:spacing w:line="240" w:lineRule="auto"/>
                    <w:ind w:firstLine="0" w:firstLineChars="0"/>
                    <w:jc w:val="center"/>
                    <w:rPr>
                      <w:kern w:val="0"/>
                      <w:sz w:val="21"/>
                      <w:szCs w:val="21"/>
                    </w:rPr>
                  </w:pPr>
                  <w:r>
                    <w:rPr>
                      <w:rFonts w:hint="eastAsia"/>
                      <w:kern w:val="0"/>
                      <w:sz w:val="21"/>
                      <w:szCs w:val="21"/>
                    </w:rPr>
                    <w:t>25.0</w:t>
                  </w:r>
                </w:p>
              </w:tc>
            </w:tr>
            <w:tr w14:paraId="79F2F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451" w:type="pct"/>
                  <w:tcBorders>
                    <w:top w:val="single" w:color="auto" w:sz="4" w:space="0"/>
                    <w:left w:val="single" w:color="auto" w:sz="4" w:space="0"/>
                    <w:right w:val="single" w:color="auto" w:sz="4" w:space="0"/>
                  </w:tcBorders>
                  <w:vAlign w:val="center"/>
                </w:tcPr>
                <w:p w14:paraId="660EE205">
                  <w:pPr>
                    <w:adjustRightInd w:val="0"/>
                    <w:snapToGrid w:val="0"/>
                    <w:spacing w:line="240" w:lineRule="auto"/>
                    <w:ind w:firstLine="0" w:firstLineChars="0"/>
                    <w:jc w:val="center"/>
                    <w:rPr>
                      <w:kern w:val="0"/>
                      <w:sz w:val="21"/>
                      <w:szCs w:val="21"/>
                    </w:rPr>
                  </w:pPr>
                  <w:r>
                    <w:rPr>
                      <w:rFonts w:hint="eastAsia"/>
                      <w:kern w:val="0"/>
                      <w:sz w:val="21"/>
                      <w:szCs w:val="21"/>
                    </w:rPr>
                    <w:t>2</w:t>
                  </w:r>
                </w:p>
              </w:tc>
              <w:tc>
                <w:tcPr>
                  <w:tcW w:w="1305" w:type="pct"/>
                  <w:tcBorders>
                    <w:top w:val="single" w:color="auto" w:sz="4" w:space="0"/>
                    <w:left w:val="single" w:color="auto" w:sz="4" w:space="0"/>
                    <w:right w:val="single" w:color="auto" w:sz="4" w:space="0"/>
                  </w:tcBorders>
                  <w:shd w:val="clear" w:color="auto" w:fill="auto"/>
                  <w:vAlign w:val="center"/>
                </w:tcPr>
                <w:p w14:paraId="16C33FD3">
                  <w:pPr>
                    <w:adjustRightInd w:val="0"/>
                    <w:snapToGrid w:val="0"/>
                    <w:spacing w:line="240" w:lineRule="auto"/>
                    <w:ind w:firstLine="0" w:firstLineChars="0"/>
                    <w:jc w:val="center"/>
                    <w:rPr>
                      <w:kern w:val="0"/>
                      <w:sz w:val="21"/>
                      <w:szCs w:val="21"/>
                    </w:rPr>
                  </w:pPr>
                  <w:r>
                    <w:rPr>
                      <w:rFonts w:hint="eastAsia"/>
                      <w:kern w:val="0"/>
                      <w:sz w:val="21"/>
                      <w:szCs w:val="21"/>
                    </w:rPr>
                    <w:t>导热油炉燃烧废气</w:t>
                  </w:r>
                </w:p>
              </w:tc>
              <w:tc>
                <w:tcPr>
                  <w:tcW w:w="2575" w:type="pct"/>
                  <w:tcBorders>
                    <w:top w:val="single" w:color="auto" w:sz="4" w:space="0"/>
                    <w:left w:val="single" w:color="auto" w:sz="4" w:space="0"/>
                    <w:right w:val="single" w:color="auto" w:sz="4" w:space="0"/>
                  </w:tcBorders>
                  <w:shd w:val="clear" w:color="auto" w:fill="auto"/>
                  <w:vAlign w:val="center"/>
                </w:tcPr>
                <w:p w14:paraId="226B028D">
                  <w:pPr>
                    <w:adjustRightInd w:val="0"/>
                    <w:snapToGrid w:val="0"/>
                    <w:spacing w:line="240" w:lineRule="auto"/>
                    <w:ind w:firstLine="0" w:firstLineChars="0"/>
                    <w:jc w:val="center"/>
                    <w:rPr>
                      <w:kern w:val="0"/>
                      <w:sz w:val="21"/>
                      <w:szCs w:val="21"/>
                    </w:rPr>
                  </w:pPr>
                  <w:r>
                    <w:rPr>
                      <w:rFonts w:hint="eastAsia"/>
                      <w:kern w:val="0"/>
                      <w:sz w:val="21"/>
                      <w:szCs w:val="21"/>
                    </w:rPr>
                    <w:t>废气由1根15</w:t>
                  </w:r>
                  <w:r>
                    <w:rPr>
                      <w:kern w:val="0"/>
                      <w:sz w:val="21"/>
                      <w:szCs w:val="21"/>
                    </w:rPr>
                    <w:t>m高</w:t>
                  </w:r>
                  <w:r>
                    <w:rPr>
                      <w:rFonts w:hint="eastAsia"/>
                      <w:kern w:val="0"/>
                      <w:sz w:val="21"/>
                      <w:szCs w:val="21"/>
                    </w:rPr>
                    <w:t>，</w:t>
                  </w:r>
                  <w:r>
                    <w:rPr>
                      <w:kern w:val="0"/>
                      <w:sz w:val="21"/>
                      <w:szCs w:val="21"/>
                    </w:rPr>
                    <w:t>内径0.</w:t>
                  </w:r>
                  <w:r>
                    <w:rPr>
                      <w:rFonts w:hint="eastAsia"/>
                      <w:kern w:val="0"/>
                      <w:sz w:val="21"/>
                      <w:szCs w:val="21"/>
                    </w:rPr>
                    <w:t>2</w:t>
                  </w:r>
                  <w:r>
                    <w:rPr>
                      <w:kern w:val="0"/>
                      <w:sz w:val="21"/>
                      <w:szCs w:val="21"/>
                    </w:rPr>
                    <w:t>m排气筒排放（DA00</w:t>
                  </w:r>
                  <w:r>
                    <w:rPr>
                      <w:rFonts w:hint="eastAsia"/>
                      <w:kern w:val="0"/>
                      <w:sz w:val="21"/>
                      <w:szCs w:val="21"/>
                    </w:rPr>
                    <w:t>2</w:t>
                  </w:r>
                  <w:r>
                    <w:rPr>
                      <w:kern w:val="0"/>
                      <w:sz w:val="21"/>
                      <w:szCs w:val="21"/>
                    </w:rPr>
                    <w:t>）</w:t>
                  </w:r>
                </w:p>
              </w:tc>
              <w:tc>
                <w:tcPr>
                  <w:tcW w:w="667" w:type="pct"/>
                  <w:tcBorders>
                    <w:top w:val="single" w:color="auto" w:sz="4" w:space="0"/>
                    <w:left w:val="single" w:color="auto" w:sz="4" w:space="0"/>
                    <w:right w:val="single" w:color="auto" w:sz="4" w:space="0"/>
                  </w:tcBorders>
                  <w:vAlign w:val="center"/>
                </w:tcPr>
                <w:p w14:paraId="3C6ABE6D">
                  <w:pPr>
                    <w:adjustRightInd w:val="0"/>
                    <w:snapToGrid w:val="0"/>
                    <w:spacing w:line="240" w:lineRule="auto"/>
                    <w:ind w:firstLine="0" w:firstLineChars="0"/>
                    <w:jc w:val="center"/>
                    <w:rPr>
                      <w:kern w:val="0"/>
                      <w:sz w:val="21"/>
                      <w:szCs w:val="21"/>
                    </w:rPr>
                  </w:pPr>
                  <w:r>
                    <w:rPr>
                      <w:rFonts w:hint="eastAsia"/>
                      <w:kern w:val="0"/>
                      <w:sz w:val="21"/>
                      <w:szCs w:val="21"/>
                    </w:rPr>
                    <w:t>1.5</w:t>
                  </w:r>
                </w:p>
              </w:tc>
            </w:tr>
            <w:tr w14:paraId="70893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98" w:hRule="atLeast"/>
              </w:trPr>
              <w:tc>
                <w:tcPr>
                  <w:tcW w:w="451" w:type="pct"/>
                  <w:tcBorders>
                    <w:top w:val="single" w:color="auto" w:sz="4" w:space="0"/>
                    <w:left w:val="single" w:color="auto" w:sz="4" w:space="0"/>
                    <w:right w:val="single" w:color="auto" w:sz="4" w:space="0"/>
                  </w:tcBorders>
                  <w:vAlign w:val="center"/>
                </w:tcPr>
                <w:p w14:paraId="0CBEE562">
                  <w:pPr>
                    <w:adjustRightInd w:val="0"/>
                    <w:snapToGrid w:val="0"/>
                    <w:spacing w:line="240" w:lineRule="auto"/>
                    <w:ind w:firstLine="0" w:firstLineChars="0"/>
                    <w:jc w:val="center"/>
                    <w:rPr>
                      <w:kern w:val="0"/>
                      <w:sz w:val="21"/>
                      <w:szCs w:val="21"/>
                    </w:rPr>
                  </w:pPr>
                  <w:r>
                    <w:rPr>
                      <w:rFonts w:hint="eastAsia"/>
                      <w:kern w:val="0"/>
                      <w:sz w:val="21"/>
                      <w:szCs w:val="21"/>
                    </w:rPr>
                    <w:t>3</w:t>
                  </w:r>
                </w:p>
              </w:tc>
              <w:tc>
                <w:tcPr>
                  <w:tcW w:w="1305" w:type="pct"/>
                  <w:tcBorders>
                    <w:left w:val="single" w:color="auto" w:sz="4" w:space="0"/>
                    <w:right w:val="single" w:color="auto" w:sz="4" w:space="0"/>
                  </w:tcBorders>
                  <w:shd w:val="clear" w:color="auto" w:fill="auto"/>
                  <w:vAlign w:val="center"/>
                </w:tcPr>
                <w:p w14:paraId="0FF1B8A3">
                  <w:pPr>
                    <w:adjustRightInd w:val="0"/>
                    <w:snapToGrid w:val="0"/>
                    <w:spacing w:line="240" w:lineRule="auto"/>
                    <w:ind w:firstLine="0" w:firstLineChars="0"/>
                    <w:jc w:val="center"/>
                    <w:rPr>
                      <w:kern w:val="0"/>
                      <w:sz w:val="21"/>
                      <w:szCs w:val="21"/>
                    </w:rPr>
                  </w:pPr>
                  <w:r>
                    <w:rPr>
                      <w:rFonts w:hint="eastAsia"/>
                      <w:kern w:val="0"/>
                      <w:sz w:val="21"/>
                      <w:szCs w:val="21"/>
                    </w:rPr>
                    <w:t>沥青储罐呼吸废气、沥青混凝土出口废气</w:t>
                  </w:r>
                </w:p>
              </w:tc>
              <w:tc>
                <w:tcPr>
                  <w:tcW w:w="2575" w:type="pct"/>
                  <w:tcBorders>
                    <w:top w:val="single" w:color="auto" w:sz="4" w:space="0"/>
                    <w:left w:val="single" w:color="auto" w:sz="4" w:space="0"/>
                    <w:right w:val="single" w:color="auto" w:sz="4" w:space="0"/>
                  </w:tcBorders>
                  <w:shd w:val="clear" w:color="auto" w:fill="auto"/>
                  <w:vAlign w:val="center"/>
                </w:tcPr>
                <w:p w14:paraId="4B99E65E">
                  <w:pPr>
                    <w:adjustRightInd w:val="0"/>
                    <w:snapToGrid w:val="0"/>
                    <w:spacing w:line="240" w:lineRule="auto"/>
                    <w:ind w:firstLine="0" w:firstLineChars="0"/>
                    <w:jc w:val="center"/>
                    <w:rPr>
                      <w:kern w:val="0"/>
                      <w:sz w:val="21"/>
                      <w:szCs w:val="21"/>
                    </w:rPr>
                  </w:pPr>
                  <w:r>
                    <w:rPr>
                      <w:rFonts w:hint="eastAsia"/>
                      <w:kern w:val="0"/>
                      <w:sz w:val="21"/>
                      <w:szCs w:val="21"/>
                    </w:rPr>
                    <w:t>沥青储罐呼吸孔废气管道收集，卸料口加装集气罩收集后进入1套电捕焦油器+三级活性炭吸附装置处理后，通过1根15m高，内径0.6m排气筒排放（DA003）</w:t>
                  </w:r>
                </w:p>
              </w:tc>
              <w:tc>
                <w:tcPr>
                  <w:tcW w:w="667" w:type="pct"/>
                  <w:tcBorders>
                    <w:top w:val="single" w:color="auto" w:sz="4" w:space="0"/>
                    <w:left w:val="single" w:color="auto" w:sz="4" w:space="0"/>
                    <w:right w:val="single" w:color="auto" w:sz="4" w:space="0"/>
                  </w:tcBorders>
                  <w:vAlign w:val="center"/>
                </w:tcPr>
                <w:p w14:paraId="4F954237">
                  <w:pPr>
                    <w:adjustRightInd w:val="0"/>
                    <w:snapToGrid w:val="0"/>
                    <w:spacing w:line="240" w:lineRule="auto"/>
                    <w:ind w:firstLine="0" w:firstLineChars="0"/>
                    <w:jc w:val="center"/>
                    <w:rPr>
                      <w:kern w:val="0"/>
                      <w:sz w:val="21"/>
                      <w:szCs w:val="21"/>
                    </w:rPr>
                  </w:pPr>
                  <w:r>
                    <w:rPr>
                      <w:rFonts w:hint="eastAsia"/>
                      <w:kern w:val="0"/>
                      <w:sz w:val="21"/>
                      <w:szCs w:val="21"/>
                    </w:rPr>
                    <w:t>20.0</w:t>
                  </w:r>
                </w:p>
              </w:tc>
            </w:tr>
            <w:tr w14:paraId="6ACE7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51" w:type="pct"/>
                  <w:tcBorders>
                    <w:top w:val="single" w:color="auto" w:sz="4" w:space="0"/>
                    <w:left w:val="single" w:color="auto" w:sz="4" w:space="0"/>
                    <w:right w:val="single" w:color="auto" w:sz="4" w:space="0"/>
                  </w:tcBorders>
                  <w:vAlign w:val="center"/>
                </w:tcPr>
                <w:p w14:paraId="6CDDD3AA">
                  <w:pPr>
                    <w:adjustRightInd w:val="0"/>
                    <w:snapToGrid w:val="0"/>
                    <w:spacing w:line="240" w:lineRule="auto"/>
                    <w:ind w:firstLine="0" w:firstLineChars="0"/>
                    <w:jc w:val="center"/>
                    <w:rPr>
                      <w:kern w:val="0"/>
                      <w:sz w:val="21"/>
                      <w:szCs w:val="21"/>
                    </w:rPr>
                  </w:pPr>
                  <w:r>
                    <w:rPr>
                      <w:rFonts w:hint="eastAsia"/>
                      <w:kern w:val="0"/>
                      <w:sz w:val="21"/>
                      <w:szCs w:val="21"/>
                    </w:rPr>
                    <w:t>4</w:t>
                  </w:r>
                </w:p>
              </w:tc>
              <w:tc>
                <w:tcPr>
                  <w:tcW w:w="1305" w:type="pct"/>
                  <w:tcBorders>
                    <w:top w:val="single" w:color="auto" w:sz="4" w:space="0"/>
                    <w:left w:val="single" w:color="auto" w:sz="4" w:space="0"/>
                    <w:right w:val="single" w:color="auto" w:sz="4" w:space="0"/>
                  </w:tcBorders>
                  <w:shd w:val="clear" w:color="auto" w:fill="auto"/>
                  <w:vAlign w:val="center"/>
                </w:tcPr>
                <w:p w14:paraId="4F09BDAE">
                  <w:pPr>
                    <w:adjustRightInd w:val="0"/>
                    <w:snapToGrid w:val="0"/>
                    <w:spacing w:line="240" w:lineRule="auto"/>
                    <w:ind w:firstLine="0" w:firstLineChars="0"/>
                    <w:jc w:val="center"/>
                    <w:rPr>
                      <w:kern w:val="0"/>
                      <w:sz w:val="21"/>
                      <w:szCs w:val="21"/>
                    </w:rPr>
                  </w:pPr>
                  <w:r>
                    <w:rPr>
                      <w:rFonts w:hint="eastAsia"/>
                      <w:kern w:val="0"/>
                      <w:sz w:val="21"/>
                      <w:szCs w:val="21"/>
                    </w:rPr>
                    <w:t>矿粉筒仓粉尘</w:t>
                  </w:r>
                </w:p>
              </w:tc>
              <w:tc>
                <w:tcPr>
                  <w:tcW w:w="2575" w:type="pct"/>
                  <w:tcBorders>
                    <w:top w:val="single" w:color="auto" w:sz="4" w:space="0"/>
                    <w:left w:val="single" w:color="auto" w:sz="4" w:space="0"/>
                    <w:bottom w:val="single" w:color="auto" w:sz="4" w:space="0"/>
                    <w:right w:val="single" w:color="auto" w:sz="4" w:space="0"/>
                  </w:tcBorders>
                  <w:shd w:val="clear" w:color="auto" w:fill="auto"/>
                  <w:vAlign w:val="center"/>
                </w:tcPr>
                <w:p w14:paraId="3C299D4F">
                  <w:pPr>
                    <w:adjustRightInd w:val="0"/>
                    <w:snapToGrid w:val="0"/>
                    <w:spacing w:line="240" w:lineRule="auto"/>
                    <w:ind w:firstLine="0" w:firstLineChars="0"/>
                    <w:jc w:val="center"/>
                    <w:rPr>
                      <w:kern w:val="0"/>
                      <w:sz w:val="21"/>
                      <w:szCs w:val="21"/>
                    </w:rPr>
                  </w:pPr>
                  <w:r>
                    <w:rPr>
                      <w:rFonts w:hint="eastAsia"/>
                      <w:kern w:val="0"/>
                      <w:sz w:val="21"/>
                      <w:szCs w:val="21"/>
                    </w:rPr>
                    <w:t>筒仓自带布袋除尘器</w:t>
                  </w:r>
                </w:p>
              </w:tc>
              <w:tc>
                <w:tcPr>
                  <w:tcW w:w="667" w:type="pct"/>
                  <w:tcBorders>
                    <w:top w:val="single" w:color="auto" w:sz="4" w:space="0"/>
                    <w:left w:val="single" w:color="auto" w:sz="4" w:space="0"/>
                    <w:bottom w:val="single" w:color="auto" w:sz="4" w:space="0"/>
                    <w:right w:val="single" w:color="auto" w:sz="4" w:space="0"/>
                  </w:tcBorders>
                  <w:vAlign w:val="center"/>
                </w:tcPr>
                <w:p w14:paraId="589C0F63">
                  <w:pPr>
                    <w:adjustRightInd w:val="0"/>
                    <w:snapToGrid w:val="0"/>
                    <w:spacing w:line="240" w:lineRule="auto"/>
                    <w:ind w:firstLine="0" w:firstLineChars="0"/>
                    <w:jc w:val="center"/>
                    <w:rPr>
                      <w:kern w:val="0"/>
                      <w:sz w:val="21"/>
                      <w:szCs w:val="21"/>
                    </w:rPr>
                  </w:pPr>
                  <w:r>
                    <w:rPr>
                      <w:rFonts w:hint="eastAsia"/>
                      <w:kern w:val="0"/>
                      <w:sz w:val="21"/>
                      <w:szCs w:val="21"/>
                    </w:rPr>
                    <w:t>1.0</w:t>
                  </w:r>
                </w:p>
              </w:tc>
            </w:tr>
            <w:tr w14:paraId="142ED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451" w:type="pct"/>
                  <w:tcBorders>
                    <w:top w:val="single" w:color="auto" w:sz="4" w:space="0"/>
                    <w:left w:val="single" w:color="auto" w:sz="4" w:space="0"/>
                    <w:right w:val="single" w:color="auto" w:sz="4" w:space="0"/>
                  </w:tcBorders>
                  <w:vAlign w:val="center"/>
                </w:tcPr>
                <w:p w14:paraId="20401407">
                  <w:pPr>
                    <w:adjustRightInd w:val="0"/>
                    <w:snapToGrid w:val="0"/>
                    <w:spacing w:line="240" w:lineRule="auto"/>
                    <w:ind w:firstLine="0" w:firstLineChars="0"/>
                    <w:jc w:val="center"/>
                    <w:rPr>
                      <w:kern w:val="0"/>
                      <w:sz w:val="21"/>
                      <w:szCs w:val="21"/>
                    </w:rPr>
                  </w:pPr>
                  <w:r>
                    <w:rPr>
                      <w:rFonts w:hint="eastAsia"/>
                      <w:kern w:val="0"/>
                      <w:sz w:val="21"/>
                      <w:szCs w:val="21"/>
                    </w:rPr>
                    <w:t>5</w:t>
                  </w:r>
                </w:p>
              </w:tc>
              <w:tc>
                <w:tcPr>
                  <w:tcW w:w="1305" w:type="pct"/>
                  <w:tcBorders>
                    <w:top w:val="single" w:color="auto" w:sz="4" w:space="0"/>
                    <w:left w:val="single" w:color="auto" w:sz="4" w:space="0"/>
                    <w:right w:val="single" w:color="auto" w:sz="4" w:space="0"/>
                  </w:tcBorders>
                  <w:shd w:val="clear" w:color="auto" w:fill="auto"/>
                  <w:vAlign w:val="center"/>
                </w:tcPr>
                <w:p w14:paraId="4E7A8376">
                  <w:pPr>
                    <w:adjustRightInd w:val="0"/>
                    <w:snapToGrid w:val="0"/>
                    <w:spacing w:line="240" w:lineRule="auto"/>
                    <w:ind w:firstLine="0" w:firstLineChars="0"/>
                    <w:jc w:val="center"/>
                    <w:rPr>
                      <w:kern w:val="0"/>
                      <w:sz w:val="21"/>
                      <w:szCs w:val="21"/>
                    </w:rPr>
                  </w:pPr>
                  <w:r>
                    <w:rPr>
                      <w:rFonts w:hint="eastAsia"/>
                      <w:kern w:val="0"/>
                      <w:sz w:val="21"/>
                      <w:szCs w:val="21"/>
                    </w:rPr>
                    <w:t>原料仓库、上料粉尘</w:t>
                  </w:r>
                </w:p>
              </w:tc>
              <w:tc>
                <w:tcPr>
                  <w:tcW w:w="2575" w:type="pct"/>
                  <w:tcBorders>
                    <w:top w:val="single" w:color="auto" w:sz="4" w:space="0"/>
                    <w:left w:val="single" w:color="auto" w:sz="4" w:space="0"/>
                    <w:bottom w:val="single" w:color="auto" w:sz="4" w:space="0"/>
                    <w:right w:val="single" w:color="auto" w:sz="4" w:space="0"/>
                  </w:tcBorders>
                  <w:shd w:val="clear" w:color="auto" w:fill="auto"/>
                  <w:vAlign w:val="center"/>
                </w:tcPr>
                <w:p w14:paraId="2941CFC2">
                  <w:pPr>
                    <w:adjustRightInd w:val="0"/>
                    <w:snapToGrid w:val="0"/>
                    <w:spacing w:line="240" w:lineRule="auto"/>
                    <w:ind w:firstLine="0" w:firstLineChars="0"/>
                    <w:jc w:val="center"/>
                    <w:rPr>
                      <w:kern w:val="0"/>
                      <w:sz w:val="21"/>
                      <w:szCs w:val="21"/>
                    </w:rPr>
                  </w:pPr>
                  <w:r>
                    <w:rPr>
                      <w:rFonts w:hint="eastAsia"/>
                      <w:kern w:val="0"/>
                      <w:sz w:val="21"/>
                      <w:szCs w:val="21"/>
                    </w:rPr>
                    <w:t>原料仓库和砂石料上料区</w:t>
                  </w:r>
                  <w:r>
                    <w:rPr>
                      <w:kern w:val="0"/>
                      <w:sz w:val="21"/>
                      <w:szCs w:val="21"/>
                    </w:rPr>
                    <w:t>三面围挡</w:t>
                  </w:r>
                  <w:r>
                    <w:rPr>
                      <w:rFonts w:hint="eastAsia"/>
                      <w:kern w:val="0"/>
                      <w:sz w:val="21"/>
                      <w:szCs w:val="21"/>
                    </w:rPr>
                    <w:t>封闭，仅留一个出入口，</w:t>
                  </w:r>
                  <w:r>
                    <w:rPr>
                      <w:kern w:val="0"/>
                      <w:sz w:val="21"/>
                      <w:szCs w:val="21"/>
                    </w:rPr>
                    <w:t>设置顶棚</w:t>
                  </w:r>
                  <w:r>
                    <w:rPr>
                      <w:rFonts w:hint="eastAsia"/>
                      <w:kern w:val="0"/>
                      <w:sz w:val="21"/>
                      <w:szCs w:val="21"/>
                    </w:rPr>
                    <w:t>及</w:t>
                  </w:r>
                  <w:r>
                    <w:rPr>
                      <w:rFonts w:hint="eastAsia"/>
                      <w:sz w:val="21"/>
                      <w:szCs w:val="21"/>
                    </w:rPr>
                    <w:t>高压喷雾降尘系统</w:t>
                  </w:r>
                </w:p>
              </w:tc>
              <w:tc>
                <w:tcPr>
                  <w:tcW w:w="667" w:type="pct"/>
                  <w:tcBorders>
                    <w:top w:val="single" w:color="auto" w:sz="4" w:space="0"/>
                    <w:left w:val="single" w:color="auto" w:sz="4" w:space="0"/>
                    <w:bottom w:val="single" w:color="auto" w:sz="4" w:space="0"/>
                    <w:right w:val="single" w:color="auto" w:sz="4" w:space="0"/>
                  </w:tcBorders>
                  <w:shd w:val="clear" w:color="auto" w:fill="auto"/>
                  <w:vAlign w:val="center"/>
                </w:tcPr>
                <w:p w14:paraId="3466EBF2">
                  <w:pPr>
                    <w:adjustRightInd w:val="0"/>
                    <w:snapToGrid w:val="0"/>
                    <w:spacing w:line="240" w:lineRule="auto"/>
                    <w:ind w:firstLine="0" w:firstLineChars="0"/>
                    <w:jc w:val="center"/>
                    <w:rPr>
                      <w:kern w:val="0"/>
                      <w:sz w:val="21"/>
                      <w:szCs w:val="21"/>
                    </w:rPr>
                  </w:pPr>
                  <w:r>
                    <w:rPr>
                      <w:rFonts w:hint="eastAsia"/>
                      <w:kern w:val="0"/>
                      <w:sz w:val="21"/>
                      <w:szCs w:val="21"/>
                    </w:rPr>
                    <w:t>15.0</w:t>
                  </w:r>
                </w:p>
              </w:tc>
            </w:tr>
            <w:tr w14:paraId="25B79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51" w:type="pct"/>
                  <w:tcBorders>
                    <w:left w:val="single" w:color="auto" w:sz="4" w:space="0"/>
                    <w:right w:val="single" w:color="auto" w:sz="4" w:space="0"/>
                  </w:tcBorders>
                  <w:shd w:val="clear" w:color="auto" w:fill="auto"/>
                  <w:vAlign w:val="center"/>
                </w:tcPr>
                <w:p w14:paraId="7B18314A">
                  <w:pPr>
                    <w:adjustRightInd w:val="0"/>
                    <w:snapToGrid w:val="0"/>
                    <w:spacing w:line="240" w:lineRule="auto"/>
                    <w:ind w:firstLine="0" w:firstLineChars="0"/>
                    <w:jc w:val="center"/>
                    <w:rPr>
                      <w:kern w:val="0"/>
                      <w:sz w:val="21"/>
                      <w:szCs w:val="21"/>
                    </w:rPr>
                  </w:pPr>
                  <w:r>
                    <w:rPr>
                      <w:rFonts w:hint="eastAsia"/>
                      <w:kern w:val="0"/>
                      <w:sz w:val="21"/>
                      <w:szCs w:val="21"/>
                    </w:rPr>
                    <w:t>6</w:t>
                  </w:r>
                </w:p>
              </w:tc>
              <w:tc>
                <w:tcPr>
                  <w:tcW w:w="1305" w:type="pct"/>
                  <w:tcBorders>
                    <w:left w:val="single" w:color="auto" w:sz="4" w:space="0"/>
                    <w:right w:val="single" w:color="auto" w:sz="4" w:space="0"/>
                  </w:tcBorders>
                  <w:shd w:val="clear" w:color="auto" w:fill="auto"/>
                  <w:vAlign w:val="center"/>
                </w:tcPr>
                <w:p w14:paraId="7EC71796">
                  <w:pPr>
                    <w:adjustRightInd w:val="0"/>
                    <w:snapToGrid w:val="0"/>
                    <w:spacing w:line="240" w:lineRule="auto"/>
                    <w:ind w:firstLine="0" w:firstLineChars="0"/>
                    <w:jc w:val="center"/>
                    <w:rPr>
                      <w:kern w:val="0"/>
                      <w:sz w:val="21"/>
                      <w:szCs w:val="21"/>
                    </w:rPr>
                  </w:pPr>
                  <w:r>
                    <w:rPr>
                      <w:rFonts w:hint="eastAsia"/>
                      <w:kern w:val="0"/>
                      <w:sz w:val="21"/>
                      <w:szCs w:val="21"/>
                    </w:rPr>
                    <w:t>厂区道路粉尘</w:t>
                  </w:r>
                </w:p>
              </w:tc>
              <w:tc>
                <w:tcPr>
                  <w:tcW w:w="2575" w:type="pct"/>
                  <w:tcBorders>
                    <w:top w:val="single" w:color="auto" w:sz="4" w:space="0"/>
                    <w:left w:val="single" w:color="auto" w:sz="4" w:space="0"/>
                    <w:bottom w:val="single" w:color="auto" w:sz="4" w:space="0"/>
                    <w:right w:val="single" w:color="auto" w:sz="4" w:space="0"/>
                  </w:tcBorders>
                  <w:shd w:val="clear" w:color="auto" w:fill="auto"/>
                  <w:vAlign w:val="center"/>
                </w:tcPr>
                <w:p w14:paraId="49402E0D">
                  <w:pPr>
                    <w:adjustRightInd w:val="0"/>
                    <w:snapToGrid w:val="0"/>
                    <w:spacing w:line="240" w:lineRule="auto"/>
                    <w:ind w:firstLine="0" w:firstLineChars="0"/>
                    <w:jc w:val="center"/>
                    <w:rPr>
                      <w:kern w:val="0"/>
                      <w:sz w:val="21"/>
                      <w:szCs w:val="21"/>
                    </w:rPr>
                  </w:pPr>
                  <w:r>
                    <w:rPr>
                      <w:rFonts w:hint="eastAsia"/>
                      <w:kern w:val="0"/>
                      <w:sz w:val="21"/>
                      <w:szCs w:val="21"/>
                    </w:rPr>
                    <w:t>设置2台雾炮机喷雾洒水降尘</w:t>
                  </w:r>
                </w:p>
              </w:tc>
              <w:tc>
                <w:tcPr>
                  <w:tcW w:w="667" w:type="pct"/>
                  <w:tcBorders>
                    <w:top w:val="single" w:color="auto" w:sz="4" w:space="0"/>
                    <w:left w:val="single" w:color="auto" w:sz="4" w:space="0"/>
                    <w:bottom w:val="single" w:color="auto" w:sz="4" w:space="0"/>
                    <w:right w:val="single" w:color="auto" w:sz="4" w:space="0"/>
                  </w:tcBorders>
                  <w:shd w:val="clear" w:color="auto" w:fill="auto"/>
                  <w:vAlign w:val="center"/>
                </w:tcPr>
                <w:p w14:paraId="367ED7F9">
                  <w:pPr>
                    <w:adjustRightInd w:val="0"/>
                    <w:snapToGrid w:val="0"/>
                    <w:spacing w:line="240" w:lineRule="auto"/>
                    <w:ind w:firstLine="0" w:firstLineChars="0"/>
                    <w:jc w:val="center"/>
                    <w:rPr>
                      <w:kern w:val="0"/>
                      <w:sz w:val="21"/>
                      <w:szCs w:val="21"/>
                    </w:rPr>
                  </w:pPr>
                  <w:r>
                    <w:rPr>
                      <w:rFonts w:hint="eastAsia"/>
                      <w:kern w:val="0"/>
                      <w:sz w:val="21"/>
                      <w:szCs w:val="21"/>
                    </w:rPr>
                    <w:t>2.0</w:t>
                  </w:r>
                </w:p>
              </w:tc>
            </w:tr>
            <w:tr w14:paraId="78CAE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51" w:type="pct"/>
                  <w:tcBorders>
                    <w:left w:val="single" w:color="auto" w:sz="4" w:space="0"/>
                    <w:right w:val="single" w:color="auto" w:sz="4" w:space="0"/>
                  </w:tcBorders>
                  <w:shd w:val="clear" w:color="auto" w:fill="auto"/>
                  <w:vAlign w:val="center"/>
                </w:tcPr>
                <w:p w14:paraId="1C37F17B">
                  <w:pPr>
                    <w:adjustRightInd w:val="0"/>
                    <w:snapToGrid w:val="0"/>
                    <w:spacing w:line="240" w:lineRule="auto"/>
                    <w:ind w:firstLine="0" w:firstLineChars="0"/>
                    <w:jc w:val="center"/>
                    <w:rPr>
                      <w:kern w:val="0"/>
                      <w:sz w:val="21"/>
                      <w:szCs w:val="21"/>
                    </w:rPr>
                  </w:pPr>
                  <w:r>
                    <w:rPr>
                      <w:rFonts w:hint="eastAsia"/>
                      <w:kern w:val="0"/>
                      <w:sz w:val="21"/>
                      <w:szCs w:val="21"/>
                    </w:rPr>
                    <w:t>7</w:t>
                  </w:r>
                </w:p>
              </w:tc>
              <w:tc>
                <w:tcPr>
                  <w:tcW w:w="1305" w:type="pct"/>
                  <w:tcBorders>
                    <w:left w:val="single" w:color="auto" w:sz="4" w:space="0"/>
                    <w:right w:val="single" w:color="auto" w:sz="4" w:space="0"/>
                  </w:tcBorders>
                  <w:shd w:val="clear" w:color="auto" w:fill="auto"/>
                  <w:vAlign w:val="center"/>
                </w:tcPr>
                <w:p w14:paraId="67DC7469">
                  <w:pPr>
                    <w:adjustRightInd w:val="0"/>
                    <w:snapToGrid w:val="0"/>
                    <w:spacing w:line="240" w:lineRule="auto"/>
                    <w:ind w:firstLine="0" w:firstLineChars="0"/>
                    <w:jc w:val="center"/>
                    <w:rPr>
                      <w:kern w:val="0"/>
                      <w:sz w:val="21"/>
                      <w:szCs w:val="21"/>
                    </w:rPr>
                  </w:pPr>
                  <w:r>
                    <w:rPr>
                      <w:rFonts w:hint="eastAsia"/>
                      <w:kern w:val="0"/>
                      <w:sz w:val="21"/>
                      <w:szCs w:val="21"/>
                    </w:rPr>
                    <w:t>油水分离器</w:t>
                  </w:r>
                </w:p>
              </w:tc>
              <w:tc>
                <w:tcPr>
                  <w:tcW w:w="2575" w:type="pct"/>
                  <w:tcBorders>
                    <w:top w:val="single" w:color="auto" w:sz="4" w:space="0"/>
                    <w:left w:val="single" w:color="auto" w:sz="4" w:space="0"/>
                    <w:bottom w:val="single" w:color="auto" w:sz="4" w:space="0"/>
                    <w:right w:val="single" w:color="auto" w:sz="4" w:space="0"/>
                  </w:tcBorders>
                  <w:shd w:val="clear" w:color="auto" w:fill="auto"/>
                  <w:vAlign w:val="center"/>
                </w:tcPr>
                <w:p w14:paraId="2CEB710F">
                  <w:pPr>
                    <w:adjustRightInd w:val="0"/>
                    <w:snapToGrid w:val="0"/>
                    <w:spacing w:line="240" w:lineRule="auto"/>
                    <w:ind w:firstLine="0" w:firstLineChars="0"/>
                    <w:jc w:val="center"/>
                    <w:rPr>
                      <w:kern w:val="0"/>
                      <w:sz w:val="21"/>
                      <w:szCs w:val="21"/>
                    </w:rPr>
                  </w:pPr>
                  <w:r>
                    <w:rPr>
                      <w:rFonts w:hint="eastAsia"/>
                      <w:kern w:val="0"/>
                      <w:sz w:val="21"/>
                      <w:szCs w:val="21"/>
                    </w:rPr>
                    <w:t>设置1个容积为0.08m³的油水分离器处理食堂含有污水</w:t>
                  </w:r>
                </w:p>
              </w:tc>
              <w:tc>
                <w:tcPr>
                  <w:tcW w:w="667" w:type="pct"/>
                  <w:tcBorders>
                    <w:top w:val="single" w:color="auto" w:sz="4" w:space="0"/>
                    <w:left w:val="single" w:color="auto" w:sz="4" w:space="0"/>
                    <w:bottom w:val="single" w:color="auto" w:sz="4" w:space="0"/>
                    <w:right w:val="single" w:color="auto" w:sz="4" w:space="0"/>
                  </w:tcBorders>
                  <w:shd w:val="clear" w:color="auto" w:fill="auto"/>
                  <w:vAlign w:val="center"/>
                </w:tcPr>
                <w:p w14:paraId="6147AFC9">
                  <w:pPr>
                    <w:adjustRightInd w:val="0"/>
                    <w:snapToGrid w:val="0"/>
                    <w:spacing w:line="240" w:lineRule="auto"/>
                    <w:ind w:firstLine="0" w:firstLineChars="0"/>
                    <w:jc w:val="center"/>
                    <w:rPr>
                      <w:kern w:val="0"/>
                      <w:sz w:val="21"/>
                      <w:szCs w:val="21"/>
                    </w:rPr>
                  </w:pPr>
                  <w:r>
                    <w:rPr>
                      <w:rFonts w:hint="eastAsia"/>
                      <w:kern w:val="0"/>
                      <w:sz w:val="21"/>
                      <w:szCs w:val="21"/>
                    </w:rPr>
                    <w:t>0.1</w:t>
                  </w:r>
                </w:p>
              </w:tc>
            </w:tr>
            <w:tr w14:paraId="3D75B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exact"/>
              </w:trPr>
              <w:tc>
                <w:tcPr>
                  <w:tcW w:w="451" w:type="pct"/>
                  <w:tcBorders>
                    <w:top w:val="single" w:color="auto" w:sz="4" w:space="0"/>
                    <w:left w:val="single" w:color="auto" w:sz="4" w:space="0"/>
                    <w:bottom w:val="single" w:color="auto" w:sz="4" w:space="0"/>
                    <w:right w:val="single" w:color="auto" w:sz="4" w:space="0"/>
                  </w:tcBorders>
                  <w:shd w:val="clear" w:color="auto" w:fill="auto"/>
                  <w:vAlign w:val="center"/>
                </w:tcPr>
                <w:p w14:paraId="2BD7C989">
                  <w:pPr>
                    <w:adjustRightInd w:val="0"/>
                    <w:snapToGrid w:val="0"/>
                    <w:spacing w:line="240" w:lineRule="auto"/>
                    <w:ind w:firstLine="0" w:firstLineChars="0"/>
                    <w:jc w:val="center"/>
                    <w:rPr>
                      <w:kern w:val="0"/>
                      <w:sz w:val="21"/>
                      <w:szCs w:val="21"/>
                    </w:rPr>
                  </w:pPr>
                  <w:r>
                    <w:rPr>
                      <w:rFonts w:hint="eastAsia"/>
                      <w:kern w:val="0"/>
                      <w:sz w:val="21"/>
                      <w:szCs w:val="21"/>
                    </w:rPr>
                    <w:t>8</w:t>
                  </w:r>
                </w:p>
              </w:tc>
              <w:tc>
                <w:tcPr>
                  <w:tcW w:w="1305" w:type="pct"/>
                  <w:tcBorders>
                    <w:top w:val="single" w:color="auto" w:sz="4" w:space="0"/>
                    <w:left w:val="single" w:color="auto" w:sz="4" w:space="0"/>
                    <w:bottom w:val="single" w:color="auto" w:sz="4" w:space="0"/>
                    <w:right w:val="single" w:color="auto" w:sz="4" w:space="0"/>
                  </w:tcBorders>
                  <w:shd w:val="clear" w:color="auto" w:fill="auto"/>
                  <w:vAlign w:val="center"/>
                </w:tcPr>
                <w:p w14:paraId="5861A9F7">
                  <w:pPr>
                    <w:adjustRightInd w:val="0"/>
                    <w:snapToGrid w:val="0"/>
                    <w:spacing w:line="240" w:lineRule="auto"/>
                    <w:ind w:firstLine="0" w:firstLineChars="0"/>
                    <w:jc w:val="center"/>
                    <w:rPr>
                      <w:kern w:val="0"/>
                      <w:sz w:val="21"/>
                      <w:szCs w:val="21"/>
                    </w:rPr>
                  </w:pPr>
                  <w:r>
                    <w:rPr>
                      <w:rFonts w:hint="eastAsia"/>
                      <w:kern w:val="0"/>
                      <w:sz w:val="21"/>
                      <w:szCs w:val="21"/>
                    </w:rPr>
                    <w:t>化粪池</w:t>
                  </w:r>
                </w:p>
              </w:tc>
              <w:tc>
                <w:tcPr>
                  <w:tcW w:w="2575" w:type="pct"/>
                  <w:tcBorders>
                    <w:top w:val="single" w:color="auto" w:sz="4" w:space="0"/>
                    <w:left w:val="single" w:color="auto" w:sz="4" w:space="0"/>
                    <w:bottom w:val="single" w:color="auto" w:sz="4" w:space="0"/>
                    <w:right w:val="single" w:color="auto" w:sz="4" w:space="0"/>
                  </w:tcBorders>
                  <w:shd w:val="clear" w:color="auto" w:fill="auto"/>
                  <w:vAlign w:val="center"/>
                </w:tcPr>
                <w:p w14:paraId="2C82751A">
                  <w:pPr>
                    <w:adjustRightInd w:val="0"/>
                    <w:snapToGrid w:val="0"/>
                    <w:spacing w:line="240" w:lineRule="auto"/>
                    <w:ind w:firstLine="0" w:firstLineChars="0"/>
                    <w:jc w:val="center"/>
                    <w:rPr>
                      <w:kern w:val="0"/>
                      <w:sz w:val="21"/>
                      <w:szCs w:val="21"/>
                    </w:rPr>
                  </w:pPr>
                  <w:r>
                    <w:rPr>
                      <w:rFonts w:hint="eastAsia"/>
                      <w:kern w:val="0"/>
                      <w:sz w:val="21"/>
                      <w:szCs w:val="21"/>
                    </w:rPr>
                    <w:t>设置1个容积为4m</w:t>
                  </w:r>
                  <w:r>
                    <w:rPr>
                      <w:rFonts w:hint="eastAsia"/>
                      <w:kern w:val="0"/>
                      <w:sz w:val="21"/>
                      <w:szCs w:val="21"/>
                      <w:vertAlign w:val="superscript"/>
                    </w:rPr>
                    <w:t>3</w:t>
                  </w:r>
                  <w:r>
                    <w:rPr>
                      <w:rFonts w:hint="eastAsia"/>
                      <w:kern w:val="0"/>
                      <w:sz w:val="21"/>
                      <w:szCs w:val="21"/>
                    </w:rPr>
                    <w:t>的化粪池</w:t>
                  </w:r>
                </w:p>
              </w:tc>
              <w:tc>
                <w:tcPr>
                  <w:tcW w:w="667" w:type="pct"/>
                  <w:tcBorders>
                    <w:top w:val="single" w:color="auto" w:sz="4" w:space="0"/>
                    <w:left w:val="single" w:color="auto" w:sz="4" w:space="0"/>
                    <w:bottom w:val="single" w:color="auto" w:sz="4" w:space="0"/>
                    <w:right w:val="single" w:color="auto" w:sz="4" w:space="0"/>
                  </w:tcBorders>
                  <w:shd w:val="clear" w:color="auto" w:fill="auto"/>
                  <w:vAlign w:val="center"/>
                </w:tcPr>
                <w:p w14:paraId="3198C1F8">
                  <w:pPr>
                    <w:adjustRightInd w:val="0"/>
                    <w:snapToGrid w:val="0"/>
                    <w:spacing w:line="240" w:lineRule="auto"/>
                    <w:ind w:firstLine="0" w:firstLineChars="0"/>
                    <w:jc w:val="center"/>
                    <w:rPr>
                      <w:kern w:val="0"/>
                      <w:sz w:val="21"/>
                      <w:szCs w:val="21"/>
                    </w:rPr>
                  </w:pPr>
                  <w:r>
                    <w:rPr>
                      <w:rFonts w:hint="eastAsia"/>
                      <w:kern w:val="0"/>
                      <w:sz w:val="21"/>
                      <w:szCs w:val="21"/>
                    </w:rPr>
                    <w:t>0.8</w:t>
                  </w:r>
                </w:p>
              </w:tc>
            </w:tr>
            <w:tr w14:paraId="59B2A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exact"/>
              </w:trPr>
              <w:tc>
                <w:tcPr>
                  <w:tcW w:w="451" w:type="pct"/>
                  <w:tcBorders>
                    <w:top w:val="single" w:color="auto" w:sz="4" w:space="0"/>
                    <w:left w:val="single" w:color="auto" w:sz="4" w:space="0"/>
                    <w:bottom w:val="single" w:color="auto" w:sz="4" w:space="0"/>
                    <w:right w:val="single" w:color="auto" w:sz="4" w:space="0"/>
                  </w:tcBorders>
                  <w:shd w:val="clear" w:color="auto" w:fill="auto"/>
                  <w:vAlign w:val="center"/>
                </w:tcPr>
                <w:p w14:paraId="07CB911A">
                  <w:pPr>
                    <w:adjustRightInd w:val="0"/>
                    <w:snapToGrid w:val="0"/>
                    <w:spacing w:line="240" w:lineRule="auto"/>
                    <w:ind w:firstLine="0" w:firstLineChars="0"/>
                    <w:jc w:val="center"/>
                    <w:rPr>
                      <w:kern w:val="0"/>
                      <w:sz w:val="21"/>
                      <w:szCs w:val="21"/>
                    </w:rPr>
                  </w:pPr>
                  <w:r>
                    <w:rPr>
                      <w:rFonts w:hint="eastAsia"/>
                      <w:kern w:val="0"/>
                      <w:sz w:val="21"/>
                      <w:szCs w:val="21"/>
                    </w:rPr>
                    <w:t>9</w:t>
                  </w:r>
                </w:p>
              </w:tc>
              <w:tc>
                <w:tcPr>
                  <w:tcW w:w="1305" w:type="pct"/>
                  <w:tcBorders>
                    <w:top w:val="single" w:color="auto" w:sz="4" w:space="0"/>
                    <w:left w:val="single" w:color="auto" w:sz="4" w:space="0"/>
                    <w:bottom w:val="single" w:color="auto" w:sz="4" w:space="0"/>
                    <w:right w:val="single" w:color="auto" w:sz="4" w:space="0"/>
                  </w:tcBorders>
                  <w:shd w:val="clear" w:color="auto" w:fill="auto"/>
                  <w:vAlign w:val="center"/>
                </w:tcPr>
                <w:p w14:paraId="5E9D7868">
                  <w:pPr>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一体化污水处理设施</w:t>
                  </w:r>
                </w:p>
              </w:tc>
              <w:tc>
                <w:tcPr>
                  <w:tcW w:w="2575" w:type="pct"/>
                  <w:tcBorders>
                    <w:top w:val="single" w:color="auto" w:sz="4" w:space="0"/>
                    <w:left w:val="single" w:color="auto" w:sz="4" w:space="0"/>
                    <w:bottom w:val="single" w:color="auto" w:sz="4" w:space="0"/>
                    <w:right w:val="single" w:color="auto" w:sz="4" w:space="0"/>
                  </w:tcBorders>
                  <w:shd w:val="clear" w:color="auto" w:fill="auto"/>
                  <w:vAlign w:val="center"/>
                </w:tcPr>
                <w:p w14:paraId="59455BC1">
                  <w:pPr>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拟建1套处理能力为1m</w:t>
                  </w:r>
                  <w:r>
                    <w:rPr>
                      <w:rFonts w:hint="eastAsia"/>
                      <w:color w:val="000000" w:themeColor="text1"/>
                      <w:kern w:val="0"/>
                      <w:sz w:val="21"/>
                      <w:szCs w:val="21"/>
                      <w:vertAlign w:val="superscript"/>
                      <w14:textFill>
                        <w14:solidFill>
                          <w14:schemeClr w14:val="tx1"/>
                        </w14:solidFill>
                      </w14:textFill>
                    </w:rPr>
                    <w:t>3</w:t>
                  </w:r>
                  <w:r>
                    <w:rPr>
                      <w:rFonts w:hint="eastAsia"/>
                      <w:color w:val="000000" w:themeColor="text1"/>
                      <w:kern w:val="0"/>
                      <w:sz w:val="21"/>
                      <w:szCs w:val="21"/>
                      <w14:textFill>
                        <w14:solidFill>
                          <w14:schemeClr w14:val="tx1"/>
                        </w14:solidFill>
                      </w14:textFill>
                    </w:rPr>
                    <w:t>/d的一体化污水处理设备处理生活污水</w:t>
                  </w:r>
                </w:p>
              </w:tc>
              <w:tc>
                <w:tcPr>
                  <w:tcW w:w="667" w:type="pct"/>
                  <w:tcBorders>
                    <w:top w:val="single" w:color="auto" w:sz="4" w:space="0"/>
                    <w:left w:val="single" w:color="auto" w:sz="4" w:space="0"/>
                    <w:bottom w:val="single" w:color="auto" w:sz="4" w:space="0"/>
                    <w:right w:val="single" w:color="auto" w:sz="4" w:space="0"/>
                  </w:tcBorders>
                  <w:shd w:val="clear" w:color="auto" w:fill="auto"/>
                  <w:vAlign w:val="center"/>
                </w:tcPr>
                <w:p w14:paraId="639B52F4">
                  <w:pPr>
                    <w:adjustRightInd w:val="0"/>
                    <w:snapToGrid w:val="0"/>
                    <w:spacing w:line="240" w:lineRule="auto"/>
                    <w:ind w:firstLine="0" w:firstLineChars="0"/>
                    <w:jc w:val="center"/>
                    <w:rPr>
                      <w:kern w:val="0"/>
                      <w:sz w:val="21"/>
                      <w:szCs w:val="21"/>
                    </w:rPr>
                  </w:pPr>
                  <w:r>
                    <w:rPr>
                      <w:rFonts w:hint="eastAsia"/>
                      <w:kern w:val="0"/>
                      <w:sz w:val="21"/>
                      <w:szCs w:val="21"/>
                    </w:rPr>
                    <w:t>2.0</w:t>
                  </w:r>
                </w:p>
              </w:tc>
            </w:tr>
            <w:tr w14:paraId="3567D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51" w:type="pct"/>
                  <w:tcBorders>
                    <w:top w:val="single" w:color="auto" w:sz="4" w:space="0"/>
                    <w:left w:val="single" w:color="auto" w:sz="4" w:space="0"/>
                    <w:right w:val="single" w:color="auto" w:sz="4" w:space="0"/>
                  </w:tcBorders>
                  <w:shd w:val="clear" w:color="auto" w:fill="auto"/>
                  <w:vAlign w:val="center"/>
                </w:tcPr>
                <w:p w14:paraId="30271EAC">
                  <w:pPr>
                    <w:adjustRightInd w:val="0"/>
                    <w:snapToGrid w:val="0"/>
                    <w:spacing w:line="240" w:lineRule="auto"/>
                    <w:ind w:firstLine="0" w:firstLineChars="0"/>
                    <w:jc w:val="center"/>
                    <w:rPr>
                      <w:kern w:val="0"/>
                      <w:sz w:val="21"/>
                      <w:szCs w:val="21"/>
                    </w:rPr>
                  </w:pPr>
                  <w:r>
                    <w:rPr>
                      <w:rFonts w:hint="eastAsia"/>
                      <w:kern w:val="0"/>
                      <w:sz w:val="21"/>
                      <w:szCs w:val="21"/>
                    </w:rPr>
                    <w:t>10</w:t>
                  </w:r>
                </w:p>
              </w:tc>
              <w:tc>
                <w:tcPr>
                  <w:tcW w:w="1305" w:type="pct"/>
                  <w:tcBorders>
                    <w:top w:val="single" w:color="auto" w:sz="4" w:space="0"/>
                    <w:left w:val="single" w:color="auto" w:sz="4" w:space="0"/>
                    <w:right w:val="single" w:color="auto" w:sz="4" w:space="0"/>
                  </w:tcBorders>
                  <w:shd w:val="clear" w:color="auto" w:fill="auto"/>
                  <w:vAlign w:val="center"/>
                </w:tcPr>
                <w:p w14:paraId="0A1D143F">
                  <w:pPr>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初期雨水</w:t>
                  </w:r>
                </w:p>
              </w:tc>
              <w:tc>
                <w:tcPr>
                  <w:tcW w:w="2575" w:type="pct"/>
                  <w:tcBorders>
                    <w:top w:val="single" w:color="auto" w:sz="4" w:space="0"/>
                    <w:left w:val="single" w:color="auto" w:sz="4" w:space="0"/>
                    <w:bottom w:val="single" w:color="auto" w:sz="4" w:space="0"/>
                    <w:right w:val="single" w:color="auto" w:sz="4" w:space="0"/>
                  </w:tcBorders>
                  <w:shd w:val="clear" w:color="auto" w:fill="auto"/>
                  <w:vAlign w:val="center"/>
                </w:tcPr>
                <w:p w14:paraId="1C223475">
                  <w:pPr>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1个容积10m</w:t>
                  </w:r>
                  <w:r>
                    <w:rPr>
                      <w:rFonts w:hint="eastAsia"/>
                      <w:color w:val="000000" w:themeColor="text1"/>
                      <w:kern w:val="0"/>
                      <w:sz w:val="21"/>
                      <w:szCs w:val="21"/>
                      <w:vertAlign w:val="superscript"/>
                      <w14:textFill>
                        <w14:solidFill>
                          <w14:schemeClr w14:val="tx1"/>
                        </w14:solidFill>
                      </w14:textFill>
                    </w:rPr>
                    <w:t>3</w:t>
                  </w:r>
                  <w:r>
                    <w:rPr>
                      <w:rFonts w:hint="eastAsia"/>
                      <w:color w:val="000000" w:themeColor="text1"/>
                      <w:kern w:val="0"/>
                      <w:sz w:val="21"/>
                      <w:szCs w:val="21"/>
                      <w14:textFill>
                        <w14:solidFill>
                          <w14:schemeClr w14:val="tx1"/>
                        </w14:solidFill>
                      </w14:textFill>
                    </w:rPr>
                    <w:t>的初期雨水收集池</w:t>
                  </w:r>
                </w:p>
              </w:tc>
              <w:tc>
                <w:tcPr>
                  <w:tcW w:w="667" w:type="pct"/>
                  <w:tcBorders>
                    <w:top w:val="single" w:color="auto" w:sz="4" w:space="0"/>
                    <w:left w:val="single" w:color="auto" w:sz="4" w:space="0"/>
                    <w:bottom w:val="single" w:color="auto" w:sz="4" w:space="0"/>
                    <w:right w:val="single" w:color="auto" w:sz="4" w:space="0"/>
                  </w:tcBorders>
                  <w:shd w:val="clear" w:color="auto" w:fill="auto"/>
                  <w:vAlign w:val="center"/>
                </w:tcPr>
                <w:p w14:paraId="0DDB7E2A">
                  <w:pPr>
                    <w:adjustRightInd w:val="0"/>
                    <w:snapToGrid w:val="0"/>
                    <w:spacing w:line="240" w:lineRule="auto"/>
                    <w:ind w:firstLine="0" w:firstLineChars="0"/>
                    <w:jc w:val="center"/>
                    <w:rPr>
                      <w:kern w:val="0"/>
                      <w:sz w:val="21"/>
                      <w:szCs w:val="21"/>
                    </w:rPr>
                  </w:pPr>
                  <w:r>
                    <w:rPr>
                      <w:rFonts w:hint="eastAsia"/>
                      <w:kern w:val="0"/>
                      <w:sz w:val="21"/>
                      <w:szCs w:val="21"/>
                    </w:rPr>
                    <w:t>1.5</w:t>
                  </w:r>
                </w:p>
              </w:tc>
            </w:tr>
            <w:tr w14:paraId="6D8A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51" w:type="pct"/>
                  <w:tcBorders>
                    <w:top w:val="single" w:color="auto" w:sz="4" w:space="0"/>
                    <w:left w:val="single" w:color="auto" w:sz="4" w:space="0"/>
                    <w:right w:val="single" w:color="auto" w:sz="4" w:space="0"/>
                  </w:tcBorders>
                  <w:shd w:val="clear" w:color="auto" w:fill="auto"/>
                  <w:vAlign w:val="center"/>
                </w:tcPr>
                <w:p w14:paraId="5501B2F7">
                  <w:pPr>
                    <w:adjustRightInd w:val="0"/>
                    <w:snapToGrid w:val="0"/>
                    <w:spacing w:line="240" w:lineRule="auto"/>
                    <w:ind w:firstLine="0" w:firstLineChars="0"/>
                    <w:jc w:val="center"/>
                    <w:rPr>
                      <w:kern w:val="0"/>
                      <w:sz w:val="21"/>
                      <w:szCs w:val="21"/>
                    </w:rPr>
                  </w:pPr>
                  <w:r>
                    <w:rPr>
                      <w:rFonts w:hint="eastAsia"/>
                      <w:kern w:val="0"/>
                      <w:sz w:val="21"/>
                      <w:szCs w:val="21"/>
                    </w:rPr>
                    <w:t>11</w:t>
                  </w:r>
                </w:p>
              </w:tc>
              <w:tc>
                <w:tcPr>
                  <w:tcW w:w="1305" w:type="pct"/>
                  <w:tcBorders>
                    <w:top w:val="single" w:color="auto" w:sz="4" w:space="0"/>
                    <w:left w:val="single" w:color="auto" w:sz="4" w:space="0"/>
                    <w:right w:val="single" w:color="auto" w:sz="4" w:space="0"/>
                  </w:tcBorders>
                  <w:shd w:val="clear" w:color="auto" w:fill="auto"/>
                  <w:vAlign w:val="center"/>
                </w:tcPr>
                <w:p w14:paraId="369C98AD">
                  <w:pPr>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车辆轮胎清洗废水</w:t>
                  </w:r>
                </w:p>
              </w:tc>
              <w:tc>
                <w:tcPr>
                  <w:tcW w:w="2575" w:type="pct"/>
                  <w:tcBorders>
                    <w:top w:val="single" w:color="auto" w:sz="4" w:space="0"/>
                    <w:left w:val="single" w:color="auto" w:sz="4" w:space="0"/>
                    <w:bottom w:val="single" w:color="auto" w:sz="4" w:space="0"/>
                    <w:right w:val="single" w:color="auto" w:sz="4" w:space="0"/>
                  </w:tcBorders>
                  <w:shd w:val="clear" w:color="auto" w:fill="auto"/>
                  <w:vAlign w:val="center"/>
                </w:tcPr>
                <w:p w14:paraId="20DA468C">
                  <w:pPr>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拟建2个容积为1m</w:t>
                  </w:r>
                  <w:r>
                    <w:rPr>
                      <w:rFonts w:hint="eastAsia"/>
                      <w:color w:val="000000" w:themeColor="text1"/>
                      <w:kern w:val="0"/>
                      <w:sz w:val="21"/>
                      <w:szCs w:val="21"/>
                      <w:vertAlign w:val="superscript"/>
                      <w14:textFill>
                        <w14:solidFill>
                          <w14:schemeClr w14:val="tx1"/>
                        </w14:solidFill>
                      </w14:textFill>
                    </w:rPr>
                    <w:t>3</w:t>
                  </w:r>
                  <w:r>
                    <w:rPr>
                      <w:rFonts w:hint="eastAsia"/>
                      <w:color w:val="000000" w:themeColor="text1"/>
                      <w:kern w:val="0"/>
                      <w:sz w:val="21"/>
                      <w:szCs w:val="21"/>
                      <w14:textFill>
                        <w14:solidFill>
                          <w14:schemeClr w14:val="tx1"/>
                        </w14:solidFill>
                      </w14:textFill>
                    </w:rPr>
                    <w:t>的废水收集沉淀池</w:t>
                  </w:r>
                </w:p>
              </w:tc>
              <w:tc>
                <w:tcPr>
                  <w:tcW w:w="667" w:type="pct"/>
                  <w:tcBorders>
                    <w:top w:val="single" w:color="auto" w:sz="4" w:space="0"/>
                    <w:left w:val="single" w:color="auto" w:sz="4" w:space="0"/>
                    <w:bottom w:val="single" w:color="auto" w:sz="4" w:space="0"/>
                    <w:right w:val="single" w:color="auto" w:sz="4" w:space="0"/>
                  </w:tcBorders>
                  <w:shd w:val="clear" w:color="auto" w:fill="auto"/>
                  <w:vAlign w:val="center"/>
                </w:tcPr>
                <w:p w14:paraId="47F6D0E2">
                  <w:pPr>
                    <w:adjustRightInd w:val="0"/>
                    <w:snapToGrid w:val="0"/>
                    <w:spacing w:line="240" w:lineRule="auto"/>
                    <w:ind w:firstLine="0" w:firstLineChars="0"/>
                    <w:jc w:val="center"/>
                    <w:rPr>
                      <w:kern w:val="0"/>
                      <w:sz w:val="21"/>
                      <w:szCs w:val="21"/>
                    </w:rPr>
                  </w:pPr>
                  <w:r>
                    <w:rPr>
                      <w:rFonts w:hint="eastAsia"/>
                      <w:kern w:val="0"/>
                      <w:sz w:val="21"/>
                      <w:szCs w:val="21"/>
                    </w:rPr>
                    <w:t>0.5</w:t>
                  </w:r>
                </w:p>
              </w:tc>
            </w:tr>
            <w:tr w14:paraId="28DD7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tcBorders>
                    <w:top w:val="single" w:color="auto" w:sz="4" w:space="0"/>
                    <w:left w:val="single" w:color="auto" w:sz="4" w:space="0"/>
                    <w:bottom w:val="single" w:color="auto" w:sz="4" w:space="0"/>
                    <w:right w:val="single" w:color="auto" w:sz="4" w:space="0"/>
                  </w:tcBorders>
                  <w:shd w:val="clear" w:color="auto" w:fill="auto"/>
                  <w:vAlign w:val="center"/>
                </w:tcPr>
                <w:p w14:paraId="67512CEF">
                  <w:pPr>
                    <w:adjustRightInd w:val="0"/>
                    <w:snapToGrid w:val="0"/>
                    <w:spacing w:line="240" w:lineRule="auto"/>
                    <w:ind w:firstLine="0" w:firstLineChars="0"/>
                    <w:jc w:val="center"/>
                    <w:rPr>
                      <w:kern w:val="0"/>
                      <w:sz w:val="21"/>
                      <w:szCs w:val="21"/>
                    </w:rPr>
                  </w:pPr>
                  <w:r>
                    <w:rPr>
                      <w:rFonts w:hint="eastAsia"/>
                      <w:kern w:val="0"/>
                      <w:sz w:val="21"/>
                      <w:szCs w:val="21"/>
                    </w:rPr>
                    <w:t>12</w:t>
                  </w:r>
                </w:p>
              </w:tc>
              <w:tc>
                <w:tcPr>
                  <w:tcW w:w="1305" w:type="pct"/>
                  <w:tcBorders>
                    <w:top w:val="single" w:color="auto" w:sz="4" w:space="0"/>
                    <w:left w:val="single" w:color="auto" w:sz="4" w:space="0"/>
                    <w:bottom w:val="single" w:color="auto" w:sz="4" w:space="0"/>
                    <w:right w:val="single" w:color="auto" w:sz="4" w:space="0"/>
                  </w:tcBorders>
                  <w:shd w:val="clear" w:color="auto" w:fill="auto"/>
                  <w:vAlign w:val="center"/>
                </w:tcPr>
                <w:p w14:paraId="1D0BC4F5">
                  <w:pPr>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危险废物</w:t>
                  </w:r>
                </w:p>
              </w:tc>
              <w:tc>
                <w:tcPr>
                  <w:tcW w:w="2575" w:type="pct"/>
                  <w:tcBorders>
                    <w:top w:val="single" w:color="auto" w:sz="4" w:space="0"/>
                    <w:left w:val="single" w:color="auto" w:sz="4" w:space="0"/>
                    <w:bottom w:val="single" w:color="auto" w:sz="4" w:space="0"/>
                    <w:right w:val="single" w:color="auto" w:sz="4" w:space="0"/>
                  </w:tcBorders>
                  <w:shd w:val="clear" w:color="auto" w:fill="auto"/>
                  <w:vAlign w:val="center"/>
                </w:tcPr>
                <w:p w14:paraId="49BA9155">
                  <w:pPr>
                    <w:adjustRightInd w:val="0"/>
                    <w:snapToGrid w:val="0"/>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规范</w:t>
                  </w:r>
                  <w:r>
                    <w:rPr>
                      <w:rFonts w:hint="eastAsia"/>
                      <w:color w:val="000000" w:themeColor="text1"/>
                      <w:kern w:val="0"/>
                      <w:sz w:val="21"/>
                      <w:szCs w:val="21"/>
                      <w14:textFill>
                        <w14:solidFill>
                          <w14:schemeClr w14:val="tx1"/>
                        </w14:solidFill>
                      </w14:textFill>
                    </w:rPr>
                    <w:t>设置</w:t>
                  </w:r>
                  <w:r>
                    <w:rPr>
                      <w:color w:val="000000" w:themeColor="text1"/>
                      <w:kern w:val="0"/>
                      <w:sz w:val="21"/>
                      <w:szCs w:val="21"/>
                      <w14:textFill>
                        <w14:solidFill>
                          <w14:schemeClr w14:val="tx1"/>
                        </w14:solidFill>
                      </w14:textFill>
                    </w:rPr>
                    <w:t>1间</w:t>
                  </w:r>
                  <w:r>
                    <w:rPr>
                      <w:rFonts w:hint="eastAsia"/>
                      <w:color w:val="000000" w:themeColor="text1"/>
                      <w:kern w:val="0"/>
                      <w:sz w:val="21"/>
                      <w:szCs w:val="21"/>
                      <w14:textFill>
                        <w14:solidFill>
                          <w14:schemeClr w14:val="tx1"/>
                        </w14:solidFill>
                      </w14:textFill>
                    </w:rPr>
                    <w:t>建筑</w:t>
                  </w:r>
                  <w:r>
                    <w:rPr>
                      <w:color w:val="000000" w:themeColor="text1"/>
                      <w:kern w:val="0"/>
                      <w:sz w:val="21"/>
                      <w:szCs w:val="21"/>
                      <w14:textFill>
                        <w14:solidFill>
                          <w14:schemeClr w14:val="tx1"/>
                        </w14:solidFill>
                      </w14:textFill>
                    </w:rPr>
                    <w:t>面积</w:t>
                  </w:r>
                  <w:r>
                    <w:rPr>
                      <w:rFonts w:hint="eastAsia"/>
                      <w:color w:val="000000" w:themeColor="text1"/>
                      <w:kern w:val="0"/>
                      <w:sz w:val="21"/>
                      <w:szCs w:val="21"/>
                      <w14:textFill>
                        <w14:solidFill>
                          <w14:schemeClr w14:val="tx1"/>
                        </w14:solidFill>
                      </w14:textFill>
                    </w:rPr>
                    <w:t>10</w:t>
                  </w:r>
                  <w:r>
                    <w:rPr>
                      <w:color w:val="000000" w:themeColor="text1"/>
                      <w:kern w:val="0"/>
                      <w:sz w:val="21"/>
                      <w:szCs w:val="21"/>
                      <w14:textFill>
                        <w14:solidFill>
                          <w14:schemeClr w14:val="tx1"/>
                        </w14:solidFill>
                      </w14:textFill>
                    </w:rPr>
                    <w:t>m</w:t>
                  </w:r>
                  <w:r>
                    <w:rPr>
                      <w:color w:val="000000" w:themeColor="text1"/>
                      <w:kern w:val="0"/>
                      <w:sz w:val="21"/>
                      <w:szCs w:val="21"/>
                      <w:vertAlign w:val="superscript"/>
                      <w14:textFill>
                        <w14:solidFill>
                          <w14:schemeClr w14:val="tx1"/>
                        </w14:solidFill>
                      </w14:textFill>
                    </w:rPr>
                    <w:t>2</w:t>
                  </w:r>
                  <w:r>
                    <w:rPr>
                      <w:color w:val="000000" w:themeColor="text1"/>
                      <w:kern w:val="0"/>
                      <w:sz w:val="21"/>
                      <w:szCs w:val="21"/>
                      <w14:textFill>
                        <w14:solidFill>
                          <w14:schemeClr w14:val="tx1"/>
                        </w14:solidFill>
                      </w14:textFill>
                    </w:rPr>
                    <w:t>危险废物暂存间</w:t>
                  </w:r>
                </w:p>
              </w:tc>
              <w:tc>
                <w:tcPr>
                  <w:tcW w:w="667" w:type="pct"/>
                  <w:tcBorders>
                    <w:top w:val="single" w:color="auto" w:sz="4" w:space="0"/>
                    <w:left w:val="single" w:color="auto" w:sz="4" w:space="0"/>
                    <w:bottom w:val="single" w:color="auto" w:sz="4" w:space="0"/>
                    <w:right w:val="single" w:color="auto" w:sz="4" w:space="0"/>
                  </w:tcBorders>
                  <w:shd w:val="clear" w:color="auto" w:fill="auto"/>
                  <w:vAlign w:val="center"/>
                </w:tcPr>
                <w:p w14:paraId="717E84DD">
                  <w:pPr>
                    <w:adjustRightInd w:val="0"/>
                    <w:snapToGrid w:val="0"/>
                    <w:spacing w:line="240" w:lineRule="auto"/>
                    <w:ind w:firstLine="0" w:firstLineChars="0"/>
                    <w:jc w:val="center"/>
                    <w:rPr>
                      <w:kern w:val="0"/>
                      <w:sz w:val="21"/>
                      <w:szCs w:val="21"/>
                    </w:rPr>
                  </w:pPr>
                  <w:r>
                    <w:rPr>
                      <w:rFonts w:hint="eastAsia"/>
                      <w:kern w:val="0"/>
                      <w:sz w:val="21"/>
                      <w:szCs w:val="21"/>
                    </w:rPr>
                    <w:t>2</w:t>
                  </w:r>
                  <w:r>
                    <w:rPr>
                      <w:kern w:val="0"/>
                      <w:sz w:val="21"/>
                      <w:szCs w:val="21"/>
                    </w:rPr>
                    <w:t>.0</w:t>
                  </w:r>
                </w:p>
              </w:tc>
            </w:tr>
            <w:tr w14:paraId="68DB4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tcBorders>
                    <w:top w:val="single" w:color="auto" w:sz="4" w:space="0"/>
                    <w:left w:val="single" w:color="auto" w:sz="4" w:space="0"/>
                    <w:bottom w:val="single" w:color="auto" w:sz="4" w:space="0"/>
                    <w:right w:val="single" w:color="auto" w:sz="4" w:space="0"/>
                  </w:tcBorders>
                  <w:shd w:val="clear" w:color="auto" w:fill="auto"/>
                  <w:vAlign w:val="center"/>
                </w:tcPr>
                <w:p w14:paraId="0DD1474D">
                  <w:pPr>
                    <w:adjustRightInd w:val="0"/>
                    <w:snapToGrid w:val="0"/>
                    <w:spacing w:line="240" w:lineRule="auto"/>
                    <w:ind w:firstLine="0" w:firstLineChars="0"/>
                    <w:jc w:val="center"/>
                    <w:rPr>
                      <w:kern w:val="0"/>
                      <w:sz w:val="21"/>
                      <w:szCs w:val="21"/>
                    </w:rPr>
                  </w:pPr>
                  <w:r>
                    <w:rPr>
                      <w:rFonts w:hint="eastAsia"/>
                      <w:kern w:val="0"/>
                      <w:sz w:val="21"/>
                      <w:szCs w:val="21"/>
                    </w:rPr>
                    <w:t>13</w:t>
                  </w:r>
                </w:p>
              </w:tc>
              <w:tc>
                <w:tcPr>
                  <w:tcW w:w="2108" w:type="dxa"/>
                  <w:tcBorders>
                    <w:top w:val="single" w:color="auto" w:sz="4" w:space="0"/>
                    <w:left w:val="single" w:color="auto" w:sz="4" w:space="0"/>
                    <w:bottom w:val="single" w:color="auto" w:sz="4" w:space="0"/>
                    <w:right w:val="single" w:color="auto" w:sz="4" w:space="0"/>
                  </w:tcBorders>
                  <w:shd w:val="clear" w:color="auto" w:fill="auto"/>
                  <w:vAlign w:val="center"/>
                </w:tcPr>
                <w:p w14:paraId="531007B2">
                  <w:pPr>
                    <w:adjustRightInd w:val="0"/>
                    <w:snapToGrid w:val="0"/>
                    <w:spacing w:line="240" w:lineRule="auto"/>
                    <w:ind w:firstLine="0" w:firstLineChars="0"/>
                    <w:jc w:val="center"/>
                    <w:rPr>
                      <w:kern w:val="0"/>
                      <w:sz w:val="21"/>
                      <w:szCs w:val="21"/>
                    </w:rPr>
                  </w:pPr>
                  <w:r>
                    <w:rPr>
                      <w:kern w:val="0"/>
                      <w:sz w:val="21"/>
                      <w:szCs w:val="21"/>
                    </w:rPr>
                    <w:t>噪声</w:t>
                  </w:r>
                </w:p>
              </w:tc>
              <w:tc>
                <w:tcPr>
                  <w:tcW w:w="4157" w:type="dxa"/>
                  <w:tcBorders>
                    <w:top w:val="single" w:color="auto" w:sz="4" w:space="0"/>
                    <w:left w:val="single" w:color="auto" w:sz="4" w:space="0"/>
                    <w:bottom w:val="single" w:color="auto" w:sz="4" w:space="0"/>
                    <w:right w:val="single" w:color="auto" w:sz="4" w:space="0"/>
                  </w:tcBorders>
                  <w:shd w:val="clear" w:color="auto" w:fill="auto"/>
                </w:tcPr>
                <w:p w14:paraId="600A77C3">
                  <w:pPr>
                    <w:adjustRightInd w:val="0"/>
                    <w:snapToGrid w:val="0"/>
                    <w:spacing w:line="240" w:lineRule="auto"/>
                    <w:ind w:firstLine="0" w:firstLineChars="0"/>
                    <w:jc w:val="center"/>
                    <w:rPr>
                      <w:kern w:val="0"/>
                      <w:sz w:val="21"/>
                      <w:szCs w:val="21"/>
                    </w:rPr>
                  </w:pPr>
                  <w:r>
                    <w:rPr>
                      <w:kern w:val="0"/>
                      <w:sz w:val="21"/>
                      <w:szCs w:val="21"/>
                    </w:rPr>
                    <w:t>高噪声设备采取基础减振，厂房隔声、定期对设备进行维护保养；</w:t>
                  </w:r>
                  <w:r>
                    <w:rPr>
                      <w:rFonts w:hint="eastAsia"/>
                      <w:kern w:val="0"/>
                      <w:sz w:val="21"/>
                      <w:szCs w:val="21"/>
                    </w:rPr>
                    <w:t>风机</w:t>
                  </w:r>
                  <w:r>
                    <w:rPr>
                      <w:kern w:val="0"/>
                      <w:sz w:val="21"/>
                      <w:szCs w:val="21"/>
                    </w:rPr>
                    <w:t>进出口设置减速及限速标识等。</w:t>
                  </w:r>
                </w:p>
              </w:tc>
              <w:tc>
                <w:tcPr>
                  <w:tcW w:w="667" w:type="pct"/>
                  <w:tcBorders>
                    <w:top w:val="single" w:color="auto" w:sz="4" w:space="0"/>
                    <w:left w:val="single" w:color="auto" w:sz="4" w:space="0"/>
                    <w:bottom w:val="single" w:color="auto" w:sz="4" w:space="0"/>
                    <w:right w:val="single" w:color="auto" w:sz="4" w:space="0"/>
                  </w:tcBorders>
                  <w:shd w:val="clear" w:color="auto" w:fill="auto"/>
                  <w:vAlign w:val="center"/>
                </w:tcPr>
                <w:p w14:paraId="38606C41">
                  <w:pPr>
                    <w:adjustRightInd w:val="0"/>
                    <w:snapToGrid w:val="0"/>
                    <w:spacing w:line="240" w:lineRule="auto"/>
                    <w:ind w:firstLine="0" w:firstLineChars="0"/>
                    <w:jc w:val="center"/>
                    <w:rPr>
                      <w:kern w:val="0"/>
                      <w:sz w:val="21"/>
                      <w:szCs w:val="21"/>
                    </w:rPr>
                  </w:pPr>
                  <w:r>
                    <w:rPr>
                      <w:rFonts w:hint="eastAsia"/>
                      <w:kern w:val="0"/>
                      <w:sz w:val="21"/>
                      <w:szCs w:val="21"/>
                    </w:rPr>
                    <w:t>4.0</w:t>
                  </w:r>
                </w:p>
              </w:tc>
            </w:tr>
            <w:tr w14:paraId="21871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tcBorders>
                    <w:top w:val="single" w:color="auto" w:sz="4" w:space="0"/>
                    <w:left w:val="single" w:color="auto" w:sz="4" w:space="0"/>
                    <w:bottom w:val="single" w:color="auto" w:sz="4" w:space="0"/>
                    <w:right w:val="single" w:color="auto" w:sz="4" w:space="0"/>
                  </w:tcBorders>
                  <w:shd w:val="clear" w:color="auto" w:fill="auto"/>
                  <w:vAlign w:val="center"/>
                </w:tcPr>
                <w:p w14:paraId="2C94D104">
                  <w:pPr>
                    <w:adjustRightInd w:val="0"/>
                    <w:snapToGrid w:val="0"/>
                    <w:spacing w:line="240" w:lineRule="auto"/>
                    <w:ind w:firstLine="0" w:firstLineChars="0"/>
                    <w:jc w:val="center"/>
                    <w:rPr>
                      <w:kern w:val="0"/>
                      <w:sz w:val="21"/>
                      <w:szCs w:val="21"/>
                    </w:rPr>
                  </w:pPr>
                  <w:r>
                    <w:rPr>
                      <w:rFonts w:hint="eastAsia"/>
                      <w:kern w:val="0"/>
                      <w:sz w:val="21"/>
                      <w:szCs w:val="21"/>
                    </w:rPr>
                    <w:t>14</w:t>
                  </w:r>
                </w:p>
              </w:tc>
              <w:tc>
                <w:tcPr>
                  <w:tcW w:w="1305" w:type="pct"/>
                  <w:tcBorders>
                    <w:top w:val="single" w:color="auto" w:sz="4" w:space="0"/>
                    <w:left w:val="single" w:color="auto" w:sz="4" w:space="0"/>
                    <w:bottom w:val="single" w:color="auto" w:sz="4" w:space="0"/>
                    <w:right w:val="single" w:color="auto" w:sz="4" w:space="0"/>
                  </w:tcBorders>
                  <w:shd w:val="clear" w:color="auto" w:fill="auto"/>
                  <w:vAlign w:val="center"/>
                </w:tcPr>
                <w:p w14:paraId="3669C59F">
                  <w:pPr>
                    <w:adjustRightInd w:val="0"/>
                    <w:snapToGrid w:val="0"/>
                    <w:spacing w:line="240" w:lineRule="auto"/>
                    <w:ind w:firstLine="0" w:firstLineChars="0"/>
                    <w:jc w:val="center"/>
                    <w:rPr>
                      <w:kern w:val="0"/>
                      <w:sz w:val="21"/>
                      <w:szCs w:val="21"/>
                    </w:rPr>
                  </w:pPr>
                  <w:r>
                    <w:rPr>
                      <w:rFonts w:hint="eastAsia"/>
                      <w:kern w:val="0"/>
                      <w:sz w:val="21"/>
                      <w:szCs w:val="21"/>
                    </w:rPr>
                    <w:t>环境风险</w:t>
                  </w:r>
                </w:p>
              </w:tc>
              <w:tc>
                <w:tcPr>
                  <w:tcW w:w="2575" w:type="pct"/>
                  <w:tcBorders>
                    <w:top w:val="single" w:color="auto" w:sz="4" w:space="0"/>
                    <w:left w:val="single" w:color="auto" w:sz="4" w:space="0"/>
                    <w:bottom w:val="single" w:color="auto" w:sz="4" w:space="0"/>
                    <w:right w:val="single" w:color="auto" w:sz="4" w:space="0"/>
                  </w:tcBorders>
                  <w:shd w:val="clear" w:color="auto" w:fill="auto"/>
                  <w:vAlign w:val="center"/>
                </w:tcPr>
                <w:p w14:paraId="0F6FFE73">
                  <w:pPr>
                    <w:adjustRightInd w:val="0"/>
                    <w:snapToGrid w:val="0"/>
                    <w:spacing w:line="240" w:lineRule="auto"/>
                    <w:ind w:firstLine="0" w:firstLineChars="0"/>
                    <w:rPr>
                      <w:kern w:val="0"/>
                      <w:sz w:val="21"/>
                      <w:szCs w:val="21"/>
                    </w:rPr>
                  </w:pPr>
                  <w:r>
                    <w:rPr>
                      <w:rFonts w:hint="eastAsia"/>
                      <w:kern w:val="0"/>
                      <w:sz w:val="21"/>
                      <w:szCs w:val="21"/>
                    </w:rPr>
                    <w:t>柴油</w:t>
                  </w:r>
                  <w:r>
                    <w:rPr>
                      <w:kern w:val="0"/>
                      <w:sz w:val="21"/>
                      <w:szCs w:val="21"/>
                    </w:rPr>
                    <w:t>储罐及沥青储罐围堰容积不小于50m</w:t>
                  </w:r>
                  <w:r>
                    <w:rPr>
                      <w:kern w:val="0"/>
                      <w:sz w:val="21"/>
                      <w:szCs w:val="21"/>
                      <w:vertAlign w:val="superscript"/>
                    </w:rPr>
                    <w:t>3</w:t>
                  </w:r>
                  <w:r>
                    <w:rPr>
                      <w:kern w:val="0"/>
                      <w:sz w:val="21"/>
                      <w:szCs w:val="21"/>
                    </w:rPr>
                    <w:t>，并按照要求进行重点防渗处理</w:t>
                  </w:r>
                  <w:r>
                    <w:rPr>
                      <w:rFonts w:hint="eastAsia"/>
                      <w:kern w:val="0"/>
                      <w:sz w:val="21"/>
                      <w:szCs w:val="21"/>
                    </w:rPr>
                    <w:t>。</w:t>
                  </w:r>
                </w:p>
              </w:tc>
              <w:tc>
                <w:tcPr>
                  <w:tcW w:w="667" w:type="pct"/>
                  <w:tcBorders>
                    <w:top w:val="single" w:color="auto" w:sz="4" w:space="0"/>
                    <w:left w:val="single" w:color="auto" w:sz="4" w:space="0"/>
                    <w:bottom w:val="single" w:color="auto" w:sz="4" w:space="0"/>
                    <w:right w:val="single" w:color="auto" w:sz="4" w:space="0"/>
                  </w:tcBorders>
                  <w:shd w:val="clear" w:color="auto" w:fill="auto"/>
                  <w:vAlign w:val="center"/>
                </w:tcPr>
                <w:p w14:paraId="5E8AC9DF">
                  <w:pPr>
                    <w:adjustRightInd w:val="0"/>
                    <w:snapToGrid w:val="0"/>
                    <w:spacing w:line="240" w:lineRule="auto"/>
                    <w:ind w:firstLine="0" w:firstLineChars="0"/>
                    <w:jc w:val="center"/>
                    <w:rPr>
                      <w:kern w:val="0"/>
                      <w:sz w:val="21"/>
                      <w:szCs w:val="21"/>
                    </w:rPr>
                  </w:pPr>
                  <w:r>
                    <w:rPr>
                      <w:rFonts w:hint="eastAsia"/>
                      <w:kern w:val="0"/>
                      <w:sz w:val="21"/>
                      <w:szCs w:val="21"/>
                    </w:rPr>
                    <w:t>6.0</w:t>
                  </w:r>
                </w:p>
              </w:tc>
            </w:tr>
            <w:tr w14:paraId="195C0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3" w:hRule="atLeast"/>
              </w:trPr>
              <w:tc>
                <w:tcPr>
                  <w:tcW w:w="732" w:type="dxa"/>
                  <w:tcBorders>
                    <w:top w:val="single" w:color="auto" w:sz="4" w:space="0"/>
                    <w:left w:val="single" w:color="auto" w:sz="4" w:space="0"/>
                    <w:bottom w:val="single" w:color="auto" w:sz="4" w:space="0"/>
                    <w:right w:val="single" w:color="auto" w:sz="4" w:space="0"/>
                  </w:tcBorders>
                  <w:vAlign w:val="center"/>
                </w:tcPr>
                <w:p w14:paraId="33A02BFD">
                  <w:pPr>
                    <w:adjustRightInd w:val="0"/>
                    <w:snapToGrid w:val="0"/>
                    <w:spacing w:line="240" w:lineRule="auto"/>
                    <w:ind w:firstLine="0" w:firstLineChars="0"/>
                    <w:jc w:val="center"/>
                    <w:rPr>
                      <w:kern w:val="0"/>
                      <w:sz w:val="21"/>
                      <w:szCs w:val="21"/>
                    </w:rPr>
                  </w:pPr>
                  <w:r>
                    <w:rPr>
                      <w:rFonts w:hint="eastAsia"/>
                      <w:kern w:val="0"/>
                      <w:sz w:val="21"/>
                      <w:szCs w:val="21"/>
                    </w:rPr>
                    <w:t>15</w:t>
                  </w:r>
                </w:p>
              </w:tc>
              <w:tc>
                <w:tcPr>
                  <w:tcW w:w="1305" w:type="pct"/>
                  <w:tcBorders>
                    <w:top w:val="single" w:color="auto" w:sz="4" w:space="0"/>
                    <w:left w:val="single" w:color="auto" w:sz="4" w:space="0"/>
                    <w:bottom w:val="single" w:color="auto" w:sz="4" w:space="0"/>
                    <w:right w:val="single" w:color="auto" w:sz="4" w:space="0"/>
                  </w:tcBorders>
                  <w:shd w:val="clear" w:color="auto" w:fill="auto"/>
                  <w:vAlign w:val="center"/>
                </w:tcPr>
                <w:p w14:paraId="03A5A0A8">
                  <w:pPr>
                    <w:adjustRightInd w:val="0"/>
                    <w:snapToGrid w:val="0"/>
                    <w:spacing w:line="240" w:lineRule="auto"/>
                    <w:ind w:firstLine="0" w:firstLineChars="0"/>
                    <w:jc w:val="center"/>
                    <w:rPr>
                      <w:kern w:val="0"/>
                      <w:sz w:val="21"/>
                      <w:szCs w:val="21"/>
                    </w:rPr>
                  </w:pPr>
                  <w:r>
                    <w:rPr>
                      <w:kern w:val="0"/>
                      <w:sz w:val="21"/>
                      <w:szCs w:val="21"/>
                    </w:rPr>
                    <w:t>地下水、土壤</w:t>
                  </w:r>
                  <w:r>
                    <w:rPr>
                      <w:rFonts w:hint="eastAsia"/>
                      <w:kern w:val="0"/>
                      <w:sz w:val="21"/>
                      <w:szCs w:val="21"/>
                    </w:rPr>
                    <w:t>措施</w:t>
                  </w:r>
                </w:p>
              </w:tc>
              <w:tc>
                <w:tcPr>
                  <w:tcW w:w="2575" w:type="pct"/>
                  <w:tcBorders>
                    <w:top w:val="single" w:color="auto" w:sz="4" w:space="0"/>
                    <w:left w:val="single" w:color="auto" w:sz="4" w:space="0"/>
                    <w:bottom w:val="single" w:color="auto" w:sz="4" w:space="0"/>
                    <w:right w:val="single" w:color="auto" w:sz="4" w:space="0"/>
                  </w:tcBorders>
                  <w:shd w:val="clear" w:color="auto" w:fill="auto"/>
                  <w:vAlign w:val="center"/>
                </w:tcPr>
                <w:p w14:paraId="7FA7F685">
                  <w:pPr>
                    <w:adjustRightInd w:val="0"/>
                    <w:snapToGrid w:val="0"/>
                    <w:spacing w:line="240" w:lineRule="auto"/>
                    <w:ind w:firstLine="0" w:firstLineChars="0"/>
                    <w:jc w:val="center"/>
                    <w:rPr>
                      <w:kern w:val="0"/>
                      <w:sz w:val="21"/>
                      <w:szCs w:val="21"/>
                    </w:rPr>
                  </w:pPr>
                  <w:r>
                    <w:rPr>
                      <w:kern w:val="0"/>
                      <w:sz w:val="21"/>
                      <w:szCs w:val="21"/>
                    </w:rPr>
                    <w:t>重点防渗区：</w:t>
                  </w:r>
                  <w:r>
                    <w:rPr>
                      <w:rFonts w:hint="eastAsia"/>
                      <w:kern w:val="0"/>
                      <w:sz w:val="21"/>
                      <w:szCs w:val="21"/>
                    </w:rPr>
                    <w:t>危险废物暂存间</w:t>
                  </w:r>
                  <w:r>
                    <w:rPr>
                      <w:kern w:val="0"/>
                      <w:sz w:val="21"/>
                      <w:szCs w:val="21"/>
                    </w:rPr>
                    <w:t>、</w:t>
                  </w:r>
                  <w:r>
                    <w:rPr>
                      <w:rFonts w:hint="eastAsia"/>
                      <w:kern w:val="0"/>
                      <w:sz w:val="21"/>
                      <w:szCs w:val="21"/>
                    </w:rPr>
                    <w:t>沥青储罐区、柴油储罐区进行重点防渗，</w:t>
                  </w:r>
                  <w:r>
                    <w:rPr>
                      <w:kern w:val="0"/>
                      <w:sz w:val="21"/>
                      <w:szCs w:val="21"/>
                    </w:rPr>
                    <w:t>其中危险废物贮</w:t>
                  </w:r>
                </w:p>
                <w:p w14:paraId="66B0EEAB">
                  <w:pPr>
                    <w:adjustRightInd w:val="0"/>
                    <w:snapToGrid w:val="0"/>
                    <w:spacing w:line="240" w:lineRule="auto"/>
                    <w:ind w:firstLine="0" w:firstLineChars="0"/>
                    <w:jc w:val="center"/>
                    <w:rPr>
                      <w:kern w:val="0"/>
                      <w:sz w:val="21"/>
                      <w:szCs w:val="21"/>
                    </w:rPr>
                  </w:pPr>
                  <w:r>
                    <w:rPr>
                      <w:kern w:val="0"/>
                      <w:sz w:val="21"/>
                      <w:szCs w:val="21"/>
                    </w:rPr>
                    <w:t>存设施按照《危险废物贮存污染控制标</w:t>
                  </w:r>
                </w:p>
                <w:p w14:paraId="0BA7AC6F">
                  <w:pPr>
                    <w:adjustRightInd w:val="0"/>
                    <w:snapToGrid w:val="0"/>
                    <w:spacing w:line="240" w:lineRule="auto"/>
                    <w:ind w:firstLine="0" w:firstLineChars="0"/>
                    <w:jc w:val="center"/>
                    <w:rPr>
                      <w:kern w:val="0"/>
                      <w:sz w:val="21"/>
                      <w:szCs w:val="21"/>
                    </w:rPr>
                  </w:pPr>
                  <w:r>
                    <w:rPr>
                      <w:kern w:val="0"/>
                      <w:sz w:val="21"/>
                      <w:szCs w:val="21"/>
                    </w:rPr>
                    <w:t>准》（GB 18597-2023）中贮存设施污染</w:t>
                  </w:r>
                </w:p>
                <w:p w14:paraId="3DEB3B1A">
                  <w:pPr>
                    <w:adjustRightInd w:val="0"/>
                    <w:snapToGrid w:val="0"/>
                    <w:spacing w:line="240" w:lineRule="auto"/>
                    <w:ind w:firstLine="0" w:firstLineChars="0"/>
                    <w:jc w:val="center"/>
                    <w:rPr>
                      <w:kern w:val="0"/>
                      <w:sz w:val="21"/>
                      <w:szCs w:val="21"/>
                    </w:rPr>
                  </w:pPr>
                  <w:r>
                    <w:rPr>
                      <w:kern w:val="0"/>
                      <w:sz w:val="21"/>
                      <w:szCs w:val="21"/>
                    </w:rPr>
                    <w:t>控制要求设计；</w:t>
                  </w:r>
                </w:p>
                <w:p w14:paraId="4E010AAA">
                  <w:pPr>
                    <w:adjustRightInd w:val="0"/>
                    <w:snapToGrid w:val="0"/>
                    <w:spacing w:line="240" w:lineRule="auto"/>
                    <w:ind w:firstLine="0" w:firstLineChars="0"/>
                    <w:jc w:val="center"/>
                    <w:rPr>
                      <w:kern w:val="0"/>
                      <w:sz w:val="21"/>
                      <w:szCs w:val="21"/>
                    </w:rPr>
                  </w:pPr>
                  <w:r>
                    <w:rPr>
                      <w:kern w:val="0"/>
                      <w:sz w:val="21"/>
                      <w:szCs w:val="21"/>
                    </w:rPr>
                    <w:t>一般防渗区：</w:t>
                  </w:r>
                  <w:r>
                    <w:rPr>
                      <w:rFonts w:hint="eastAsia"/>
                      <w:kern w:val="0"/>
                      <w:sz w:val="21"/>
                      <w:szCs w:val="21"/>
                    </w:rPr>
                    <w:t>化粪池、一体化污水处理站、</w:t>
                  </w:r>
                  <w:r>
                    <w:rPr>
                      <w:kern w:val="0"/>
                      <w:sz w:val="21"/>
                      <w:szCs w:val="21"/>
                    </w:rPr>
                    <w:t>初期雨水收集池</w:t>
                  </w:r>
                  <w:r>
                    <w:rPr>
                      <w:rFonts w:hint="eastAsia"/>
                      <w:kern w:val="0"/>
                      <w:sz w:val="21"/>
                      <w:szCs w:val="21"/>
                    </w:rPr>
                    <w:t>进行一般防渗；</w:t>
                  </w:r>
                </w:p>
                <w:p w14:paraId="5BF8F586">
                  <w:pPr>
                    <w:adjustRightInd w:val="0"/>
                    <w:snapToGrid w:val="0"/>
                    <w:spacing w:line="240" w:lineRule="auto"/>
                    <w:ind w:firstLine="0" w:firstLineChars="0"/>
                    <w:jc w:val="center"/>
                    <w:rPr>
                      <w:kern w:val="0"/>
                      <w:sz w:val="21"/>
                      <w:szCs w:val="21"/>
                    </w:rPr>
                  </w:pPr>
                  <w:r>
                    <w:rPr>
                      <w:rFonts w:hint="eastAsia"/>
                      <w:kern w:val="0"/>
                      <w:sz w:val="21"/>
                      <w:szCs w:val="21"/>
                    </w:rPr>
                    <w:t>简单防渗区：其余生产区、原料仓库、道路等进行一般混凝土硬化</w:t>
                  </w:r>
                </w:p>
              </w:tc>
              <w:tc>
                <w:tcPr>
                  <w:tcW w:w="667" w:type="pct"/>
                  <w:tcBorders>
                    <w:top w:val="single" w:color="auto" w:sz="4" w:space="0"/>
                    <w:left w:val="single" w:color="auto" w:sz="4" w:space="0"/>
                    <w:bottom w:val="single" w:color="auto" w:sz="4" w:space="0"/>
                    <w:right w:val="single" w:color="auto" w:sz="4" w:space="0"/>
                  </w:tcBorders>
                  <w:shd w:val="clear" w:color="auto" w:fill="auto"/>
                  <w:vAlign w:val="center"/>
                </w:tcPr>
                <w:p w14:paraId="42798C9D">
                  <w:pPr>
                    <w:adjustRightInd w:val="0"/>
                    <w:snapToGrid w:val="0"/>
                    <w:spacing w:line="240" w:lineRule="auto"/>
                    <w:ind w:firstLine="0" w:firstLineChars="0"/>
                    <w:jc w:val="center"/>
                    <w:rPr>
                      <w:kern w:val="0"/>
                      <w:sz w:val="21"/>
                      <w:szCs w:val="21"/>
                    </w:rPr>
                  </w:pPr>
                  <w:r>
                    <w:rPr>
                      <w:rFonts w:hint="eastAsia"/>
                      <w:kern w:val="0"/>
                      <w:sz w:val="21"/>
                      <w:szCs w:val="21"/>
                    </w:rPr>
                    <w:t>8.0</w:t>
                  </w:r>
                </w:p>
              </w:tc>
            </w:tr>
            <w:tr w14:paraId="255E7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732" w:type="dxa"/>
                  <w:tcBorders>
                    <w:top w:val="single" w:color="auto" w:sz="4" w:space="0"/>
                    <w:left w:val="single" w:color="auto" w:sz="4" w:space="0"/>
                    <w:bottom w:val="single" w:color="auto" w:sz="4" w:space="0"/>
                    <w:right w:val="single" w:color="auto" w:sz="4" w:space="0"/>
                  </w:tcBorders>
                  <w:vAlign w:val="center"/>
                </w:tcPr>
                <w:p w14:paraId="6097CB3B">
                  <w:pPr>
                    <w:adjustRightInd w:val="0"/>
                    <w:snapToGrid w:val="0"/>
                    <w:spacing w:line="240" w:lineRule="auto"/>
                    <w:ind w:firstLine="0" w:firstLineChars="0"/>
                    <w:jc w:val="center"/>
                    <w:rPr>
                      <w:kern w:val="0"/>
                      <w:sz w:val="21"/>
                      <w:szCs w:val="21"/>
                    </w:rPr>
                  </w:pPr>
                  <w:r>
                    <w:rPr>
                      <w:rFonts w:hint="eastAsia"/>
                      <w:kern w:val="0"/>
                      <w:sz w:val="21"/>
                      <w:szCs w:val="21"/>
                    </w:rPr>
                    <w:t>16</w:t>
                  </w:r>
                </w:p>
              </w:tc>
              <w:tc>
                <w:tcPr>
                  <w:tcW w:w="1305" w:type="pct"/>
                  <w:tcBorders>
                    <w:top w:val="single" w:color="auto" w:sz="4" w:space="0"/>
                    <w:left w:val="single" w:color="auto" w:sz="4" w:space="0"/>
                    <w:bottom w:val="single" w:color="auto" w:sz="4" w:space="0"/>
                    <w:right w:val="single" w:color="auto" w:sz="4" w:space="0"/>
                  </w:tcBorders>
                  <w:shd w:val="clear" w:color="auto" w:fill="auto"/>
                  <w:vAlign w:val="center"/>
                </w:tcPr>
                <w:p w14:paraId="383C3E69">
                  <w:pPr>
                    <w:adjustRightInd w:val="0"/>
                    <w:snapToGrid w:val="0"/>
                    <w:spacing w:line="240" w:lineRule="auto"/>
                    <w:ind w:firstLine="0" w:firstLineChars="0"/>
                    <w:jc w:val="center"/>
                    <w:rPr>
                      <w:kern w:val="0"/>
                      <w:sz w:val="21"/>
                      <w:szCs w:val="21"/>
                    </w:rPr>
                  </w:pPr>
                  <w:r>
                    <w:rPr>
                      <w:rFonts w:hint="eastAsia"/>
                      <w:kern w:val="0"/>
                      <w:sz w:val="21"/>
                      <w:szCs w:val="21"/>
                    </w:rPr>
                    <w:t>绿化</w:t>
                  </w:r>
                </w:p>
              </w:tc>
              <w:tc>
                <w:tcPr>
                  <w:tcW w:w="2575" w:type="pct"/>
                  <w:tcBorders>
                    <w:top w:val="single" w:color="auto" w:sz="4" w:space="0"/>
                    <w:left w:val="single" w:color="auto" w:sz="4" w:space="0"/>
                    <w:bottom w:val="single" w:color="auto" w:sz="4" w:space="0"/>
                    <w:right w:val="single" w:color="auto" w:sz="4" w:space="0"/>
                  </w:tcBorders>
                  <w:shd w:val="clear" w:color="auto" w:fill="auto"/>
                  <w:vAlign w:val="center"/>
                </w:tcPr>
                <w:p w14:paraId="02506518">
                  <w:pPr>
                    <w:adjustRightInd w:val="0"/>
                    <w:snapToGrid w:val="0"/>
                    <w:spacing w:line="240" w:lineRule="auto"/>
                    <w:ind w:firstLine="0" w:firstLineChars="0"/>
                    <w:jc w:val="center"/>
                    <w:rPr>
                      <w:kern w:val="0"/>
                      <w:sz w:val="21"/>
                      <w:szCs w:val="21"/>
                    </w:rPr>
                  </w:pPr>
                  <w:r>
                    <w:rPr>
                      <w:rFonts w:hint="eastAsia"/>
                      <w:kern w:val="0"/>
                      <w:sz w:val="21"/>
                      <w:szCs w:val="21"/>
                    </w:rPr>
                    <w:t>绿化面积约958m</w:t>
                  </w:r>
                  <w:r>
                    <w:rPr>
                      <w:rFonts w:hint="eastAsia"/>
                      <w:kern w:val="0"/>
                      <w:sz w:val="21"/>
                      <w:szCs w:val="21"/>
                      <w:vertAlign w:val="superscript"/>
                    </w:rPr>
                    <w:t>2</w:t>
                  </w:r>
                </w:p>
              </w:tc>
              <w:tc>
                <w:tcPr>
                  <w:tcW w:w="667" w:type="pct"/>
                  <w:tcBorders>
                    <w:top w:val="single" w:color="auto" w:sz="4" w:space="0"/>
                    <w:left w:val="single" w:color="auto" w:sz="4" w:space="0"/>
                    <w:bottom w:val="single" w:color="auto" w:sz="4" w:space="0"/>
                    <w:right w:val="single" w:color="auto" w:sz="4" w:space="0"/>
                  </w:tcBorders>
                  <w:shd w:val="clear" w:color="auto" w:fill="auto"/>
                  <w:vAlign w:val="center"/>
                </w:tcPr>
                <w:p w14:paraId="66047E45">
                  <w:pPr>
                    <w:adjustRightInd w:val="0"/>
                    <w:snapToGrid w:val="0"/>
                    <w:spacing w:line="240" w:lineRule="auto"/>
                    <w:ind w:firstLine="0" w:firstLineChars="0"/>
                    <w:jc w:val="center"/>
                    <w:rPr>
                      <w:kern w:val="0"/>
                      <w:sz w:val="21"/>
                      <w:szCs w:val="21"/>
                    </w:rPr>
                  </w:pPr>
                  <w:r>
                    <w:rPr>
                      <w:rFonts w:hint="eastAsia"/>
                      <w:kern w:val="0"/>
                      <w:sz w:val="21"/>
                      <w:szCs w:val="21"/>
                    </w:rPr>
                    <w:t>2.0</w:t>
                  </w:r>
                </w:p>
              </w:tc>
            </w:tr>
            <w:tr w14:paraId="55B23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332" w:type="pct"/>
                  <w:gridSpan w:val="3"/>
                  <w:tcBorders>
                    <w:top w:val="single" w:color="auto" w:sz="4" w:space="0"/>
                    <w:left w:val="single" w:color="auto" w:sz="4" w:space="0"/>
                    <w:bottom w:val="single" w:color="auto" w:sz="4" w:space="0"/>
                    <w:right w:val="single" w:color="auto" w:sz="4" w:space="0"/>
                  </w:tcBorders>
                  <w:vAlign w:val="center"/>
                </w:tcPr>
                <w:p w14:paraId="1969BB4F">
                  <w:pPr>
                    <w:adjustRightInd w:val="0"/>
                    <w:snapToGrid w:val="0"/>
                    <w:spacing w:line="240" w:lineRule="auto"/>
                    <w:ind w:firstLine="0" w:firstLineChars="0"/>
                    <w:jc w:val="center"/>
                    <w:rPr>
                      <w:kern w:val="0"/>
                      <w:sz w:val="21"/>
                      <w:szCs w:val="21"/>
                    </w:rPr>
                  </w:pPr>
                  <w:r>
                    <w:rPr>
                      <w:rFonts w:hint="eastAsia"/>
                      <w:kern w:val="0"/>
                      <w:sz w:val="21"/>
                      <w:szCs w:val="21"/>
                    </w:rPr>
                    <w:t>合计</w:t>
                  </w:r>
                </w:p>
              </w:tc>
              <w:tc>
                <w:tcPr>
                  <w:tcW w:w="667" w:type="pct"/>
                  <w:tcBorders>
                    <w:top w:val="single" w:color="auto" w:sz="4" w:space="0"/>
                    <w:left w:val="single" w:color="auto" w:sz="4" w:space="0"/>
                    <w:bottom w:val="single" w:color="auto" w:sz="4" w:space="0"/>
                    <w:right w:val="single" w:color="auto" w:sz="4" w:space="0"/>
                  </w:tcBorders>
                  <w:vAlign w:val="center"/>
                </w:tcPr>
                <w:p w14:paraId="3D2CB9DF">
                  <w:pPr>
                    <w:adjustRightInd w:val="0"/>
                    <w:snapToGrid w:val="0"/>
                    <w:spacing w:line="240" w:lineRule="auto"/>
                    <w:ind w:firstLine="0" w:firstLineChars="0"/>
                    <w:jc w:val="center"/>
                    <w:rPr>
                      <w:kern w:val="0"/>
                      <w:sz w:val="21"/>
                      <w:szCs w:val="21"/>
                    </w:rPr>
                  </w:pPr>
                  <w:r>
                    <w:rPr>
                      <w:rFonts w:hint="eastAsia"/>
                      <w:kern w:val="0"/>
                      <w:sz w:val="21"/>
                      <w:szCs w:val="21"/>
                    </w:rPr>
                    <w:t>96.9</w:t>
                  </w:r>
                </w:p>
              </w:tc>
            </w:tr>
          </w:tbl>
          <w:p w14:paraId="11D84DE2">
            <w:pPr>
              <w:ind w:firstLine="0" w:firstLineChars="0"/>
              <w:rPr>
                <w:rFonts w:cs="宋体"/>
                <w:b/>
              </w:rPr>
            </w:pPr>
          </w:p>
        </w:tc>
      </w:tr>
      <w:tr w14:paraId="2CAA5C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22" w:hRule="atLeast"/>
          <w:jc w:val="center"/>
        </w:trPr>
        <w:tc>
          <w:tcPr>
            <w:tcW w:w="601" w:type="dxa"/>
            <w:tcBorders>
              <w:top w:val="single" w:color="auto" w:sz="4" w:space="0"/>
              <w:left w:val="single" w:color="auto" w:sz="8" w:space="0"/>
              <w:bottom w:val="single" w:color="auto" w:sz="4" w:space="0"/>
              <w:right w:val="single" w:color="auto" w:sz="4" w:space="0"/>
            </w:tcBorders>
            <w:shd w:val="clear" w:color="auto" w:fill="auto"/>
            <w:vAlign w:val="center"/>
          </w:tcPr>
          <w:p w14:paraId="124E679E">
            <w:pPr>
              <w:pStyle w:val="22"/>
              <w:adjustRightInd w:val="0"/>
              <w:snapToGrid w:val="0"/>
              <w:spacing w:before="0" w:beforeAutospacing="0" w:after="0" w:afterAutospacing="0" w:line="240" w:lineRule="auto"/>
              <w:ind w:firstLine="0" w:firstLineChars="0"/>
              <w:jc w:val="center"/>
              <w:rPr>
                <w:rFonts w:ascii="Times New Roman" w:hAnsi="Times New Roman" w:cs="宋体"/>
                <w:szCs w:val="24"/>
              </w:rPr>
            </w:pPr>
          </w:p>
          <w:p w14:paraId="18E40BAE">
            <w:pPr>
              <w:pStyle w:val="22"/>
              <w:adjustRightInd w:val="0"/>
              <w:snapToGrid w:val="0"/>
              <w:spacing w:before="0" w:beforeAutospacing="0" w:after="0" w:afterAutospacing="0" w:line="240" w:lineRule="auto"/>
              <w:ind w:firstLine="0" w:firstLineChars="0"/>
              <w:jc w:val="center"/>
              <w:rPr>
                <w:rFonts w:ascii="Times New Roman" w:hAnsi="Times New Roman" w:cs="宋体"/>
                <w:szCs w:val="24"/>
              </w:rPr>
            </w:pPr>
          </w:p>
          <w:p w14:paraId="1DBCCBBC">
            <w:pPr>
              <w:pStyle w:val="22"/>
              <w:adjustRightInd w:val="0"/>
              <w:snapToGrid w:val="0"/>
              <w:spacing w:before="0" w:beforeAutospacing="0" w:after="0" w:afterAutospacing="0" w:line="240" w:lineRule="auto"/>
              <w:ind w:firstLine="0" w:firstLineChars="0"/>
              <w:jc w:val="center"/>
              <w:rPr>
                <w:rFonts w:ascii="Times New Roman" w:hAnsi="Times New Roman" w:cs="宋体"/>
                <w:szCs w:val="24"/>
              </w:rPr>
            </w:pPr>
          </w:p>
          <w:p w14:paraId="140EC55D">
            <w:pPr>
              <w:pStyle w:val="22"/>
              <w:adjustRightInd w:val="0"/>
              <w:snapToGrid w:val="0"/>
              <w:spacing w:before="0" w:beforeAutospacing="0" w:after="0" w:afterAutospacing="0" w:line="240" w:lineRule="auto"/>
              <w:ind w:firstLine="0" w:firstLineChars="0"/>
              <w:jc w:val="center"/>
              <w:rPr>
                <w:rFonts w:ascii="Times New Roman" w:hAnsi="Times New Roman" w:cs="宋体"/>
                <w:szCs w:val="24"/>
              </w:rPr>
            </w:pPr>
          </w:p>
          <w:p w14:paraId="62684CD9">
            <w:pPr>
              <w:pStyle w:val="22"/>
              <w:adjustRightInd w:val="0"/>
              <w:snapToGrid w:val="0"/>
              <w:spacing w:before="0" w:beforeAutospacing="0" w:after="0" w:afterAutospacing="0" w:line="240" w:lineRule="auto"/>
              <w:ind w:firstLine="0" w:firstLineChars="0"/>
              <w:jc w:val="center"/>
              <w:rPr>
                <w:rFonts w:ascii="Times New Roman" w:hAnsi="Times New Roman" w:cs="宋体"/>
                <w:szCs w:val="24"/>
              </w:rPr>
            </w:pPr>
          </w:p>
          <w:p w14:paraId="44E7F2D9">
            <w:pPr>
              <w:pStyle w:val="22"/>
              <w:adjustRightInd w:val="0"/>
              <w:snapToGrid w:val="0"/>
              <w:spacing w:before="0" w:beforeAutospacing="0" w:after="0" w:afterAutospacing="0" w:line="240" w:lineRule="auto"/>
              <w:ind w:firstLine="0" w:firstLineChars="0"/>
              <w:jc w:val="center"/>
              <w:rPr>
                <w:rFonts w:ascii="Times New Roman" w:hAnsi="Times New Roman" w:cs="宋体"/>
                <w:szCs w:val="24"/>
              </w:rPr>
            </w:pPr>
          </w:p>
          <w:p w14:paraId="7CE90A44">
            <w:pPr>
              <w:pStyle w:val="22"/>
              <w:adjustRightInd w:val="0"/>
              <w:snapToGrid w:val="0"/>
              <w:spacing w:before="0" w:beforeAutospacing="0" w:after="0" w:afterAutospacing="0" w:line="240" w:lineRule="auto"/>
              <w:ind w:firstLine="0" w:firstLineChars="0"/>
              <w:jc w:val="center"/>
              <w:rPr>
                <w:rFonts w:ascii="Times New Roman" w:hAnsi="Times New Roman" w:cs="宋体"/>
                <w:szCs w:val="24"/>
              </w:rPr>
            </w:pPr>
          </w:p>
          <w:p w14:paraId="70BBC141">
            <w:pPr>
              <w:pStyle w:val="22"/>
              <w:adjustRightInd w:val="0"/>
              <w:snapToGrid w:val="0"/>
              <w:spacing w:before="0" w:beforeAutospacing="0" w:after="0" w:afterAutospacing="0" w:line="240" w:lineRule="auto"/>
              <w:ind w:firstLine="0" w:firstLineChars="0"/>
              <w:jc w:val="center"/>
              <w:rPr>
                <w:rFonts w:ascii="Times New Roman" w:hAnsi="Times New Roman" w:cs="宋体"/>
                <w:szCs w:val="24"/>
              </w:rPr>
            </w:pPr>
          </w:p>
          <w:p w14:paraId="2A09941A">
            <w:pPr>
              <w:pStyle w:val="22"/>
              <w:adjustRightInd w:val="0"/>
              <w:snapToGrid w:val="0"/>
              <w:spacing w:before="0" w:beforeAutospacing="0" w:after="0" w:afterAutospacing="0" w:line="240" w:lineRule="auto"/>
              <w:ind w:firstLine="0" w:firstLineChars="0"/>
              <w:jc w:val="center"/>
              <w:rPr>
                <w:rFonts w:ascii="Times New Roman" w:hAnsi="Times New Roman" w:cs="宋体"/>
                <w:szCs w:val="24"/>
              </w:rPr>
            </w:pPr>
          </w:p>
          <w:p w14:paraId="03263612">
            <w:pPr>
              <w:pStyle w:val="22"/>
              <w:adjustRightInd w:val="0"/>
              <w:snapToGrid w:val="0"/>
              <w:spacing w:before="0" w:beforeAutospacing="0" w:after="0" w:afterAutospacing="0" w:line="240" w:lineRule="auto"/>
              <w:ind w:firstLine="0" w:firstLineChars="0"/>
              <w:jc w:val="center"/>
              <w:rPr>
                <w:rFonts w:ascii="Times New Roman" w:hAnsi="Times New Roman" w:cs="宋体"/>
                <w:szCs w:val="24"/>
              </w:rPr>
            </w:pPr>
          </w:p>
          <w:p w14:paraId="4088A346">
            <w:pPr>
              <w:pStyle w:val="22"/>
              <w:adjustRightInd w:val="0"/>
              <w:snapToGrid w:val="0"/>
              <w:spacing w:before="0" w:beforeAutospacing="0" w:after="0" w:afterAutospacing="0" w:line="240" w:lineRule="auto"/>
              <w:ind w:firstLine="0" w:firstLineChars="0"/>
              <w:jc w:val="center"/>
              <w:rPr>
                <w:rFonts w:ascii="Times New Roman" w:hAnsi="Times New Roman" w:cs="宋体"/>
                <w:szCs w:val="24"/>
              </w:rPr>
            </w:pPr>
          </w:p>
          <w:p w14:paraId="29AEC561">
            <w:pPr>
              <w:pStyle w:val="22"/>
              <w:adjustRightInd w:val="0"/>
              <w:snapToGrid w:val="0"/>
              <w:spacing w:before="0" w:beforeAutospacing="0" w:after="0" w:afterAutospacing="0" w:line="240" w:lineRule="auto"/>
              <w:ind w:firstLine="0" w:firstLineChars="0"/>
              <w:jc w:val="center"/>
              <w:rPr>
                <w:rFonts w:ascii="Times New Roman" w:hAnsi="Times New Roman" w:cs="宋体"/>
                <w:szCs w:val="24"/>
              </w:rPr>
            </w:pPr>
          </w:p>
          <w:p w14:paraId="69B59D27">
            <w:pPr>
              <w:pStyle w:val="22"/>
              <w:adjustRightInd w:val="0"/>
              <w:snapToGrid w:val="0"/>
              <w:spacing w:before="0" w:beforeAutospacing="0" w:after="0" w:afterAutospacing="0" w:line="240" w:lineRule="auto"/>
              <w:ind w:firstLine="0" w:firstLineChars="0"/>
              <w:jc w:val="center"/>
              <w:rPr>
                <w:rFonts w:ascii="Times New Roman" w:hAnsi="Times New Roman" w:cs="宋体"/>
                <w:szCs w:val="24"/>
              </w:rPr>
            </w:pPr>
          </w:p>
          <w:p w14:paraId="58BCC934">
            <w:pPr>
              <w:pStyle w:val="22"/>
              <w:adjustRightInd w:val="0"/>
              <w:snapToGrid w:val="0"/>
              <w:spacing w:before="0" w:beforeAutospacing="0" w:after="0" w:afterAutospacing="0" w:line="240" w:lineRule="auto"/>
              <w:ind w:firstLine="0" w:firstLineChars="0"/>
              <w:jc w:val="center"/>
              <w:rPr>
                <w:rFonts w:ascii="Times New Roman" w:hAnsi="Times New Roman" w:cs="宋体"/>
                <w:szCs w:val="24"/>
              </w:rPr>
            </w:pPr>
          </w:p>
          <w:p w14:paraId="6830ACC3">
            <w:pPr>
              <w:pStyle w:val="22"/>
              <w:adjustRightInd w:val="0"/>
              <w:snapToGrid w:val="0"/>
              <w:spacing w:before="0" w:beforeAutospacing="0" w:after="0" w:afterAutospacing="0" w:line="240" w:lineRule="auto"/>
              <w:ind w:firstLine="0" w:firstLineChars="0"/>
              <w:jc w:val="center"/>
              <w:rPr>
                <w:rFonts w:ascii="Times New Roman" w:hAnsi="Times New Roman" w:cs="宋体"/>
                <w:szCs w:val="24"/>
              </w:rPr>
            </w:pPr>
          </w:p>
          <w:p w14:paraId="26833C58">
            <w:pPr>
              <w:pStyle w:val="22"/>
              <w:adjustRightInd w:val="0"/>
              <w:snapToGrid w:val="0"/>
              <w:spacing w:before="0" w:beforeAutospacing="0" w:after="0" w:afterAutospacing="0" w:line="240" w:lineRule="auto"/>
              <w:ind w:firstLine="0" w:firstLineChars="0"/>
              <w:jc w:val="center"/>
              <w:rPr>
                <w:rFonts w:ascii="Times New Roman" w:hAnsi="Times New Roman" w:cs="宋体"/>
                <w:szCs w:val="24"/>
              </w:rPr>
            </w:pPr>
          </w:p>
          <w:p w14:paraId="49870ACE">
            <w:pPr>
              <w:pStyle w:val="22"/>
              <w:adjustRightInd w:val="0"/>
              <w:snapToGrid w:val="0"/>
              <w:spacing w:before="0" w:beforeAutospacing="0" w:after="0" w:afterAutospacing="0" w:line="240" w:lineRule="auto"/>
              <w:ind w:firstLine="0" w:firstLineChars="0"/>
              <w:jc w:val="center"/>
              <w:rPr>
                <w:rFonts w:ascii="Times New Roman" w:hAnsi="Times New Roman" w:cs="宋体"/>
                <w:szCs w:val="24"/>
              </w:rPr>
            </w:pPr>
          </w:p>
          <w:p w14:paraId="1BFB4CCC">
            <w:pPr>
              <w:pStyle w:val="22"/>
              <w:adjustRightInd w:val="0"/>
              <w:snapToGrid w:val="0"/>
              <w:spacing w:before="0" w:beforeAutospacing="0" w:after="0" w:afterAutospacing="0" w:line="240" w:lineRule="auto"/>
              <w:ind w:firstLine="0" w:firstLineChars="0"/>
              <w:jc w:val="center"/>
              <w:rPr>
                <w:rFonts w:ascii="Times New Roman" w:hAnsi="Times New Roman" w:cs="宋体"/>
                <w:szCs w:val="24"/>
              </w:rPr>
            </w:pPr>
          </w:p>
          <w:p w14:paraId="3A2419E8">
            <w:pPr>
              <w:pStyle w:val="22"/>
              <w:adjustRightInd w:val="0"/>
              <w:snapToGrid w:val="0"/>
              <w:spacing w:before="0" w:beforeAutospacing="0" w:after="0" w:afterAutospacing="0" w:line="240" w:lineRule="auto"/>
              <w:ind w:firstLine="0" w:firstLineChars="0"/>
              <w:jc w:val="center"/>
              <w:rPr>
                <w:rFonts w:ascii="Times New Roman" w:hAnsi="Times New Roman" w:cs="宋体"/>
                <w:szCs w:val="24"/>
              </w:rPr>
            </w:pPr>
          </w:p>
          <w:p w14:paraId="15FE5106">
            <w:pPr>
              <w:pStyle w:val="22"/>
              <w:adjustRightInd w:val="0"/>
              <w:snapToGrid w:val="0"/>
              <w:spacing w:before="0" w:beforeAutospacing="0" w:after="0" w:afterAutospacing="0" w:line="240" w:lineRule="auto"/>
              <w:ind w:firstLine="0" w:firstLineChars="0"/>
              <w:jc w:val="center"/>
              <w:rPr>
                <w:rFonts w:ascii="Times New Roman" w:hAnsi="Times New Roman" w:cs="宋体"/>
                <w:szCs w:val="24"/>
              </w:rPr>
            </w:pPr>
          </w:p>
          <w:p w14:paraId="630C322E">
            <w:pPr>
              <w:pStyle w:val="22"/>
              <w:adjustRightInd w:val="0"/>
              <w:snapToGrid w:val="0"/>
              <w:spacing w:before="0" w:beforeAutospacing="0" w:after="0" w:afterAutospacing="0" w:line="240" w:lineRule="auto"/>
              <w:ind w:firstLine="0" w:firstLineChars="0"/>
              <w:jc w:val="center"/>
              <w:rPr>
                <w:rFonts w:ascii="Times New Roman" w:hAnsi="Times New Roman"/>
                <w:szCs w:val="24"/>
              </w:rPr>
            </w:pPr>
            <w:r>
              <w:rPr>
                <w:rFonts w:ascii="Times New Roman" w:hAnsi="Times New Roman" w:cs="宋体"/>
                <w:szCs w:val="24"/>
              </w:rPr>
              <w:t>工艺流程和产排污环节</w:t>
            </w:r>
          </w:p>
        </w:tc>
        <w:tc>
          <w:tcPr>
            <w:tcW w:w="8383" w:type="dxa"/>
            <w:tcBorders>
              <w:top w:val="single" w:color="auto" w:sz="4" w:space="0"/>
              <w:left w:val="single" w:color="auto" w:sz="4" w:space="0"/>
              <w:bottom w:val="single" w:color="auto" w:sz="4" w:space="0"/>
              <w:right w:val="single" w:color="auto" w:sz="8" w:space="0"/>
            </w:tcBorders>
            <w:shd w:val="clear" w:color="auto" w:fill="auto"/>
          </w:tcPr>
          <w:p w14:paraId="3DE77958">
            <w:pPr>
              <w:numPr>
                <w:ilvl w:val="0"/>
                <w:numId w:val="7"/>
              </w:numPr>
              <w:ind w:firstLine="482"/>
              <w:rPr>
                <w:rFonts w:cs="宋体"/>
                <w:b/>
                <w:bCs/>
              </w:rPr>
            </w:pPr>
            <w:r>
              <w:rPr>
                <w:rFonts w:hint="eastAsia" w:cs="宋体"/>
                <w:b/>
                <w:bCs/>
              </w:rPr>
              <w:t>施工期工艺流程及产污环节</w:t>
            </w:r>
          </w:p>
          <w:p w14:paraId="26B865BD">
            <w:pPr>
              <w:ind w:firstLine="480"/>
            </w:pPr>
            <w:r>
              <w:rPr>
                <w:rFonts w:hint="eastAsia"/>
                <w:bCs/>
              </w:rPr>
              <w:t>根据项目特点，项目建设需建设</w:t>
            </w:r>
            <w:r>
              <w:rPr>
                <w:rFonts w:hint="eastAsia"/>
              </w:rPr>
              <w:t>沥青拌和楼、办公楼等设施，建设计划为从2026年10月开始建设，到2027年1月结束，施工期为3个月，</w:t>
            </w:r>
            <w:r>
              <w:rPr>
                <w:kern w:val="0"/>
              </w:rPr>
              <w:t>施工人员</w:t>
            </w:r>
            <w:r>
              <w:rPr>
                <w:rFonts w:hint="eastAsia"/>
                <w:kern w:val="0"/>
              </w:rPr>
              <w:t>平均</w:t>
            </w:r>
            <w:r>
              <w:rPr>
                <w:kern w:val="0"/>
              </w:rPr>
              <w:t>为</w:t>
            </w:r>
            <w:r>
              <w:rPr>
                <w:rFonts w:hint="eastAsia"/>
                <w:kern w:val="0"/>
              </w:rPr>
              <w:t>20</w:t>
            </w:r>
            <w:r>
              <w:rPr>
                <w:kern w:val="0"/>
              </w:rPr>
              <w:t>人</w:t>
            </w:r>
            <w:r>
              <w:rPr>
                <w:rFonts w:hint="eastAsia"/>
                <w:kern w:val="0"/>
              </w:rPr>
              <w:t>/d</w:t>
            </w:r>
            <w:r>
              <w:rPr>
                <w:kern w:val="0"/>
              </w:rPr>
              <w:t>，</w:t>
            </w:r>
            <w:r>
              <w:rPr>
                <w:rFonts w:hint="eastAsia"/>
              </w:rPr>
              <w:t>施工人员租用附近的民房，</w:t>
            </w:r>
            <w:r>
              <w:rPr>
                <w:kern w:val="0"/>
              </w:rPr>
              <w:t>不设施工营地，施工人员不在项目区食宿。</w:t>
            </w:r>
            <w:r>
              <w:rPr>
                <w:spacing w:val="-1"/>
              </w:rPr>
              <w:t>项目施工期工艺流程及产污环节见</w:t>
            </w:r>
            <w:r>
              <w:rPr>
                <w:rFonts w:hint="eastAsia"/>
                <w:spacing w:val="-1"/>
              </w:rPr>
              <w:t>下</w:t>
            </w:r>
            <w:r>
              <w:rPr>
                <w:spacing w:val="-1"/>
              </w:rPr>
              <w:t>图</w:t>
            </w:r>
            <w:r>
              <w:rPr>
                <w:spacing w:val="-2"/>
              </w:rPr>
              <w:t>。</w:t>
            </w:r>
          </w:p>
          <w:p w14:paraId="2E64EC7D">
            <w:pPr>
              <w:ind w:firstLine="480"/>
              <w:jc w:val="center"/>
            </w:pPr>
            <w:r>
              <w:object>
                <v:shape id="_x0000_i1025" o:spt="75" type="#_x0000_t75" style="height:113.35pt;width:362.7pt;" o:ole="t" filled="f" o:preferrelative="t" stroked="f" coordsize="21600,21600">
                  <v:path/>
                  <v:fill on="f" focussize="0,0"/>
                  <v:stroke on="f" joinstyle="miter"/>
                  <v:imagedata r:id="rId13" o:title=""/>
                  <o:lock v:ext="edit" aspectratio="f"/>
                  <w10:wrap type="none"/>
                  <w10:anchorlock/>
                </v:shape>
                <o:OLEObject Type="Embed" ProgID="Visio.Drawing.11" ShapeID="_x0000_i1025" DrawAspect="Content" ObjectID="_1468075725" r:id="rId12">
                  <o:LockedField>false</o:LockedField>
                </o:OLEObject>
              </w:object>
            </w:r>
          </w:p>
          <w:p w14:paraId="2D46BF47">
            <w:pPr>
              <w:ind w:firstLine="418"/>
              <w:jc w:val="center"/>
              <w:rPr>
                <w:b/>
                <w:bCs/>
                <w:color w:val="000000" w:themeColor="text1"/>
                <w14:textFill>
                  <w14:solidFill>
                    <w14:schemeClr w14:val="tx1"/>
                  </w14:solidFill>
                </w14:textFill>
              </w:rPr>
            </w:pPr>
            <w:r>
              <w:rPr>
                <w:b/>
                <w:bCs/>
                <w:color w:val="000000" w:themeColor="text1"/>
                <w:spacing w:val="-1"/>
                <w:sz w:val="21"/>
                <w:szCs w:val="21"/>
                <w14:textFill>
                  <w14:solidFill>
                    <w14:schemeClr w14:val="tx1"/>
                  </w14:solidFill>
                </w14:textFill>
              </w:rPr>
              <w:t>图</w:t>
            </w:r>
            <w:r>
              <w:rPr>
                <w:rFonts w:hint="eastAsia" w:eastAsia="Times New Roman"/>
                <w:b/>
                <w:bCs/>
                <w:color w:val="000000" w:themeColor="text1"/>
                <w:spacing w:val="-1"/>
                <w:sz w:val="21"/>
                <w:szCs w:val="21"/>
                <w14:textFill>
                  <w14:solidFill>
                    <w14:schemeClr w14:val="tx1"/>
                  </w14:solidFill>
                </w14:textFill>
              </w:rPr>
              <w:t xml:space="preserve">2-3 </w:t>
            </w:r>
            <w:r>
              <w:rPr>
                <w:b/>
                <w:bCs/>
                <w:color w:val="000000" w:themeColor="text1"/>
                <w:spacing w:val="-1"/>
                <w:sz w:val="21"/>
                <w:szCs w:val="21"/>
                <w14:textFill>
                  <w14:solidFill>
                    <w14:schemeClr w14:val="tx1"/>
                  </w14:solidFill>
                </w14:textFill>
              </w:rPr>
              <w:t xml:space="preserve">  施工</w:t>
            </w:r>
            <w:r>
              <w:rPr>
                <w:rFonts w:hint="eastAsia"/>
                <w:b/>
                <w:bCs/>
                <w:color w:val="000000" w:themeColor="text1"/>
                <w:spacing w:val="-1"/>
                <w:sz w:val="21"/>
                <w:szCs w:val="21"/>
                <w14:textFill>
                  <w14:solidFill>
                    <w14:schemeClr w14:val="tx1"/>
                  </w14:solidFill>
                </w14:textFill>
              </w:rPr>
              <w:t>期</w:t>
            </w:r>
            <w:r>
              <w:rPr>
                <w:b/>
                <w:bCs/>
                <w:color w:val="000000" w:themeColor="text1"/>
                <w:spacing w:val="-1"/>
                <w:sz w:val="21"/>
                <w:szCs w:val="21"/>
                <w14:textFill>
                  <w14:solidFill>
                    <w14:schemeClr w14:val="tx1"/>
                  </w14:solidFill>
                </w14:textFill>
              </w:rPr>
              <w:t>工艺流程及产污节点图</w:t>
            </w:r>
          </w:p>
          <w:p w14:paraId="6D4F4D8A">
            <w:pPr>
              <w:ind w:firstLine="480"/>
            </w:pPr>
            <w:r>
              <w:t>项目施工期产生的主要污染物如下：</w:t>
            </w:r>
          </w:p>
          <w:p w14:paraId="33FC6EA7">
            <w:pPr>
              <w:ind w:firstLine="480"/>
            </w:pPr>
            <w:r>
              <w:t>（1）废气：施工期大气污染物主要为施工粉尘、焊接废气、各种动力机械废气以及汽车运输尾气。</w:t>
            </w:r>
          </w:p>
          <w:p w14:paraId="50DD96E2">
            <w:pPr>
              <w:ind w:firstLine="480"/>
            </w:pPr>
            <w:r>
              <w:t>（2）废水：施工期废水主要为施工人员生活污水（主要为洗手废水）及施工废水。</w:t>
            </w:r>
          </w:p>
          <w:p w14:paraId="6D5D3E0A">
            <w:pPr>
              <w:ind w:firstLine="480"/>
            </w:pPr>
            <w:r>
              <w:t>（3）噪声：主要为施工机械及运输车辆产生的噪声。</w:t>
            </w:r>
          </w:p>
          <w:p w14:paraId="2CE5EF2C">
            <w:pPr>
              <w:ind w:firstLine="480"/>
            </w:pPr>
            <w:r>
              <w:t>（4）固体废物：</w:t>
            </w:r>
            <w:r>
              <w:rPr>
                <w:rFonts w:hint="eastAsia"/>
              </w:rPr>
              <w:t>主要</w:t>
            </w:r>
            <w:r>
              <w:t>为</w:t>
            </w:r>
            <w:r>
              <w:rPr>
                <w:rFonts w:hint="eastAsia"/>
              </w:rPr>
              <w:t>原料仓库、办公楼</w:t>
            </w:r>
            <w:r>
              <w:t>及其他辅助设施建设过程中产生的建筑垃圾，</w:t>
            </w:r>
            <w:r>
              <w:rPr>
                <w:rFonts w:hint="eastAsia"/>
              </w:rPr>
              <w:t>设备安装调试过程中产生的包装废弃物、</w:t>
            </w:r>
            <w:r>
              <w:t>施工人员产生的生活垃圾。</w:t>
            </w:r>
          </w:p>
          <w:p w14:paraId="6DD25DD7">
            <w:pPr>
              <w:numPr>
                <w:ilvl w:val="0"/>
                <w:numId w:val="7"/>
              </w:numPr>
              <w:ind w:firstLine="482"/>
              <w:rPr>
                <w:rFonts w:cs="宋体"/>
                <w:b/>
                <w:bCs/>
              </w:rPr>
            </w:pPr>
            <w:r>
              <w:rPr>
                <w:rFonts w:hint="eastAsia" w:cs="宋体"/>
                <w:b/>
                <w:bCs/>
              </w:rPr>
              <w:t>运营期工艺流程及产污环节</w:t>
            </w:r>
          </w:p>
          <w:p w14:paraId="4AF207A4">
            <w:pPr>
              <w:ind w:firstLine="476"/>
              <w:rPr>
                <w:color w:val="000000" w:themeColor="text1"/>
                <w14:textFill>
                  <w14:solidFill>
                    <w14:schemeClr w14:val="tx1"/>
                  </w14:solidFill>
                </w14:textFill>
              </w:rPr>
            </w:pPr>
            <w:r>
              <w:rPr>
                <w:rFonts w:ascii="宋体" w:hAnsi="宋体" w:cs="宋体"/>
                <w:spacing w:val="-1"/>
              </w:rPr>
              <w:t>本项目运营期沥青混凝土生产工艺流程详见下</w:t>
            </w:r>
            <w:r>
              <w:rPr>
                <w:rFonts w:hint="eastAsia" w:cs="宋体"/>
                <w:color w:val="000000" w:themeColor="text1"/>
                <w14:textFill>
                  <w14:solidFill>
                    <w14:schemeClr w14:val="tx1"/>
                  </w14:solidFill>
                </w14:textFill>
              </w:rPr>
              <w:t>图</w:t>
            </w:r>
            <w:r>
              <w:rPr>
                <w:rFonts w:hint="eastAsia"/>
                <w:color w:val="000000" w:themeColor="text1"/>
                <w14:textFill>
                  <w14:solidFill>
                    <w14:schemeClr w14:val="tx1"/>
                  </w14:solidFill>
                </w14:textFill>
              </w:rPr>
              <w:t>。</w:t>
            </w:r>
          </w:p>
          <w:p w14:paraId="73C1D2D8">
            <w:pPr>
              <w:ind w:firstLine="480"/>
              <w:rPr>
                <w:color w:val="000000" w:themeColor="text1"/>
                <w14:textFill>
                  <w14:solidFill>
                    <w14:schemeClr w14:val="tx1"/>
                  </w14:solidFill>
                </w14:textFill>
              </w:rPr>
            </w:pPr>
          </w:p>
          <w:p w14:paraId="273871D2">
            <w:pPr>
              <w:ind w:firstLine="480"/>
              <w:rPr>
                <w:color w:val="000000" w:themeColor="text1"/>
                <w14:textFill>
                  <w14:solidFill>
                    <w14:schemeClr w14:val="tx1"/>
                  </w14:solidFill>
                </w14:textFill>
              </w:rPr>
            </w:pPr>
          </w:p>
          <w:p w14:paraId="5E6532C0">
            <w:pPr>
              <w:ind w:firstLine="480"/>
              <w:rPr>
                <w:color w:val="000000" w:themeColor="text1"/>
                <w14:textFill>
                  <w14:solidFill>
                    <w14:schemeClr w14:val="tx1"/>
                  </w14:solidFill>
                </w14:textFill>
              </w:rPr>
            </w:pPr>
          </w:p>
          <w:p w14:paraId="3F527A38">
            <w:pPr>
              <w:ind w:firstLine="480"/>
              <w:rPr>
                <w:color w:val="000000" w:themeColor="text1"/>
                <w14:textFill>
                  <w14:solidFill>
                    <w14:schemeClr w14:val="tx1"/>
                  </w14:solidFill>
                </w14:textFill>
              </w:rPr>
            </w:pPr>
          </w:p>
          <w:p w14:paraId="438BAE48">
            <w:pPr>
              <w:ind w:firstLine="480"/>
              <w:rPr>
                <w:color w:val="000000" w:themeColor="text1"/>
                <w14:textFill>
                  <w14:solidFill>
                    <w14:schemeClr w14:val="tx1"/>
                  </w14:solidFill>
                </w14:textFill>
              </w:rPr>
            </w:pPr>
          </w:p>
          <w:p w14:paraId="5F326A69">
            <w:pPr>
              <w:ind w:firstLine="480"/>
              <w:rPr>
                <w:color w:val="000000" w:themeColor="text1"/>
                <w14:textFill>
                  <w14:solidFill>
                    <w14:schemeClr w14:val="tx1"/>
                  </w14:solidFill>
                </w14:textFill>
              </w:rPr>
            </w:pPr>
          </w:p>
          <w:p w14:paraId="00174BC8">
            <w:pPr>
              <w:ind w:firstLine="480"/>
              <w:rPr>
                <w:color w:val="000000" w:themeColor="text1"/>
                <w14:textFill>
                  <w14:solidFill>
                    <w14:schemeClr w14:val="tx1"/>
                  </w14:solidFill>
                </w14:textFill>
              </w:rPr>
            </w:pPr>
          </w:p>
          <w:p w14:paraId="014EBC8B">
            <w:pPr>
              <w:pStyle w:val="15"/>
              <w:ind w:left="0" w:leftChars="0"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drawing>
                <wp:inline distT="0" distB="0" distL="114300" distR="114300">
                  <wp:extent cx="4925060" cy="5149215"/>
                  <wp:effectExtent l="0" t="0" r="8890" b="13335"/>
                  <wp:docPr id="1" name="图片 1" descr="0c90e91d-715f-4ff2-af11-55819cdf93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c90e91d-715f-4ff2-af11-55819cdf93d0"/>
                          <pic:cNvPicPr>
                            <a:picLocks noChangeAspect="1"/>
                          </pic:cNvPicPr>
                        </pic:nvPicPr>
                        <pic:blipFill>
                          <a:blip r:embed="rId14" cstate="print"/>
                          <a:stretch>
                            <a:fillRect/>
                          </a:stretch>
                        </pic:blipFill>
                        <pic:spPr>
                          <a:xfrm>
                            <a:off x="0" y="0"/>
                            <a:ext cx="4925060" cy="5149215"/>
                          </a:xfrm>
                          <a:prstGeom prst="rect">
                            <a:avLst/>
                          </a:prstGeom>
                        </pic:spPr>
                      </pic:pic>
                    </a:graphicData>
                  </a:graphic>
                </wp:inline>
              </w:drawing>
            </w:r>
          </w:p>
          <w:p w14:paraId="53842DD1">
            <w:pPr>
              <w:ind w:firstLine="422"/>
              <w:jc w:val="center"/>
              <w:rPr>
                <w:b/>
                <w:bCs/>
                <w:color w:val="000000" w:themeColor="text1"/>
                <w:sz w:val="21"/>
                <w:szCs w:val="21"/>
                <w14:textFill>
                  <w14:solidFill>
                    <w14:schemeClr w14:val="tx1"/>
                  </w14:solidFill>
                </w14:textFill>
              </w:rPr>
            </w:pPr>
            <w:r>
              <w:rPr>
                <w:rFonts w:hint="eastAsia" w:cs="宋体"/>
                <w:b/>
                <w:bCs/>
                <w:color w:val="000000" w:themeColor="text1"/>
                <w:sz w:val="21"/>
                <w:szCs w:val="21"/>
                <w14:textFill>
                  <w14:solidFill>
                    <w14:schemeClr w14:val="tx1"/>
                  </w14:solidFill>
                </w14:textFill>
              </w:rPr>
              <w:t>图</w:t>
            </w:r>
            <w:r>
              <w:rPr>
                <w:b/>
                <w:bCs/>
                <w:color w:val="000000" w:themeColor="text1"/>
                <w:sz w:val="21"/>
                <w:szCs w:val="21"/>
                <w14:textFill>
                  <w14:solidFill>
                    <w14:schemeClr w14:val="tx1"/>
                  </w14:solidFill>
                </w14:textFill>
              </w:rPr>
              <w:t>2-</w:t>
            </w:r>
            <w:r>
              <w:rPr>
                <w:rFonts w:hint="eastAsia"/>
                <w:b/>
                <w:bCs/>
                <w:color w:val="000000" w:themeColor="text1"/>
                <w:sz w:val="21"/>
                <w:szCs w:val="21"/>
                <w14:textFill>
                  <w14:solidFill>
                    <w14:schemeClr w14:val="tx1"/>
                  </w14:solidFill>
                </w14:textFill>
              </w:rPr>
              <w:t>4</w:t>
            </w:r>
            <w:r>
              <w:rPr>
                <w:b/>
                <w:bCs/>
                <w:color w:val="000000" w:themeColor="text1"/>
                <w:sz w:val="21"/>
                <w:szCs w:val="21"/>
                <w14:textFill>
                  <w14:solidFill>
                    <w14:schemeClr w14:val="tx1"/>
                  </w14:solidFill>
                </w14:textFill>
              </w:rPr>
              <w:t xml:space="preserve">  </w:t>
            </w:r>
            <w:r>
              <w:rPr>
                <w:rFonts w:hint="eastAsia"/>
                <w:b/>
                <w:bCs/>
                <w:color w:val="000000" w:themeColor="text1"/>
                <w:sz w:val="21"/>
                <w:szCs w:val="21"/>
                <w14:textFill>
                  <w14:solidFill>
                    <w14:schemeClr w14:val="tx1"/>
                  </w14:solidFill>
                </w14:textFill>
              </w:rPr>
              <w:t>项目</w:t>
            </w:r>
            <w:r>
              <w:rPr>
                <w:rFonts w:hint="eastAsia" w:cs="宋体"/>
                <w:b/>
                <w:bCs/>
                <w:color w:val="000000" w:themeColor="text1"/>
                <w:sz w:val="21"/>
                <w:szCs w:val="21"/>
                <w14:textFill>
                  <w14:solidFill>
                    <w14:schemeClr w14:val="tx1"/>
                  </w14:solidFill>
                </w14:textFill>
              </w:rPr>
              <w:t>工艺流程及产污节点图</w:t>
            </w:r>
          </w:p>
          <w:p w14:paraId="2F6D6312">
            <w:pPr>
              <w:snapToGrid w:val="0"/>
              <w:ind w:firstLine="482"/>
              <w:rPr>
                <w:bCs/>
              </w:rPr>
            </w:pPr>
            <w:r>
              <w:rPr>
                <w:rFonts w:hint="eastAsia"/>
                <w:b/>
              </w:rPr>
              <w:t>工艺流程简介及产污分析：</w:t>
            </w:r>
          </w:p>
          <w:p w14:paraId="66A23646">
            <w:pPr>
              <w:snapToGrid w:val="0"/>
              <w:ind w:firstLine="480"/>
              <w:rPr>
                <w:bCs/>
              </w:rPr>
            </w:pPr>
            <w:r>
              <w:rPr>
                <w:rFonts w:hint="eastAsia"/>
                <w:bCs/>
              </w:rPr>
              <w:t>（1）</w:t>
            </w:r>
            <w:r>
              <w:rPr>
                <w:bCs/>
              </w:rPr>
              <w:t>原料运输及储存</w:t>
            </w:r>
          </w:p>
          <w:p w14:paraId="304AF9EF">
            <w:pPr>
              <w:snapToGrid w:val="0"/>
              <w:ind w:firstLine="480"/>
              <w:rPr>
                <w:bCs/>
              </w:rPr>
            </w:pPr>
            <w:r>
              <w:rPr>
                <w:bCs/>
              </w:rPr>
              <w:t>项目所有原料均外购，砂</w:t>
            </w:r>
            <w:r>
              <w:rPr>
                <w:rFonts w:hint="eastAsia"/>
                <w:bCs/>
              </w:rPr>
              <w:t>石</w:t>
            </w:r>
            <w:r>
              <w:rPr>
                <w:bCs/>
              </w:rPr>
              <w:t>料</w:t>
            </w:r>
            <w:r>
              <w:rPr>
                <w:rFonts w:hint="eastAsia"/>
                <w:bCs/>
              </w:rPr>
              <w:t>均</w:t>
            </w:r>
            <w:r>
              <w:rPr>
                <w:bCs/>
              </w:rPr>
              <w:t>为</w:t>
            </w:r>
            <w:r>
              <w:rPr>
                <w:rFonts w:hint="eastAsia"/>
                <w:bCs/>
              </w:rPr>
              <w:t>已</w:t>
            </w:r>
            <w:r>
              <w:rPr>
                <w:bCs/>
              </w:rPr>
              <w:t>破碎和清洗合格</w:t>
            </w:r>
            <w:r>
              <w:rPr>
                <w:rFonts w:hint="eastAsia"/>
                <w:bCs/>
              </w:rPr>
              <w:t>的原料，</w:t>
            </w:r>
            <w:r>
              <w:rPr>
                <w:bCs/>
              </w:rPr>
              <w:t>厂区不进行破碎和清洗工序。</w:t>
            </w:r>
            <w:r>
              <w:rPr>
                <w:rFonts w:hint="eastAsia"/>
                <w:bCs/>
              </w:rPr>
              <w:t>砂石</w:t>
            </w:r>
            <w:r>
              <w:rPr>
                <w:bCs/>
              </w:rPr>
              <w:t>料</w:t>
            </w:r>
            <w:r>
              <w:rPr>
                <w:rFonts w:hint="eastAsia"/>
                <w:bCs/>
              </w:rPr>
              <w:t>由</w:t>
            </w:r>
            <w:r>
              <w:rPr>
                <w:bCs/>
              </w:rPr>
              <w:t>运输车辆运至厂区，采用货车</w:t>
            </w:r>
            <w:r>
              <w:rPr>
                <w:rFonts w:hint="eastAsia"/>
                <w:bCs/>
              </w:rPr>
              <w:t>自卸</w:t>
            </w:r>
            <w:r>
              <w:rPr>
                <w:bCs/>
              </w:rPr>
              <w:t>的方式将</w:t>
            </w:r>
            <w:r>
              <w:rPr>
                <w:rFonts w:hint="eastAsia"/>
                <w:bCs/>
              </w:rPr>
              <w:t>砂石</w:t>
            </w:r>
            <w:r>
              <w:rPr>
                <w:bCs/>
              </w:rPr>
              <w:t>料堆放</w:t>
            </w:r>
            <w:r>
              <w:rPr>
                <w:rFonts w:hint="eastAsia"/>
                <w:bCs/>
              </w:rPr>
              <w:t>于原料仓库内</w:t>
            </w:r>
            <w:r>
              <w:rPr>
                <w:bCs/>
              </w:rPr>
              <w:t>。</w:t>
            </w:r>
          </w:p>
          <w:p w14:paraId="2F3EA23A">
            <w:pPr>
              <w:snapToGrid w:val="0"/>
              <w:ind w:firstLine="480"/>
              <w:rPr>
                <w:bCs/>
              </w:rPr>
            </w:pPr>
            <w:r>
              <w:rPr>
                <w:rFonts w:hint="eastAsia"/>
                <w:bCs/>
              </w:rPr>
              <w:t>矿粉</w:t>
            </w:r>
            <w:r>
              <w:rPr>
                <w:bCs/>
              </w:rPr>
              <w:t>采用立式筒仓进行储存</w:t>
            </w:r>
            <w:r>
              <w:rPr>
                <w:rFonts w:hint="eastAsia"/>
                <w:bCs/>
              </w:rPr>
              <w:t>，矿粉</w:t>
            </w:r>
            <w:r>
              <w:rPr>
                <w:bCs/>
              </w:rPr>
              <w:t>经密闭罐车运输到厂区，将罐车输送管路与筒仓的进料管路相连接，通过罐车自带空压机产生的气压将罐内</w:t>
            </w:r>
            <w:r>
              <w:rPr>
                <w:rFonts w:hint="eastAsia"/>
                <w:bCs/>
              </w:rPr>
              <w:t>矿粉</w:t>
            </w:r>
            <w:r>
              <w:rPr>
                <w:bCs/>
              </w:rPr>
              <w:t>输送至筒仓内储存。筒仓可通过高低料位观察到仓满和缺料。</w:t>
            </w:r>
          </w:p>
          <w:p w14:paraId="5007EA02">
            <w:pPr>
              <w:adjustRightInd w:val="0"/>
              <w:snapToGrid w:val="0"/>
              <w:ind w:firstLine="480"/>
              <w:rPr>
                <w:bCs/>
              </w:rPr>
            </w:pPr>
            <w:r>
              <w:rPr>
                <w:bCs/>
              </w:rPr>
              <w:t>该工序主要污染物为运输扬尘</w:t>
            </w:r>
            <w:r>
              <w:rPr>
                <w:rFonts w:hint="eastAsia"/>
                <w:bCs/>
              </w:rPr>
              <w:t>、</w:t>
            </w:r>
            <w:r>
              <w:rPr>
                <w:bCs/>
              </w:rPr>
              <w:t>卸料</w:t>
            </w:r>
            <w:r>
              <w:rPr>
                <w:rFonts w:hint="eastAsia"/>
                <w:bCs/>
              </w:rPr>
              <w:t>、堆存</w:t>
            </w:r>
            <w:r>
              <w:rPr>
                <w:bCs/>
              </w:rPr>
              <w:t>粉尘</w:t>
            </w:r>
            <w:r>
              <w:rPr>
                <w:rFonts w:hint="eastAsia"/>
                <w:bCs/>
              </w:rPr>
              <w:t>，经采取原料仓库三面密闭围挡、顶喷和喷雾洒水降尘等措施后无组织排放。厂区道路定期清扫及洒水降尘等措施后，扬尘无组织排放。</w:t>
            </w:r>
          </w:p>
          <w:p w14:paraId="00B12EF4">
            <w:pPr>
              <w:ind w:firstLine="480"/>
              <w:rPr>
                <w:rFonts w:cs="宋体"/>
              </w:rPr>
            </w:pPr>
            <w:r>
              <w:rPr>
                <w:rFonts w:hint="eastAsia" w:cs="宋体"/>
              </w:rPr>
              <w:t>（2）上料</w:t>
            </w:r>
          </w:p>
          <w:p w14:paraId="42A6A7B9">
            <w:pPr>
              <w:ind w:firstLine="480"/>
            </w:pPr>
            <w:r>
              <w:rPr>
                <w:rFonts w:hint="eastAsia"/>
                <w:bCs/>
              </w:rPr>
              <w:t>生产时采用装载机将砂石料从原料仓库内的转运到冷料仓</w:t>
            </w:r>
            <w:r>
              <w:rPr>
                <w:rFonts w:hint="eastAsia"/>
              </w:rPr>
              <w:t>，该过程主要产生上料粉尘、噪声，粉尘通过</w:t>
            </w:r>
            <w:r>
              <w:rPr>
                <w:rFonts w:hint="eastAsia"/>
                <w:bCs/>
              </w:rPr>
              <w:t>三面密闭围挡、顶喷和喷雾洒水降尘等措施后无组织排放。</w:t>
            </w:r>
          </w:p>
          <w:p w14:paraId="672B6574">
            <w:pPr>
              <w:ind w:firstLine="480"/>
              <w:rPr>
                <w:rFonts w:cs="宋体"/>
              </w:rPr>
            </w:pPr>
            <w:r>
              <w:rPr>
                <w:rFonts w:hint="eastAsia" w:cs="宋体"/>
              </w:rPr>
              <w:t>（3）烘干</w:t>
            </w:r>
          </w:p>
          <w:p w14:paraId="3AF97084">
            <w:pPr>
              <w:ind w:firstLine="480"/>
              <w:rPr>
                <w:rFonts w:cs="宋体"/>
                <w:bCs/>
              </w:rPr>
            </w:pPr>
            <w:r>
              <w:rPr>
                <w:rFonts w:hint="eastAsia" w:cs="宋体"/>
                <w:bCs/>
              </w:rPr>
              <w:t>冷料仓中的砂石骨料经给料机计量后，由皮带输送机送至烘干滚筒内烘干处理，干燥滚筒加热温度约为160℃-240℃，热源来自设备末端配套的燃烧器，采用柴油作为燃料，物料干燥采用直接干燥，</w:t>
            </w:r>
            <w:r>
              <w:rPr>
                <w:rFonts w:hint="eastAsia" w:cs="宋体"/>
                <w:bCs/>
                <w:color w:val="000000" w:themeColor="text1"/>
                <w14:textFill>
                  <w14:solidFill>
                    <w14:schemeClr w14:val="tx1"/>
                  </w14:solidFill>
                </w14:textFill>
              </w:rPr>
              <w:t>即物料和燃烧后的热烟气直接接触，</w:t>
            </w:r>
            <w:r>
              <w:rPr>
                <w:rFonts w:hint="eastAsia" w:cs="宋体"/>
                <w:bCs/>
              </w:rPr>
              <w:t>控制系统自动调节燃烧器的火焰大小，从而控制物料干燥效果。该过程主要产生燃料燃烧废气、烘干粉尘和噪声。</w:t>
            </w:r>
          </w:p>
          <w:p w14:paraId="392F315C">
            <w:pPr>
              <w:ind w:firstLine="480"/>
              <w:rPr>
                <w:rFonts w:cs="宋体"/>
              </w:rPr>
            </w:pPr>
            <w:r>
              <w:rPr>
                <w:rFonts w:hint="eastAsia" w:cs="宋体"/>
              </w:rPr>
              <w:t>（4）筛分</w:t>
            </w:r>
          </w:p>
          <w:p w14:paraId="3F055C99">
            <w:pPr>
              <w:ind w:firstLine="480"/>
              <w:rPr>
                <w:rFonts w:cs="宋体"/>
                <w:bCs/>
              </w:rPr>
            </w:pPr>
            <w:r>
              <w:rPr>
                <w:rFonts w:hint="eastAsia" w:cs="宋体"/>
                <w:bCs/>
              </w:rPr>
              <w:t>烘干后的砂石料经过筛分，分离出各种粒径的砂石骨料暂存于热料仓。该过程主要产生筛分粉尘和噪声。筛分粉尘、烘干烟尘和粉尘，以及输送粉尘经密闭管道收集由一套布袋除尘器处理后由15m排气筒排放（DA001）。</w:t>
            </w:r>
          </w:p>
          <w:p w14:paraId="5EB7CC3B">
            <w:pPr>
              <w:ind w:firstLine="480"/>
              <w:rPr>
                <w:rFonts w:cs="宋体"/>
              </w:rPr>
            </w:pPr>
            <w:r>
              <w:rPr>
                <w:rFonts w:hint="eastAsia" w:cs="宋体"/>
              </w:rPr>
              <w:t>（5）热料计量</w:t>
            </w:r>
          </w:p>
          <w:p w14:paraId="20633A5D">
            <w:pPr>
              <w:pStyle w:val="15"/>
              <w:ind w:left="0" w:leftChars="0" w:firstLine="480"/>
            </w:pPr>
            <w:r>
              <w:rPr>
                <w:rFonts w:hint="eastAsia"/>
                <w:sz w:val="24"/>
              </w:rPr>
              <w:t>热料仓内的砂石骨料的经石料计量装置计量后送入搅拌缸。</w:t>
            </w:r>
            <w:r>
              <w:rPr>
                <w:bCs/>
                <w:sz w:val="24"/>
              </w:rPr>
              <w:t>此工序主要污染物为噪声。</w:t>
            </w:r>
          </w:p>
          <w:p w14:paraId="101817BC">
            <w:pPr>
              <w:adjustRightInd w:val="0"/>
              <w:snapToGrid w:val="0"/>
              <w:ind w:firstLine="480"/>
            </w:pPr>
            <w:r>
              <w:rPr>
                <w:rFonts w:hint="eastAsia" w:cs="宋体"/>
              </w:rPr>
              <w:t>（6）</w:t>
            </w:r>
            <w:r>
              <w:rPr>
                <w:rFonts w:hint="eastAsia"/>
              </w:rPr>
              <w:t>粉料计量</w:t>
            </w:r>
          </w:p>
          <w:p w14:paraId="5C6C8933">
            <w:pPr>
              <w:adjustRightInd w:val="0"/>
              <w:snapToGrid w:val="0"/>
              <w:ind w:firstLine="480"/>
            </w:pPr>
            <w:r>
              <w:rPr>
                <w:rFonts w:hint="eastAsia"/>
              </w:rPr>
              <w:t>项目粉料主要为矿粉，储存在矿粉筒仓内，粉料筒仓底部蝶阀开启后，粉料落入密闭螺旋提升机，经螺旋提升机输送至计量斗计量。</w:t>
            </w:r>
          </w:p>
          <w:p w14:paraId="025CFA48">
            <w:pPr>
              <w:adjustRightInd w:val="0"/>
              <w:snapToGrid w:val="0"/>
              <w:ind w:firstLine="480"/>
              <w:rPr>
                <w:rFonts w:cs="宋体"/>
                <w:bCs/>
              </w:rPr>
            </w:pPr>
            <w:r>
              <w:rPr>
                <w:rFonts w:hint="eastAsia"/>
                <w:bCs/>
              </w:rPr>
              <w:t>此工序</w:t>
            </w:r>
            <w:r>
              <w:rPr>
                <w:bCs/>
              </w:rPr>
              <w:t>主要污染物</w:t>
            </w:r>
            <w:r>
              <w:rPr>
                <w:rFonts w:hint="eastAsia"/>
                <w:bCs/>
              </w:rPr>
              <w:t>为噪声和粉尘。筒仓自带布袋除尘器，粉尘经自带除尘器处理后经仓顶呼吸孔无组织排放。</w:t>
            </w:r>
          </w:p>
          <w:p w14:paraId="2BAF4C4B">
            <w:pPr>
              <w:adjustRightInd w:val="0"/>
              <w:snapToGrid w:val="0"/>
              <w:ind w:firstLine="480"/>
            </w:pPr>
            <w:r>
              <w:rPr>
                <w:rFonts w:hint="eastAsia" w:cs="宋体"/>
              </w:rPr>
              <w:t>（7）</w:t>
            </w:r>
            <w:r>
              <w:rPr>
                <w:rFonts w:hint="eastAsia"/>
              </w:rPr>
              <w:t>沥青配料</w:t>
            </w:r>
          </w:p>
          <w:p w14:paraId="1175E1F6">
            <w:pPr>
              <w:adjustRightInd w:val="0"/>
              <w:snapToGrid w:val="0"/>
              <w:ind w:firstLine="480"/>
            </w:pPr>
            <w:r>
              <w:rPr>
                <w:rFonts w:hint="eastAsia"/>
                <w:bCs/>
              </w:rPr>
              <w:t>沥青由专用的全封闭沥青罐车将外购的石油沥青通过沥青泵输送至厂区内的沥青储罐，生产期间通过导热油炉间接对沥青储罐中的沥青进行加热，储罐中设有保温夹层，并配备全自动温度控制器，当沥青储罐内温度低于控制温度时，可以启动导热油炉，通过环绕沥青储罐的循环导热管道对沥青进行间接加热，将温度控制在恒温状态（80~90</w:t>
            </w:r>
            <w:r>
              <w:rPr>
                <w:rFonts w:hint="eastAsia" w:ascii="宋体" w:hAnsi="宋体" w:cs="宋体"/>
                <w:bCs/>
              </w:rPr>
              <w:t>℃</w:t>
            </w:r>
            <w:r>
              <w:rPr>
                <w:rFonts w:hint="eastAsia"/>
                <w:bCs/>
              </w:rPr>
              <w:t>），从而使沥青保持在液态。需要进入搅拌缸时，对沥青进行加热升温，加热后的沥青（温度约160℃）由沥青泵输送至沥青计量斗，经计量后按一定的配比重量通过专门密闭管道送入沥青混凝土搅拌</w:t>
            </w:r>
            <w:r>
              <w:rPr>
                <w:rFonts w:hint="eastAsia"/>
              </w:rPr>
              <w:t>缸内与砂石骨料、分料等进行搅拌混合均匀。</w:t>
            </w:r>
          </w:p>
          <w:p w14:paraId="0AEEB5A2">
            <w:pPr>
              <w:adjustRightInd w:val="0"/>
              <w:snapToGrid w:val="0"/>
              <w:ind w:firstLine="480"/>
              <w:rPr>
                <w:bCs/>
                <w:kern w:val="0"/>
              </w:rPr>
            </w:pPr>
            <w:r>
              <w:rPr>
                <w:bCs/>
              </w:rPr>
              <w:t>此工序主要污染物为导热油炉燃烧烟气及沥青烟。导热油炉燃烧烟气经15m高排气筒排放</w:t>
            </w:r>
            <w:r>
              <w:rPr>
                <w:rFonts w:hint="eastAsia"/>
                <w:bCs/>
              </w:rPr>
              <w:t>（</w:t>
            </w:r>
            <w:r>
              <w:rPr>
                <w:bCs/>
              </w:rPr>
              <w:t>DA002</w:t>
            </w:r>
            <w:r>
              <w:rPr>
                <w:rFonts w:hint="eastAsia"/>
                <w:bCs/>
              </w:rPr>
              <w:t>）</w:t>
            </w:r>
            <w:r>
              <w:rPr>
                <w:bCs/>
              </w:rPr>
              <w:t>。在沥青储罐呼吸孔设置连接管道，沥青罐呼吸孔废气经收集后进入</w:t>
            </w:r>
            <w:r>
              <w:rPr>
                <w:rFonts w:hint="eastAsia"/>
                <w:bCs/>
              </w:rPr>
              <w:t>“</w:t>
            </w:r>
            <w:r>
              <w:rPr>
                <w:bCs/>
                <w:kern w:val="0"/>
              </w:rPr>
              <w:t>电捕焦油器+</w:t>
            </w:r>
            <w:r>
              <w:rPr>
                <w:rFonts w:hint="eastAsia"/>
                <w:bCs/>
                <w:kern w:val="0"/>
              </w:rPr>
              <w:t>三</w:t>
            </w:r>
            <w:r>
              <w:rPr>
                <w:bCs/>
                <w:kern w:val="0"/>
              </w:rPr>
              <w:t>级活性炭吸附装置</w:t>
            </w:r>
            <w:r>
              <w:rPr>
                <w:rFonts w:hint="eastAsia"/>
                <w:bCs/>
              </w:rPr>
              <w:t>”</w:t>
            </w:r>
            <w:r>
              <w:rPr>
                <w:bCs/>
                <w:kern w:val="0"/>
              </w:rPr>
              <w:t>处理后经15m高排气筒排放</w:t>
            </w:r>
            <w:r>
              <w:rPr>
                <w:rFonts w:hint="eastAsia"/>
                <w:bCs/>
                <w:kern w:val="0"/>
              </w:rPr>
              <w:t>（</w:t>
            </w:r>
            <w:r>
              <w:rPr>
                <w:bCs/>
                <w:kern w:val="0"/>
              </w:rPr>
              <w:t>DA003</w:t>
            </w:r>
            <w:r>
              <w:rPr>
                <w:rFonts w:hint="eastAsia"/>
                <w:bCs/>
                <w:kern w:val="0"/>
              </w:rPr>
              <w:t>）</w:t>
            </w:r>
            <w:r>
              <w:rPr>
                <w:bCs/>
                <w:kern w:val="0"/>
              </w:rPr>
              <w:t>。</w:t>
            </w:r>
          </w:p>
          <w:p w14:paraId="7D20EE3F">
            <w:pPr>
              <w:adjustRightInd w:val="0"/>
              <w:snapToGrid w:val="0"/>
              <w:ind w:firstLine="480"/>
            </w:pPr>
            <w:r>
              <w:rPr>
                <w:rFonts w:hint="eastAsia"/>
                <w:bCs/>
                <w:kern w:val="0"/>
              </w:rPr>
              <w:t>（8）</w:t>
            </w:r>
            <w:r>
              <w:rPr>
                <w:rFonts w:hint="eastAsia"/>
              </w:rPr>
              <w:t>搅拌、出料</w:t>
            </w:r>
          </w:p>
          <w:p w14:paraId="29D90981">
            <w:pPr>
              <w:adjustRightInd w:val="0"/>
              <w:snapToGrid w:val="0"/>
              <w:ind w:firstLine="480"/>
            </w:pPr>
            <w:r>
              <w:rPr>
                <w:rFonts w:hint="eastAsia"/>
              </w:rPr>
              <w:t>拌和缸为全封闭结构，骨料、粉料、沥青按照计量后的配比分先后顺序投入拌和缸中进行搅拌，搅拌结束后，由开门装置的气缸将门打开，由叶片将已搅拌好的沥青混凝土推到等待在此的拌和缸下的沥青混凝土罐车。</w:t>
            </w:r>
          </w:p>
          <w:p w14:paraId="731FF603">
            <w:pPr>
              <w:adjustRightInd w:val="0"/>
              <w:snapToGrid w:val="0"/>
              <w:ind w:firstLine="480"/>
              <w:rPr>
                <w:bCs/>
                <w:kern w:val="0"/>
              </w:rPr>
            </w:pPr>
            <w:r>
              <w:rPr>
                <w:bCs/>
              </w:rPr>
              <w:t>此工序主要污染物为噪声、沥青烟。搅拌缸封闭设置，沥青</w:t>
            </w:r>
            <w:r>
              <w:rPr>
                <w:rFonts w:hint="eastAsia"/>
                <w:bCs/>
              </w:rPr>
              <w:t>混凝土</w:t>
            </w:r>
            <w:r>
              <w:rPr>
                <w:bCs/>
              </w:rPr>
              <w:t>卸料口上方设置集气罩，卸料口沥青烟经集气罩收集后与管道收集</w:t>
            </w:r>
            <w:r>
              <w:rPr>
                <w:rFonts w:hint="eastAsia"/>
                <w:bCs/>
              </w:rPr>
              <w:t>的</w:t>
            </w:r>
            <w:r>
              <w:rPr>
                <w:bCs/>
              </w:rPr>
              <w:t>沥青罐呼吸废气一同引至</w:t>
            </w:r>
            <w:r>
              <w:rPr>
                <w:bCs/>
                <w:kern w:val="0"/>
              </w:rPr>
              <w:t>“电捕焦油器+</w:t>
            </w:r>
            <w:r>
              <w:rPr>
                <w:rFonts w:hint="eastAsia"/>
                <w:bCs/>
                <w:kern w:val="0"/>
              </w:rPr>
              <w:t>三</w:t>
            </w:r>
            <w:r>
              <w:rPr>
                <w:bCs/>
                <w:kern w:val="0"/>
              </w:rPr>
              <w:t>级活性炭吸附装置”处理后经15m高DA003排气筒</w:t>
            </w:r>
            <w:r>
              <w:rPr>
                <w:rFonts w:hint="eastAsia"/>
                <w:bCs/>
                <w:kern w:val="0"/>
              </w:rPr>
              <w:t xml:space="preserve">。  </w:t>
            </w:r>
          </w:p>
          <w:p w14:paraId="19DD3BB0">
            <w:pPr>
              <w:adjustRightInd w:val="0"/>
              <w:snapToGrid w:val="0"/>
              <w:ind w:firstLine="480"/>
            </w:pPr>
            <w:r>
              <w:rPr>
                <w:rFonts w:hint="eastAsia"/>
              </w:rPr>
              <w:t>（9）成品运输</w:t>
            </w:r>
          </w:p>
          <w:p w14:paraId="3890C026">
            <w:pPr>
              <w:pStyle w:val="15"/>
              <w:ind w:left="0" w:leftChars="0" w:firstLine="480"/>
              <w:rPr>
                <w:rFonts w:ascii="宋体" w:hAnsi="宋体" w:cs="宋体"/>
                <w:sz w:val="24"/>
              </w:rPr>
            </w:pPr>
            <w:r>
              <w:rPr>
                <w:rFonts w:hint="eastAsia" w:ascii="宋体" w:hAnsi="宋体" w:cs="宋体"/>
                <w:sz w:val="24"/>
              </w:rPr>
              <w:t>沥青混凝土罐车将沥青混凝土成品外运，不在厂区储存。</w:t>
            </w:r>
          </w:p>
          <w:p w14:paraId="29A403BA">
            <w:pPr>
              <w:pStyle w:val="15"/>
              <w:numPr>
                <w:ilvl w:val="0"/>
                <w:numId w:val="7"/>
              </w:numPr>
              <w:ind w:left="0" w:leftChars="0" w:firstLine="482"/>
              <w:rPr>
                <w:b/>
                <w:bCs/>
                <w:sz w:val="24"/>
              </w:rPr>
            </w:pPr>
            <w:r>
              <w:rPr>
                <w:b/>
                <w:bCs/>
                <w:sz w:val="24"/>
              </w:rPr>
              <w:t>项目生产过程主要污染工序</w:t>
            </w:r>
          </w:p>
          <w:p w14:paraId="6AA442A7">
            <w:pPr>
              <w:pStyle w:val="15"/>
              <w:ind w:left="0" w:leftChars="0" w:firstLine="0" w:firstLineChars="0"/>
              <w:rPr>
                <w:b/>
                <w:bCs/>
                <w:sz w:val="24"/>
              </w:rPr>
            </w:pPr>
            <w:r>
              <w:rPr>
                <w:rFonts w:hint="eastAsia"/>
                <w:b/>
                <w:bCs/>
                <w:sz w:val="24"/>
              </w:rPr>
              <w:t xml:space="preserve">    </w:t>
            </w:r>
            <w:r>
              <w:rPr>
                <w:rFonts w:hint="eastAsia"/>
                <w:sz w:val="24"/>
              </w:rPr>
              <w:t>项目运营期主要污染工序见下表。</w:t>
            </w:r>
          </w:p>
          <w:p w14:paraId="220610F6">
            <w:pPr>
              <w:pStyle w:val="2"/>
              <w:widowControl w:val="0"/>
              <w:autoSpaceDE/>
              <w:autoSpaceDN/>
              <w:snapToGrid/>
              <w:ind w:firstLine="0" w:firstLineChars="0"/>
              <w:jc w:val="center"/>
              <w:rPr>
                <w:b/>
                <w:sz w:val="21"/>
                <w:szCs w:val="21"/>
              </w:rPr>
            </w:pPr>
            <w:r>
              <w:rPr>
                <w:rFonts w:hint="eastAsia"/>
                <w:b/>
                <w:color w:val="000000" w:themeColor="text1"/>
                <w:sz w:val="21"/>
                <w:szCs w:val="21"/>
                <w14:textFill>
                  <w14:solidFill>
                    <w14:schemeClr w14:val="tx1"/>
                  </w14:solidFill>
                </w14:textFill>
              </w:rPr>
              <w:t>表</w:t>
            </w:r>
            <w:r>
              <w:rPr>
                <w:b/>
                <w:color w:val="000000" w:themeColor="text1"/>
                <w:sz w:val="21"/>
                <w:szCs w:val="21"/>
                <w14:textFill>
                  <w14:solidFill>
                    <w14:schemeClr w14:val="tx1"/>
                  </w14:solidFill>
                </w14:textFill>
              </w:rPr>
              <w:t>2-</w:t>
            </w:r>
            <w:r>
              <w:rPr>
                <w:rFonts w:hint="eastAsia"/>
                <w:b/>
                <w:color w:val="000000" w:themeColor="text1"/>
                <w:sz w:val="21"/>
                <w:szCs w:val="21"/>
                <w14:textFill>
                  <w14:solidFill>
                    <w14:schemeClr w14:val="tx1"/>
                  </w14:solidFill>
                </w14:textFill>
              </w:rPr>
              <w:t xml:space="preserve">9 </w:t>
            </w:r>
            <w:r>
              <w:rPr>
                <w:b/>
                <w:color w:val="000000" w:themeColor="text1"/>
                <w:sz w:val="21"/>
                <w:szCs w:val="21"/>
                <w14:textFill>
                  <w14:solidFill>
                    <w14:schemeClr w14:val="tx1"/>
                  </w14:solidFill>
                </w14:textFill>
              </w:rPr>
              <w:t xml:space="preserve"> </w:t>
            </w:r>
            <w:r>
              <w:rPr>
                <w:rFonts w:hint="eastAsia"/>
                <w:b/>
                <w:color w:val="000000" w:themeColor="text1"/>
                <w:sz w:val="21"/>
                <w:szCs w:val="21"/>
                <w14:textFill>
                  <w14:solidFill>
                    <w14:schemeClr w14:val="tx1"/>
                  </w14:solidFill>
                </w14:textFill>
              </w:rPr>
              <w:t>运</w:t>
            </w:r>
            <w:r>
              <w:rPr>
                <w:rFonts w:hint="eastAsia"/>
                <w:b/>
                <w:sz w:val="21"/>
                <w:szCs w:val="21"/>
              </w:rPr>
              <w:t>营期主要污染工序一览表</w:t>
            </w:r>
          </w:p>
          <w:tbl>
            <w:tblPr>
              <w:tblStyle w:val="27"/>
              <w:tblW w:w="820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9"/>
              <w:gridCol w:w="2063"/>
              <w:gridCol w:w="1696"/>
              <w:gridCol w:w="3235"/>
            </w:tblGrid>
            <w:tr w14:paraId="1D75E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09" w:type="dxa"/>
                  <w:vAlign w:val="center"/>
                </w:tcPr>
                <w:p w14:paraId="48A95350">
                  <w:pPr>
                    <w:spacing w:line="240" w:lineRule="auto"/>
                    <w:ind w:firstLine="0" w:firstLineChars="0"/>
                    <w:jc w:val="center"/>
                    <w:rPr>
                      <w:b/>
                      <w:bCs/>
                      <w:sz w:val="21"/>
                      <w:szCs w:val="21"/>
                    </w:rPr>
                  </w:pPr>
                  <w:r>
                    <w:rPr>
                      <w:rFonts w:hint="eastAsia"/>
                      <w:b/>
                      <w:bCs/>
                      <w:sz w:val="21"/>
                      <w:szCs w:val="21"/>
                    </w:rPr>
                    <w:t>污染类别</w:t>
                  </w:r>
                </w:p>
              </w:tc>
              <w:tc>
                <w:tcPr>
                  <w:tcW w:w="2063" w:type="dxa"/>
                  <w:vAlign w:val="center"/>
                </w:tcPr>
                <w:p w14:paraId="7FB15AC6">
                  <w:pPr>
                    <w:spacing w:line="240" w:lineRule="auto"/>
                    <w:ind w:firstLine="0" w:firstLineChars="0"/>
                    <w:jc w:val="center"/>
                    <w:rPr>
                      <w:b/>
                      <w:bCs/>
                      <w:sz w:val="21"/>
                      <w:szCs w:val="21"/>
                    </w:rPr>
                  </w:pPr>
                  <w:r>
                    <w:rPr>
                      <w:rFonts w:hint="eastAsia"/>
                      <w:b/>
                      <w:bCs/>
                      <w:sz w:val="21"/>
                      <w:szCs w:val="21"/>
                    </w:rPr>
                    <w:t>产污环节</w:t>
                  </w:r>
                </w:p>
              </w:tc>
              <w:tc>
                <w:tcPr>
                  <w:tcW w:w="1696" w:type="dxa"/>
                  <w:vAlign w:val="center"/>
                </w:tcPr>
                <w:p w14:paraId="317E5C0D">
                  <w:pPr>
                    <w:spacing w:line="240" w:lineRule="auto"/>
                    <w:ind w:firstLine="0" w:firstLineChars="0"/>
                    <w:jc w:val="center"/>
                    <w:rPr>
                      <w:b/>
                      <w:bCs/>
                      <w:sz w:val="21"/>
                      <w:szCs w:val="21"/>
                    </w:rPr>
                  </w:pPr>
                  <w:r>
                    <w:rPr>
                      <w:rFonts w:hint="eastAsia"/>
                      <w:b/>
                      <w:bCs/>
                      <w:sz w:val="21"/>
                      <w:szCs w:val="21"/>
                    </w:rPr>
                    <w:t>主要污染物</w:t>
                  </w:r>
                </w:p>
              </w:tc>
              <w:tc>
                <w:tcPr>
                  <w:tcW w:w="3235" w:type="dxa"/>
                  <w:vAlign w:val="center"/>
                </w:tcPr>
                <w:p w14:paraId="66B76029">
                  <w:pPr>
                    <w:spacing w:line="240" w:lineRule="auto"/>
                    <w:ind w:firstLine="0" w:firstLineChars="0"/>
                    <w:jc w:val="center"/>
                    <w:rPr>
                      <w:b/>
                      <w:bCs/>
                      <w:sz w:val="21"/>
                      <w:szCs w:val="21"/>
                    </w:rPr>
                  </w:pPr>
                  <w:r>
                    <w:rPr>
                      <w:rFonts w:hint="eastAsia"/>
                      <w:b/>
                      <w:bCs/>
                      <w:sz w:val="21"/>
                      <w:szCs w:val="21"/>
                    </w:rPr>
                    <w:t>治理措施</w:t>
                  </w:r>
                </w:p>
              </w:tc>
            </w:tr>
            <w:tr w14:paraId="0F958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09" w:type="dxa"/>
                  <w:vMerge w:val="restart"/>
                  <w:vAlign w:val="center"/>
                </w:tcPr>
                <w:p w14:paraId="071521C4">
                  <w:pPr>
                    <w:spacing w:line="240" w:lineRule="auto"/>
                    <w:ind w:firstLine="0" w:firstLineChars="0"/>
                    <w:jc w:val="center"/>
                    <w:rPr>
                      <w:sz w:val="21"/>
                      <w:szCs w:val="21"/>
                    </w:rPr>
                  </w:pPr>
                  <w:r>
                    <w:rPr>
                      <w:rFonts w:hint="eastAsia"/>
                      <w:sz w:val="21"/>
                      <w:szCs w:val="21"/>
                    </w:rPr>
                    <w:t>废气</w:t>
                  </w:r>
                </w:p>
              </w:tc>
              <w:tc>
                <w:tcPr>
                  <w:tcW w:w="2063" w:type="dxa"/>
                  <w:vAlign w:val="center"/>
                </w:tcPr>
                <w:p w14:paraId="250C508A">
                  <w:pPr>
                    <w:spacing w:line="240" w:lineRule="auto"/>
                    <w:ind w:firstLine="0" w:firstLineChars="0"/>
                    <w:jc w:val="center"/>
                    <w:rPr>
                      <w:sz w:val="21"/>
                      <w:szCs w:val="21"/>
                    </w:rPr>
                  </w:pPr>
                  <w:r>
                    <w:rPr>
                      <w:rFonts w:hint="eastAsia"/>
                      <w:sz w:val="21"/>
                      <w:szCs w:val="21"/>
                    </w:rPr>
                    <w:t>砂石料卸料、堆存、上料</w:t>
                  </w:r>
                </w:p>
              </w:tc>
              <w:tc>
                <w:tcPr>
                  <w:tcW w:w="1696" w:type="dxa"/>
                  <w:vAlign w:val="center"/>
                </w:tcPr>
                <w:p w14:paraId="0E6C5F90">
                  <w:pPr>
                    <w:spacing w:line="240" w:lineRule="auto"/>
                    <w:ind w:firstLine="0" w:firstLineChars="0"/>
                    <w:jc w:val="center"/>
                    <w:rPr>
                      <w:sz w:val="21"/>
                      <w:szCs w:val="21"/>
                    </w:rPr>
                  </w:pPr>
                  <w:r>
                    <w:rPr>
                      <w:rFonts w:hint="eastAsia"/>
                      <w:sz w:val="21"/>
                      <w:szCs w:val="21"/>
                    </w:rPr>
                    <w:t>颗粒物</w:t>
                  </w:r>
                </w:p>
              </w:tc>
              <w:tc>
                <w:tcPr>
                  <w:tcW w:w="3235" w:type="dxa"/>
                  <w:vAlign w:val="center"/>
                </w:tcPr>
                <w:p w14:paraId="3EC65835">
                  <w:pPr>
                    <w:spacing w:line="240" w:lineRule="auto"/>
                    <w:ind w:firstLine="0" w:firstLineChars="0"/>
                    <w:jc w:val="center"/>
                    <w:rPr>
                      <w:sz w:val="21"/>
                      <w:szCs w:val="21"/>
                    </w:rPr>
                  </w:pPr>
                  <w:r>
                    <w:rPr>
                      <w:rFonts w:hint="eastAsia"/>
                      <w:kern w:val="0"/>
                      <w:sz w:val="21"/>
                      <w:szCs w:val="21"/>
                    </w:rPr>
                    <w:t>砂石料堆存于三面封闭式围挡及设置顶棚的原料仓库、喷雾洒水降尘</w:t>
                  </w:r>
                </w:p>
              </w:tc>
            </w:tr>
            <w:tr w14:paraId="0460F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09" w:type="dxa"/>
                  <w:vMerge w:val="continue"/>
                  <w:vAlign w:val="center"/>
                </w:tcPr>
                <w:p w14:paraId="4A6A634F">
                  <w:pPr>
                    <w:spacing w:line="240" w:lineRule="auto"/>
                    <w:ind w:firstLine="0" w:firstLineChars="0"/>
                    <w:jc w:val="center"/>
                    <w:rPr>
                      <w:sz w:val="21"/>
                      <w:szCs w:val="21"/>
                      <w:highlight w:val="yellow"/>
                    </w:rPr>
                  </w:pPr>
                </w:p>
              </w:tc>
              <w:tc>
                <w:tcPr>
                  <w:tcW w:w="2063" w:type="dxa"/>
                  <w:shd w:val="clear" w:color="auto" w:fill="auto"/>
                  <w:vAlign w:val="center"/>
                </w:tcPr>
                <w:p w14:paraId="7EE9784D">
                  <w:pPr>
                    <w:spacing w:line="240" w:lineRule="auto"/>
                    <w:ind w:firstLine="0" w:firstLineChars="0"/>
                    <w:jc w:val="center"/>
                    <w:rPr>
                      <w:sz w:val="21"/>
                      <w:szCs w:val="21"/>
                    </w:rPr>
                  </w:pPr>
                  <w:r>
                    <w:rPr>
                      <w:rFonts w:hint="eastAsia"/>
                      <w:sz w:val="21"/>
                      <w:szCs w:val="21"/>
                    </w:rPr>
                    <w:t>矿粉筒仓废气</w:t>
                  </w:r>
                </w:p>
              </w:tc>
              <w:tc>
                <w:tcPr>
                  <w:tcW w:w="1696" w:type="dxa"/>
                  <w:shd w:val="clear" w:color="auto" w:fill="auto"/>
                  <w:vAlign w:val="center"/>
                </w:tcPr>
                <w:p w14:paraId="3F1B3A23">
                  <w:pPr>
                    <w:spacing w:line="240" w:lineRule="auto"/>
                    <w:ind w:firstLine="0" w:firstLineChars="0"/>
                    <w:jc w:val="center"/>
                    <w:rPr>
                      <w:sz w:val="21"/>
                      <w:szCs w:val="21"/>
                    </w:rPr>
                  </w:pPr>
                  <w:r>
                    <w:rPr>
                      <w:rFonts w:hint="eastAsia"/>
                      <w:sz w:val="21"/>
                      <w:szCs w:val="21"/>
                    </w:rPr>
                    <w:t>颗粒物</w:t>
                  </w:r>
                </w:p>
              </w:tc>
              <w:tc>
                <w:tcPr>
                  <w:tcW w:w="3235" w:type="dxa"/>
                  <w:shd w:val="clear" w:color="auto" w:fill="auto"/>
                  <w:vAlign w:val="center"/>
                </w:tcPr>
                <w:p w14:paraId="0054A4DA">
                  <w:pPr>
                    <w:spacing w:line="240" w:lineRule="auto"/>
                    <w:ind w:firstLine="0" w:firstLineChars="0"/>
                    <w:jc w:val="center"/>
                    <w:rPr>
                      <w:sz w:val="21"/>
                      <w:szCs w:val="21"/>
                    </w:rPr>
                  </w:pPr>
                  <w:r>
                    <w:rPr>
                      <w:rFonts w:hint="eastAsia"/>
                      <w:sz w:val="21"/>
                      <w:szCs w:val="21"/>
                    </w:rPr>
                    <w:t>矿粉筒仓自带过滤器处理后无组织排放</w:t>
                  </w:r>
                </w:p>
              </w:tc>
            </w:tr>
            <w:tr w14:paraId="63923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trPr>
              <w:tc>
                <w:tcPr>
                  <w:tcW w:w="1209" w:type="dxa"/>
                  <w:vMerge w:val="continue"/>
                  <w:vAlign w:val="center"/>
                </w:tcPr>
                <w:p w14:paraId="23B13A1E">
                  <w:pPr>
                    <w:spacing w:line="240" w:lineRule="auto"/>
                    <w:ind w:firstLine="0" w:firstLineChars="0"/>
                    <w:jc w:val="center"/>
                    <w:rPr>
                      <w:sz w:val="21"/>
                      <w:szCs w:val="21"/>
                    </w:rPr>
                  </w:pPr>
                </w:p>
              </w:tc>
              <w:tc>
                <w:tcPr>
                  <w:tcW w:w="2063" w:type="dxa"/>
                  <w:vAlign w:val="center"/>
                </w:tcPr>
                <w:p w14:paraId="77647AC0">
                  <w:pPr>
                    <w:spacing w:line="240" w:lineRule="auto"/>
                    <w:ind w:firstLine="0" w:firstLineChars="0"/>
                    <w:jc w:val="center"/>
                    <w:rPr>
                      <w:sz w:val="21"/>
                      <w:szCs w:val="21"/>
                    </w:rPr>
                  </w:pPr>
                  <w:r>
                    <w:rPr>
                      <w:rFonts w:hint="eastAsia"/>
                      <w:sz w:val="21"/>
                      <w:szCs w:val="21"/>
                    </w:rPr>
                    <w:t>滚筒烘干、筛分、提升输送、计量</w:t>
                  </w:r>
                </w:p>
              </w:tc>
              <w:tc>
                <w:tcPr>
                  <w:tcW w:w="1696" w:type="dxa"/>
                  <w:vAlign w:val="center"/>
                </w:tcPr>
                <w:p w14:paraId="19CE9FE6">
                  <w:pPr>
                    <w:spacing w:line="240" w:lineRule="auto"/>
                    <w:ind w:firstLine="0" w:firstLineChars="0"/>
                    <w:jc w:val="center"/>
                    <w:rPr>
                      <w:sz w:val="21"/>
                      <w:szCs w:val="21"/>
                    </w:rPr>
                  </w:pPr>
                  <w:r>
                    <w:rPr>
                      <w:rFonts w:hint="eastAsia"/>
                      <w:sz w:val="21"/>
                      <w:szCs w:val="21"/>
                    </w:rPr>
                    <w:t>颗粒物、SO</w:t>
                  </w:r>
                  <w:r>
                    <w:rPr>
                      <w:rFonts w:hint="eastAsia"/>
                      <w:sz w:val="21"/>
                      <w:szCs w:val="21"/>
                      <w:vertAlign w:val="subscript"/>
                    </w:rPr>
                    <w:t>2</w:t>
                  </w:r>
                  <w:r>
                    <w:rPr>
                      <w:rFonts w:hint="eastAsia"/>
                      <w:sz w:val="21"/>
                      <w:szCs w:val="21"/>
                    </w:rPr>
                    <w:t>、NO</w:t>
                  </w:r>
                  <w:r>
                    <w:rPr>
                      <w:rFonts w:hint="eastAsia"/>
                      <w:sz w:val="21"/>
                      <w:szCs w:val="21"/>
                      <w:vertAlign w:val="subscript"/>
                    </w:rPr>
                    <w:t>X</w:t>
                  </w:r>
                </w:p>
              </w:tc>
              <w:tc>
                <w:tcPr>
                  <w:tcW w:w="3235" w:type="dxa"/>
                  <w:vAlign w:val="center"/>
                </w:tcPr>
                <w:p w14:paraId="081E1250">
                  <w:pPr>
                    <w:spacing w:line="240" w:lineRule="auto"/>
                    <w:ind w:firstLine="0" w:firstLineChars="0"/>
                    <w:jc w:val="center"/>
                    <w:rPr>
                      <w:sz w:val="21"/>
                      <w:szCs w:val="21"/>
                    </w:rPr>
                  </w:pPr>
                  <w:r>
                    <w:rPr>
                      <w:rFonts w:hint="eastAsia"/>
                      <w:sz w:val="21"/>
                      <w:szCs w:val="21"/>
                    </w:rPr>
                    <w:t>密闭管道收集，经布袋除尘器处理后经1根15m排气筒排放（DA001）</w:t>
                  </w:r>
                </w:p>
              </w:tc>
            </w:tr>
            <w:tr w14:paraId="6786B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09" w:type="dxa"/>
                  <w:vMerge w:val="continue"/>
                  <w:vAlign w:val="center"/>
                </w:tcPr>
                <w:p w14:paraId="37498B00">
                  <w:pPr>
                    <w:spacing w:line="240" w:lineRule="auto"/>
                    <w:ind w:firstLine="0" w:firstLineChars="0"/>
                    <w:jc w:val="center"/>
                    <w:rPr>
                      <w:sz w:val="21"/>
                      <w:szCs w:val="21"/>
                    </w:rPr>
                  </w:pPr>
                </w:p>
              </w:tc>
              <w:tc>
                <w:tcPr>
                  <w:tcW w:w="2063" w:type="dxa"/>
                  <w:vAlign w:val="center"/>
                </w:tcPr>
                <w:p w14:paraId="395A1EED">
                  <w:pPr>
                    <w:spacing w:line="240" w:lineRule="auto"/>
                    <w:ind w:firstLine="0" w:firstLineChars="0"/>
                    <w:jc w:val="center"/>
                    <w:rPr>
                      <w:sz w:val="21"/>
                      <w:szCs w:val="21"/>
                    </w:rPr>
                  </w:pPr>
                  <w:r>
                    <w:rPr>
                      <w:rFonts w:hint="eastAsia"/>
                      <w:sz w:val="21"/>
                      <w:szCs w:val="21"/>
                    </w:rPr>
                    <w:t>厂内运输扬尘</w:t>
                  </w:r>
                </w:p>
              </w:tc>
              <w:tc>
                <w:tcPr>
                  <w:tcW w:w="1696" w:type="dxa"/>
                  <w:vAlign w:val="center"/>
                </w:tcPr>
                <w:p w14:paraId="06F73297">
                  <w:pPr>
                    <w:spacing w:line="240" w:lineRule="auto"/>
                    <w:ind w:firstLine="0" w:firstLineChars="0"/>
                    <w:jc w:val="center"/>
                    <w:rPr>
                      <w:sz w:val="21"/>
                      <w:szCs w:val="21"/>
                    </w:rPr>
                  </w:pPr>
                  <w:r>
                    <w:rPr>
                      <w:rFonts w:hint="eastAsia"/>
                      <w:sz w:val="21"/>
                      <w:szCs w:val="21"/>
                    </w:rPr>
                    <w:t>颗粒物</w:t>
                  </w:r>
                </w:p>
              </w:tc>
              <w:tc>
                <w:tcPr>
                  <w:tcW w:w="3235" w:type="dxa"/>
                  <w:vAlign w:val="center"/>
                </w:tcPr>
                <w:p w14:paraId="5AE33150">
                  <w:pPr>
                    <w:spacing w:line="240" w:lineRule="auto"/>
                    <w:ind w:firstLine="0" w:firstLineChars="0"/>
                    <w:jc w:val="center"/>
                    <w:rPr>
                      <w:sz w:val="21"/>
                      <w:szCs w:val="21"/>
                    </w:rPr>
                  </w:pPr>
                  <w:r>
                    <w:rPr>
                      <w:rFonts w:hint="eastAsia"/>
                      <w:sz w:val="21"/>
                      <w:szCs w:val="21"/>
                    </w:rPr>
                    <w:t>洒水降尘</w:t>
                  </w:r>
                </w:p>
              </w:tc>
            </w:tr>
            <w:tr w14:paraId="555C1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09" w:type="dxa"/>
                  <w:vMerge w:val="continue"/>
                  <w:vAlign w:val="center"/>
                </w:tcPr>
                <w:p w14:paraId="56E31746">
                  <w:pPr>
                    <w:spacing w:line="240" w:lineRule="auto"/>
                    <w:ind w:firstLine="0" w:firstLineChars="0"/>
                    <w:jc w:val="center"/>
                    <w:rPr>
                      <w:sz w:val="21"/>
                      <w:szCs w:val="21"/>
                    </w:rPr>
                  </w:pPr>
                </w:p>
              </w:tc>
              <w:tc>
                <w:tcPr>
                  <w:tcW w:w="2063" w:type="dxa"/>
                  <w:vAlign w:val="center"/>
                </w:tcPr>
                <w:p w14:paraId="70678B41">
                  <w:pPr>
                    <w:spacing w:line="240" w:lineRule="auto"/>
                    <w:ind w:firstLine="0" w:firstLineChars="0"/>
                    <w:jc w:val="center"/>
                    <w:rPr>
                      <w:sz w:val="21"/>
                      <w:szCs w:val="21"/>
                    </w:rPr>
                  </w:pPr>
                  <w:r>
                    <w:rPr>
                      <w:rFonts w:hint="eastAsia"/>
                      <w:sz w:val="21"/>
                      <w:szCs w:val="21"/>
                    </w:rPr>
                    <w:t>导热油炉燃油废气</w:t>
                  </w:r>
                </w:p>
              </w:tc>
              <w:tc>
                <w:tcPr>
                  <w:tcW w:w="1696" w:type="dxa"/>
                  <w:vAlign w:val="center"/>
                </w:tcPr>
                <w:p w14:paraId="2AC3D928">
                  <w:pPr>
                    <w:spacing w:line="240" w:lineRule="auto"/>
                    <w:ind w:firstLine="0" w:firstLineChars="0"/>
                    <w:jc w:val="center"/>
                    <w:rPr>
                      <w:sz w:val="21"/>
                      <w:szCs w:val="21"/>
                    </w:rPr>
                  </w:pPr>
                  <w:r>
                    <w:rPr>
                      <w:rFonts w:hint="eastAsia"/>
                      <w:sz w:val="21"/>
                      <w:szCs w:val="21"/>
                    </w:rPr>
                    <w:t>颗粒物、SO</w:t>
                  </w:r>
                  <w:r>
                    <w:rPr>
                      <w:rFonts w:hint="eastAsia"/>
                      <w:sz w:val="21"/>
                      <w:szCs w:val="21"/>
                      <w:vertAlign w:val="subscript"/>
                    </w:rPr>
                    <w:t>2</w:t>
                  </w:r>
                  <w:r>
                    <w:rPr>
                      <w:rFonts w:hint="eastAsia"/>
                      <w:sz w:val="21"/>
                      <w:szCs w:val="21"/>
                    </w:rPr>
                    <w:t>、NO</w:t>
                  </w:r>
                  <w:r>
                    <w:rPr>
                      <w:rFonts w:hint="eastAsia"/>
                      <w:sz w:val="21"/>
                      <w:szCs w:val="21"/>
                      <w:vertAlign w:val="subscript"/>
                    </w:rPr>
                    <w:t>X</w:t>
                  </w:r>
                </w:p>
              </w:tc>
              <w:tc>
                <w:tcPr>
                  <w:tcW w:w="3235" w:type="dxa"/>
                  <w:vAlign w:val="center"/>
                </w:tcPr>
                <w:p w14:paraId="1EEB36E4">
                  <w:pPr>
                    <w:spacing w:line="240" w:lineRule="auto"/>
                    <w:ind w:firstLine="0" w:firstLineChars="0"/>
                    <w:jc w:val="center"/>
                    <w:rPr>
                      <w:sz w:val="21"/>
                      <w:szCs w:val="21"/>
                    </w:rPr>
                  </w:pPr>
                  <w:r>
                    <w:rPr>
                      <w:rFonts w:hint="eastAsia"/>
                      <w:sz w:val="21"/>
                      <w:szCs w:val="21"/>
                    </w:rPr>
                    <w:t>经1根</w:t>
                  </w:r>
                  <w:r>
                    <w:rPr>
                      <w:rFonts w:hint="eastAsia"/>
                      <w:color w:val="000000" w:themeColor="text1"/>
                      <w:sz w:val="21"/>
                      <w:szCs w:val="21"/>
                      <w14:textFill>
                        <w14:solidFill>
                          <w14:schemeClr w14:val="tx1"/>
                        </w14:solidFill>
                      </w14:textFill>
                    </w:rPr>
                    <w:t>15m排</w:t>
                  </w:r>
                  <w:r>
                    <w:rPr>
                      <w:rFonts w:hint="eastAsia"/>
                      <w:sz w:val="21"/>
                      <w:szCs w:val="21"/>
                    </w:rPr>
                    <w:t>气筒排放（DA002）</w:t>
                  </w:r>
                </w:p>
              </w:tc>
            </w:tr>
            <w:tr w14:paraId="1477D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09" w:type="dxa"/>
                  <w:vMerge w:val="continue"/>
                  <w:vAlign w:val="center"/>
                </w:tcPr>
                <w:p w14:paraId="073298AC">
                  <w:pPr>
                    <w:spacing w:line="240" w:lineRule="auto"/>
                    <w:ind w:firstLine="0" w:firstLineChars="0"/>
                    <w:jc w:val="center"/>
                    <w:rPr>
                      <w:sz w:val="21"/>
                      <w:szCs w:val="21"/>
                    </w:rPr>
                  </w:pPr>
                </w:p>
              </w:tc>
              <w:tc>
                <w:tcPr>
                  <w:tcW w:w="2063" w:type="dxa"/>
                  <w:vAlign w:val="center"/>
                </w:tcPr>
                <w:p w14:paraId="39EDD930">
                  <w:pPr>
                    <w:spacing w:line="240" w:lineRule="auto"/>
                    <w:ind w:firstLine="0" w:firstLineChars="0"/>
                    <w:jc w:val="center"/>
                    <w:rPr>
                      <w:sz w:val="21"/>
                      <w:szCs w:val="21"/>
                    </w:rPr>
                  </w:pPr>
                  <w:r>
                    <w:rPr>
                      <w:rFonts w:hint="eastAsia"/>
                      <w:sz w:val="21"/>
                      <w:szCs w:val="21"/>
                    </w:rPr>
                    <w:t>沥青罐加热废气、出料废气</w:t>
                  </w:r>
                </w:p>
              </w:tc>
              <w:tc>
                <w:tcPr>
                  <w:tcW w:w="1696" w:type="dxa"/>
                  <w:vAlign w:val="center"/>
                </w:tcPr>
                <w:p w14:paraId="038EF3A0">
                  <w:pPr>
                    <w:spacing w:line="240" w:lineRule="auto"/>
                    <w:ind w:firstLine="0" w:firstLineChars="0"/>
                    <w:jc w:val="center"/>
                    <w:rPr>
                      <w:sz w:val="21"/>
                      <w:szCs w:val="21"/>
                    </w:rPr>
                  </w:pPr>
                  <w:r>
                    <w:rPr>
                      <w:rFonts w:hint="eastAsia"/>
                      <w:sz w:val="21"/>
                      <w:szCs w:val="21"/>
                    </w:rPr>
                    <w:t>沥青烟、苯并[a]芘、非甲烷总烃</w:t>
                  </w:r>
                </w:p>
              </w:tc>
              <w:tc>
                <w:tcPr>
                  <w:tcW w:w="3235" w:type="dxa"/>
                  <w:vAlign w:val="center"/>
                </w:tcPr>
                <w:p w14:paraId="27E401BE">
                  <w:pPr>
                    <w:spacing w:line="240" w:lineRule="auto"/>
                    <w:ind w:firstLine="0" w:firstLineChars="0"/>
                    <w:jc w:val="center"/>
                    <w:rPr>
                      <w:sz w:val="21"/>
                      <w:szCs w:val="21"/>
                    </w:rPr>
                  </w:pPr>
                  <w:r>
                    <w:rPr>
                      <w:rFonts w:hint="eastAsia"/>
                      <w:sz w:val="21"/>
                      <w:szCs w:val="21"/>
                    </w:rPr>
                    <w:t>经管道和集气罩收集，由电捕焦油器+三级活性炭吸附处理后经1根15m排气筒排放（DA003）</w:t>
                  </w:r>
                </w:p>
              </w:tc>
            </w:tr>
            <w:tr w14:paraId="1C754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09" w:type="dxa"/>
                  <w:vMerge w:val="restart"/>
                  <w:vAlign w:val="center"/>
                </w:tcPr>
                <w:p w14:paraId="5E06249F">
                  <w:pPr>
                    <w:spacing w:line="240" w:lineRule="auto"/>
                    <w:ind w:firstLine="0" w:firstLineChars="0"/>
                    <w:jc w:val="center"/>
                    <w:rPr>
                      <w:sz w:val="21"/>
                      <w:szCs w:val="21"/>
                    </w:rPr>
                  </w:pPr>
                  <w:r>
                    <w:rPr>
                      <w:rFonts w:hint="eastAsia"/>
                      <w:sz w:val="21"/>
                      <w:szCs w:val="21"/>
                    </w:rPr>
                    <w:t>废水</w:t>
                  </w:r>
                </w:p>
              </w:tc>
              <w:tc>
                <w:tcPr>
                  <w:tcW w:w="2063" w:type="dxa"/>
                  <w:vAlign w:val="center"/>
                </w:tcPr>
                <w:p w14:paraId="6E3DBF1A">
                  <w:pPr>
                    <w:spacing w:line="240" w:lineRule="auto"/>
                    <w:ind w:firstLine="0" w:firstLineChars="0"/>
                    <w:jc w:val="center"/>
                    <w:rPr>
                      <w:sz w:val="21"/>
                      <w:szCs w:val="21"/>
                    </w:rPr>
                  </w:pPr>
                  <w:r>
                    <w:rPr>
                      <w:rFonts w:hint="eastAsia"/>
                      <w:sz w:val="21"/>
                      <w:szCs w:val="21"/>
                    </w:rPr>
                    <w:t>运输车辆清洗水</w:t>
                  </w:r>
                </w:p>
              </w:tc>
              <w:tc>
                <w:tcPr>
                  <w:tcW w:w="1696" w:type="dxa"/>
                  <w:vAlign w:val="center"/>
                </w:tcPr>
                <w:p w14:paraId="048155C6">
                  <w:pPr>
                    <w:spacing w:line="240" w:lineRule="auto"/>
                    <w:ind w:firstLine="0" w:firstLineChars="0"/>
                    <w:jc w:val="center"/>
                    <w:rPr>
                      <w:sz w:val="21"/>
                      <w:szCs w:val="21"/>
                    </w:rPr>
                  </w:pPr>
                  <w:r>
                    <w:rPr>
                      <w:rFonts w:hint="eastAsia"/>
                      <w:sz w:val="21"/>
                      <w:szCs w:val="21"/>
                    </w:rPr>
                    <w:t>SS</w:t>
                  </w:r>
                </w:p>
              </w:tc>
              <w:tc>
                <w:tcPr>
                  <w:tcW w:w="3235" w:type="dxa"/>
                  <w:vAlign w:val="center"/>
                </w:tcPr>
                <w:p w14:paraId="7E917B51">
                  <w:pPr>
                    <w:spacing w:line="240" w:lineRule="auto"/>
                    <w:ind w:firstLine="0" w:firstLineChars="0"/>
                    <w:jc w:val="center"/>
                    <w:rPr>
                      <w:sz w:val="21"/>
                      <w:szCs w:val="21"/>
                    </w:rPr>
                  </w:pPr>
                  <w:r>
                    <w:rPr>
                      <w:rFonts w:hint="eastAsia"/>
                      <w:sz w:val="21"/>
                      <w:szCs w:val="21"/>
                    </w:rPr>
                    <w:t>车轮清洗废水经洗车池收集后循环使用，定期补充蒸发损耗水量</w:t>
                  </w:r>
                </w:p>
              </w:tc>
            </w:tr>
            <w:tr w14:paraId="14299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09" w:type="dxa"/>
                  <w:vMerge w:val="continue"/>
                  <w:vAlign w:val="center"/>
                </w:tcPr>
                <w:p w14:paraId="702F577C">
                  <w:pPr>
                    <w:spacing w:line="240" w:lineRule="auto"/>
                    <w:ind w:firstLine="0" w:firstLineChars="0"/>
                    <w:jc w:val="center"/>
                    <w:rPr>
                      <w:sz w:val="21"/>
                      <w:szCs w:val="21"/>
                    </w:rPr>
                  </w:pPr>
                </w:p>
              </w:tc>
              <w:tc>
                <w:tcPr>
                  <w:tcW w:w="2063" w:type="dxa"/>
                  <w:vAlign w:val="center"/>
                </w:tcPr>
                <w:p w14:paraId="73F55552">
                  <w:pPr>
                    <w:spacing w:line="240" w:lineRule="auto"/>
                    <w:ind w:firstLine="0" w:firstLineChars="0"/>
                    <w:jc w:val="center"/>
                    <w:rPr>
                      <w:sz w:val="21"/>
                      <w:szCs w:val="21"/>
                    </w:rPr>
                  </w:pPr>
                  <w:r>
                    <w:rPr>
                      <w:rFonts w:hint="eastAsia"/>
                      <w:sz w:val="21"/>
                      <w:szCs w:val="21"/>
                    </w:rPr>
                    <w:t>生活污水</w:t>
                  </w:r>
                </w:p>
              </w:tc>
              <w:tc>
                <w:tcPr>
                  <w:tcW w:w="1696" w:type="dxa"/>
                  <w:vAlign w:val="center"/>
                </w:tcPr>
                <w:p w14:paraId="172C5C6B">
                  <w:pPr>
                    <w:spacing w:line="240" w:lineRule="auto"/>
                    <w:ind w:firstLine="0" w:firstLineChars="0"/>
                    <w:jc w:val="center"/>
                    <w:rPr>
                      <w:sz w:val="21"/>
                      <w:szCs w:val="21"/>
                    </w:rPr>
                  </w:pPr>
                  <w:r>
                    <w:rPr>
                      <w:rFonts w:hint="eastAsia"/>
                      <w:sz w:val="21"/>
                      <w:szCs w:val="21"/>
                    </w:rPr>
                    <w:t>COD、SS、NH</w:t>
                  </w:r>
                  <w:r>
                    <w:rPr>
                      <w:rFonts w:hint="eastAsia"/>
                      <w:sz w:val="21"/>
                      <w:szCs w:val="21"/>
                      <w:vertAlign w:val="subscript"/>
                    </w:rPr>
                    <w:t>3</w:t>
                  </w:r>
                  <w:r>
                    <w:rPr>
                      <w:rFonts w:hint="eastAsia"/>
                      <w:sz w:val="21"/>
                      <w:szCs w:val="21"/>
                    </w:rPr>
                    <w:t>-N、TP、BOD</w:t>
                  </w:r>
                  <w:r>
                    <w:rPr>
                      <w:rFonts w:hint="eastAsia"/>
                      <w:sz w:val="21"/>
                      <w:szCs w:val="21"/>
                      <w:vertAlign w:val="subscript"/>
                    </w:rPr>
                    <w:t>5</w:t>
                  </w:r>
                  <w:r>
                    <w:rPr>
                      <w:rFonts w:hint="eastAsia"/>
                      <w:sz w:val="21"/>
                      <w:szCs w:val="21"/>
                    </w:rPr>
                    <w:t>、动植物油等</w:t>
                  </w:r>
                </w:p>
              </w:tc>
              <w:tc>
                <w:tcPr>
                  <w:tcW w:w="3235" w:type="dxa"/>
                  <w:vAlign w:val="center"/>
                </w:tcPr>
                <w:p w14:paraId="7287DB65">
                  <w:pPr>
                    <w:spacing w:line="240" w:lineRule="auto"/>
                    <w:ind w:firstLine="0" w:firstLineChars="0"/>
                    <w:jc w:val="center"/>
                    <w:rPr>
                      <w:sz w:val="21"/>
                      <w:szCs w:val="21"/>
                    </w:rPr>
                  </w:pPr>
                  <w:r>
                    <w:rPr>
                      <w:rFonts w:hint="eastAsia"/>
                      <w:sz w:val="21"/>
                      <w:szCs w:val="21"/>
                    </w:rPr>
                    <w:t>食堂含油污水拟建油水分离器处理，再同其他生活污水进入化粪池、一体化污水处理设备处理后回用绿化，不外排</w:t>
                  </w:r>
                </w:p>
              </w:tc>
            </w:tr>
            <w:tr w14:paraId="77DAB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09" w:type="dxa"/>
                  <w:vMerge w:val="continue"/>
                  <w:vAlign w:val="center"/>
                </w:tcPr>
                <w:p w14:paraId="2EE2B2EA">
                  <w:pPr>
                    <w:spacing w:line="240" w:lineRule="auto"/>
                    <w:ind w:firstLine="0" w:firstLineChars="0"/>
                    <w:jc w:val="center"/>
                    <w:rPr>
                      <w:sz w:val="21"/>
                      <w:szCs w:val="21"/>
                    </w:rPr>
                  </w:pPr>
                </w:p>
              </w:tc>
              <w:tc>
                <w:tcPr>
                  <w:tcW w:w="2063" w:type="dxa"/>
                  <w:vAlign w:val="center"/>
                </w:tcPr>
                <w:p w14:paraId="097EC01D">
                  <w:pPr>
                    <w:spacing w:line="240" w:lineRule="auto"/>
                    <w:ind w:firstLine="0" w:firstLineChars="0"/>
                    <w:jc w:val="center"/>
                    <w:rPr>
                      <w:sz w:val="21"/>
                      <w:szCs w:val="21"/>
                    </w:rPr>
                  </w:pPr>
                  <w:r>
                    <w:rPr>
                      <w:rFonts w:hint="eastAsia"/>
                      <w:sz w:val="21"/>
                      <w:szCs w:val="21"/>
                    </w:rPr>
                    <w:t>初期雨水</w:t>
                  </w:r>
                </w:p>
              </w:tc>
              <w:tc>
                <w:tcPr>
                  <w:tcW w:w="1696" w:type="dxa"/>
                  <w:vAlign w:val="center"/>
                </w:tcPr>
                <w:p w14:paraId="6DDE5AE8">
                  <w:pPr>
                    <w:spacing w:line="240" w:lineRule="auto"/>
                    <w:ind w:firstLine="0" w:firstLineChars="0"/>
                    <w:jc w:val="center"/>
                    <w:rPr>
                      <w:sz w:val="21"/>
                      <w:szCs w:val="21"/>
                    </w:rPr>
                  </w:pPr>
                  <w:r>
                    <w:rPr>
                      <w:rFonts w:hint="eastAsia"/>
                      <w:sz w:val="21"/>
                      <w:szCs w:val="21"/>
                    </w:rPr>
                    <w:t>SS</w:t>
                  </w:r>
                </w:p>
              </w:tc>
              <w:tc>
                <w:tcPr>
                  <w:tcW w:w="3235" w:type="dxa"/>
                  <w:vAlign w:val="center"/>
                </w:tcPr>
                <w:p w14:paraId="49C9B629">
                  <w:pPr>
                    <w:spacing w:line="240" w:lineRule="auto"/>
                    <w:ind w:firstLine="0" w:firstLineChars="0"/>
                    <w:jc w:val="center"/>
                    <w:rPr>
                      <w:sz w:val="21"/>
                      <w:szCs w:val="21"/>
                    </w:rPr>
                  </w:pPr>
                  <w:r>
                    <w:rPr>
                      <w:rFonts w:hint="eastAsia"/>
                      <w:sz w:val="21"/>
                      <w:szCs w:val="21"/>
                    </w:rPr>
                    <w:t>经初期雨水收集沉淀池处理后回用洒水降尘及绿化</w:t>
                  </w:r>
                </w:p>
              </w:tc>
            </w:tr>
            <w:tr w14:paraId="4E2E5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09" w:type="dxa"/>
                  <w:vAlign w:val="center"/>
                </w:tcPr>
                <w:p w14:paraId="17281DE8">
                  <w:pPr>
                    <w:spacing w:line="240" w:lineRule="auto"/>
                    <w:ind w:firstLine="0" w:firstLineChars="0"/>
                    <w:jc w:val="center"/>
                    <w:rPr>
                      <w:sz w:val="21"/>
                      <w:szCs w:val="21"/>
                    </w:rPr>
                  </w:pPr>
                  <w:r>
                    <w:rPr>
                      <w:rFonts w:hint="eastAsia"/>
                      <w:sz w:val="21"/>
                      <w:szCs w:val="21"/>
                    </w:rPr>
                    <w:t>噪声</w:t>
                  </w:r>
                </w:p>
              </w:tc>
              <w:tc>
                <w:tcPr>
                  <w:tcW w:w="2063" w:type="dxa"/>
                  <w:vAlign w:val="center"/>
                </w:tcPr>
                <w:p w14:paraId="699B565B">
                  <w:pPr>
                    <w:spacing w:line="240" w:lineRule="auto"/>
                    <w:ind w:firstLine="0" w:firstLineChars="0"/>
                    <w:jc w:val="center"/>
                    <w:rPr>
                      <w:sz w:val="21"/>
                      <w:szCs w:val="21"/>
                    </w:rPr>
                  </w:pPr>
                  <w:r>
                    <w:rPr>
                      <w:rFonts w:hint="eastAsia"/>
                      <w:sz w:val="21"/>
                      <w:szCs w:val="21"/>
                    </w:rPr>
                    <w:t>生产工序</w:t>
                  </w:r>
                </w:p>
              </w:tc>
              <w:tc>
                <w:tcPr>
                  <w:tcW w:w="1696" w:type="dxa"/>
                  <w:vAlign w:val="center"/>
                </w:tcPr>
                <w:p w14:paraId="586BAE00">
                  <w:pPr>
                    <w:spacing w:line="240" w:lineRule="auto"/>
                    <w:ind w:firstLine="0" w:firstLineChars="0"/>
                    <w:jc w:val="center"/>
                    <w:rPr>
                      <w:sz w:val="21"/>
                      <w:szCs w:val="21"/>
                    </w:rPr>
                  </w:pPr>
                  <w:r>
                    <w:rPr>
                      <w:rFonts w:hint="eastAsia"/>
                      <w:sz w:val="21"/>
                      <w:szCs w:val="21"/>
                    </w:rPr>
                    <w:t>设备噪声</w:t>
                  </w:r>
                </w:p>
              </w:tc>
              <w:tc>
                <w:tcPr>
                  <w:tcW w:w="3235" w:type="dxa"/>
                  <w:vAlign w:val="center"/>
                </w:tcPr>
                <w:p w14:paraId="4F1184C3">
                  <w:pPr>
                    <w:spacing w:line="240" w:lineRule="auto"/>
                    <w:ind w:firstLine="0" w:firstLineChars="0"/>
                    <w:jc w:val="center"/>
                    <w:rPr>
                      <w:sz w:val="21"/>
                      <w:szCs w:val="21"/>
                    </w:rPr>
                  </w:pPr>
                  <w:r>
                    <w:rPr>
                      <w:rFonts w:hint="eastAsia"/>
                      <w:sz w:val="21"/>
                      <w:szCs w:val="21"/>
                    </w:rPr>
                    <w:t>基础减振、风机进出口设消音器</w:t>
                  </w:r>
                </w:p>
              </w:tc>
            </w:tr>
            <w:tr w14:paraId="0AC06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09" w:type="dxa"/>
                  <w:vMerge w:val="restart"/>
                  <w:vAlign w:val="center"/>
                </w:tcPr>
                <w:p w14:paraId="095D8245">
                  <w:pPr>
                    <w:spacing w:line="240" w:lineRule="auto"/>
                    <w:ind w:firstLine="0" w:firstLineChars="0"/>
                    <w:jc w:val="center"/>
                    <w:rPr>
                      <w:sz w:val="21"/>
                      <w:szCs w:val="21"/>
                    </w:rPr>
                  </w:pPr>
                  <w:r>
                    <w:rPr>
                      <w:rFonts w:hint="eastAsia"/>
                      <w:sz w:val="21"/>
                      <w:szCs w:val="21"/>
                    </w:rPr>
                    <w:t>固废</w:t>
                  </w:r>
                </w:p>
              </w:tc>
              <w:tc>
                <w:tcPr>
                  <w:tcW w:w="2063" w:type="dxa"/>
                  <w:vAlign w:val="center"/>
                </w:tcPr>
                <w:p w14:paraId="1F0429A5">
                  <w:pPr>
                    <w:spacing w:line="240" w:lineRule="auto"/>
                    <w:ind w:firstLine="0" w:firstLineChars="0"/>
                    <w:jc w:val="center"/>
                    <w:rPr>
                      <w:sz w:val="21"/>
                      <w:szCs w:val="21"/>
                    </w:rPr>
                  </w:pPr>
                  <w:r>
                    <w:rPr>
                      <w:rFonts w:hint="eastAsia"/>
                      <w:sz w:val="21"/>
                      <w:szCs w:val="21"/>
                    </w:rPr>
                    <w:t>布袋除尘器</w:t>
                  </w:r>
                </w:p>
              </w:tc>
              <w:tc>
                <w:tcPr>
                  <w:tcW w:w="1696" w:type="dxa"/>
                  <w:vAlign w:val="center"/>
                </w:tcPr>
                <w:p w14:paraId="340EC538">
                  <w:pPr>
                    <w:spacing w:line="240" w:lineRule="auto"/>
                    <w:ind w:firstLine="0" w:firstLineChars="0"/>
                    <w:jc w:val="center"/>
                    <w:rPr>
                      <w:sz w:val="21"/>
                      <w:szCs w:val="21"/>
                    </w:rPr>
                  </w:pPr>
                  <w:r>
                    <w:rPr>
                      <w:rFonts w:hint="eastAsia"/>
                      <w:sz w:val="21"/>
                      <w:szCs w:val="21"/>
                    </w:rPr>
                    <w:t>收集粉尘、废布袋</w:t>
                  </w:r>
                </w:p>
              </w:tc>
              <w:tc>
                <w:tcPr>
                  <w:tcW w:w="3235" w:type="dxa"/>
                  <w:vAlign w:val="center"/>
                </w:tcPr>
                <w:p w14:paraId="31FAAA52">
                  <w:pPr>
                    <w:spacing w:line="240" w:lineRule="auto"/>
                    <w:ind w:firstLine="0" w:firstLineChars="0"/>
                    <w:jc w:val="center"/>
                    <w:rPr>
                      <w:sz w:val="21"/>
                      <w:szCs w:val="21"/>
                    </w:rPr>
                  </w:pPr>
                  <w:r>
                    <w:rPr>
                      <w:rFonts w:hint="eastAsia"/>
                      <w:sz w:val="21"/>
                      <w:szCs w:val="21"/>
                    </w:rPr>
                    <w:t>粉尘收集后作为矿粉填料回用与生产，废布袋厂家更换回收处置</w:t>
                  </w:r>
                </w:p>
              </w:tc>
            </w:tr>
            <w:tr w14:paraId="4BDAD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09" w:type="dxa"/>
                  <w:vMerge w:val="continue"/>
                  <w:vAlign w:val="center"/>
                </w:tcPr>
                <w:p w14:paraId="3FEA87D1">
                  <w:pPr>
                    <w:spacing w:line="240" w:lineRule="auto"/>
                    <w:ind w:firstLine="0" w:firstLineChars="0"/>
                    <w:jc w:val="center"/>
                    <w:rPr>
                      <w:sz w:val="21"/>
                      <w:szCs w:val="21"/>
                    </w:rPr>
                  </w:pPr>
                </w:p>
              </w:tc>
              <w:tc>
                <w:tcPr>
                  <w:tcW w:w="2063" w:type="dxa"/>
                  <w:vAlign w:val="center"/>
                </w:tcPr>
                <w:p w14:paraId="462F882A">
                  <w:pPr>
                    <w:spacing w:line="240" w:lineRule="auto"/>
                    <w:ind w:firstLine="0" w:firstLineChars="0"/>
                    <w:jc w:val="center"/>
                    <w:rPr>
                      <w:sz w:val="21"/>
                      <w:szCs w:val="21"/>
                    </w:rPr>
                  </w:pPr>
                  <w:r>
                    <w:rPr>
                      <w:rFonts w:hint="eastAsia"/>
                      <w:sz w:val="21"/>
                      <w:szCs w:val="21"/>
                    </w:rPr>
                    <w:t>导热油炉</w:t>
                  </w:r>
                </w:p>
              </w:tc>
              <w:tc>
                <w:tcPr>
                  <w:tcW w:w="1696" w:type="dxa"/>
                  <w:vAlign w:val="center"/>
                </w:tcPr>
                <w:p w14:paraId="399D5102">
                  <w:pPr>
                    <w:spacing w:line="240" w:lineRule="auto"/>
                    <w:ind w:firstLine="0" w:firstLineChars="0"/>
                    <w:jc w:val="center"/>
                    <w:rPr>
                      <w:sz w:val="21"/>
                      <w:szCs w:val="21"/>
                    </w:rPr>
                  </w:pPr>
                  <w:r>
                    <w:rPr>
                      <w:rFonts w:hint="eastAsia"/>
                      <w:sz w:val="21"/>
                      <w:szCs w:val="21"/>
                    </w:rPr>
                    <w:t>废导热油</w:t>
                  </w:r>
                </w:p>
              </w:tc>
              <w:tc>
                <w:tcPr>
                  <w:tcW w:w="3235" w:type="dxa"/>
                  <w:vAlign w:val="center"/>
                </w:tcPr>
                <w:p w14:paraId="7321A03B">
                  <w:pPr>
                    <w:spacing w:line="240" w:lineRule="auto"/>
                    <w:ind w:firstLine="0" w:firstLineChars="0"/>
                    <w:jc w:val="center"/>
                    <w:rPr>
                      <w:sz w:val="21"/>
                      <w:szCs w:val="21"/>
                    </w:rPr>
                  </w:pPr>
                  <w:r>
                    <w:rPr>
                      <w:rFonts w:hint="eastAsia"/>
                      <w:sz w:val="21"/>
                      <w:szCs w:val="21"/>
                    </w:rPr>
                    <w:t>由更换厂家带走回收处置，不在厂区暂存。</w:t>
                  </w:r>
                </w:p>
              </w:tc>
            </w:tr>
            <w:tr w14:paraId="2650C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09" w:type="dxa"/>
                  <w:vMerge w:val="continue"/>
                  <w:vAlign w:val="center"/>
                </w:tcPr>
                <w:p w14:paraId="0996BC9B">
                  <w:pPr>
                    <w:spacing w:line="240" w:lineRule="auto"/>
                    <w:ind w:firstLine="0" w:firstLineChars="0"/>
                    <w:jc w:val="center"/>
                    <w:rPr>
                      <w:sz w:val="21"/>
                      <w:szCs w:val="21"/>
                    </w:rPr>
                  </w:pPr>
                </w:p>
              </w:tc>
              <w:tc>
                <w:tcPr>
                  <w:tcW w:w="2063" w:type="dxa"/>
                  <w:vAlign w:val="center"/>
                </w:tcPr>
                <w:p w14:paraId="50137CF5">
                  <w:pPr>
                    <w:spacing w:line="240" w:lineRule="auto"/>
                    <w:ind w:firstLine="0" w:firstLineChars="0"/>
                    <w:jc w:val="center"/>
                    <w:rPr>
                      <w:sz w:val="21"/>
                      <w:szCs w:val="21"/>
                    </w:rPr>
                  </w:pPr>
                  <w:r>
                    <w:rPr>
                      <w:rFonts w:hint="eastAsia"/>
                      <w:sz w:val="21"/>
                      <w:szCs w:val="21"/>
                    </w:rPr>
                    <w:t>活性炭吸附装置</w:t>
                  </w:r>
                </w:p>
              </w:tc>
              <w:tc>
                <w:tcPr>
                  <w:tcW w:w="1696" w:type="dxa"/>
                  <w:vAlign w:val="center"/>
                </w:tcPr>
                <w:p w14:paraId="46DE74FE">
                  <w:pPr>
                    <w:spacing w:line="240" w:lineRule="auto"/>
                    <w:ind w:firstLine="0" w:firstLineChars="0"/>
                    <w:jc w:val="center"/>
                    <w:rPr>
                      <w:sz w:val="21"/>
                      <w:szCs w:val="21"/>
                    </w:rPr>
                  </w:pPr>
                  <w:r>
                    <w:rPr>
                      <w:rFonts w:hint="eastAsia"/>
                      <w:sz w:val="21"/>
                      <w:szCs w:val="21"/>
                    </w:rPr>
                    <w:t>废活性炭</w:t>
                  </w:r>
                </w:p>
              </w:tc>
              <w:tc>
                <w:tcPr>
                  <w:tcW w:w="3235" w:type="dxa"/>
                  <w:vAlign w:val="center"/>
                </w:tcPr>
                <w:p w14:paraId="3F192075">
                  <w:pPr>
                    <w:spacing w:line="240" w:lineRule="auto"/>
                    <w:ind w:firstLine="0" w:firstLineChars="0"/>
                    <w:jc w:val="center"/>
                    <w:rPr>
                      <w:sz w:val="21"/>
                      <w:szCs w:val="21"/>
                    </w:rPr>
                  </w:pPr>
                  <w:r>
                    <w:rPr>
                      <w:rFonts w:hint="eastAsia"/>
                      <w:sz w:val="21"/>
                      <w:szCs w:val="21"/>
                    </w:rPr>
                    <w:t>收集后及时定期委托有资质单位清运处置</w:t>
                  </w:r>
                </w:p>
              </w:tc>
            </w:tr>
            <w:tr w14:paraId="453EE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09" w:type="dxa"/>
                  <w:vMerge w:val="continue"/>
                  <w:vAlign w:val="center"/>
                </w:tcPr>
                <w:p w14:paraId="02ED858C">
                  <w:pPr>
                    <w:spacing w:line="240" w:lineRule="auto"/>
                    <w:ind w:firstLine="0" w:firstLineChars="0"/>
                    <w:jc w:val="center"/>
                    <w:rPr>
                      <w:sz w:val="21"/>
                      <w:szCs w:val="21"/>
                    </w:rPr>
                  </w:pPr>
                </w:p>
              </w:tc>
              <w:tc>
                <w:tcPr>
                  <w:tcW w:w="2063" w:type="dxa"/>
                  <w:vAlign w:val="center"/>
                </w:tcPr>
                <w:p w14:paraId="2F37780D">
                  <w:pPr>
                    <w:spacing w:line="240" w:lineRule="auto"/>
                    <w:ind w:firstLine="0" w:firstLineChars="0"/>
                    <w:jc w:val="center"/>
                    <w:rPr>
                      <w:sz w:val="21"/>
                      <w:szCs w:val="21"/>
                    </w:rPr>
                  </w:pPr>
                  <w:r>
                    <w:rPr>
                      <w:rFonts w:hint="eastAsia"/>
                      <w:sz w:val="21"/>
                      <w:szCs w:val="21"/>
                    </w:rPr>
                    <w:t>电捕焦油器</w:t>
                  </w:r>
                </w:p>
              </w:tc>
              <w:tc>
                <w:tcPr>
                  <w:tcW w:w="1696" w:type="dxa"/>
                  <w:vAlign w:val="center"/>
                </w:tcPr>
                <w:p w14:paraId="4BDCD683">
                  <w:pPr>
                    <w:spacing w:line="240" w:lineRule="auto"/>
                    <w:ind w:firstLine="0" w:firstLineChars="0"/>
                    <w:jc w:val="center"/>
                    <w:rPr>
                      <w:sz w:val="21"/>
                      <w:szCs w:val="21"/>
                    </w:rPr>
                  </w:pPr>
                  <w:r>
                    <w:rPr>
                      <w:rFonts w:hint="eastAsia"/>
                      <w:sz w:val="21"/>
                      <w:szCs w:val="21"/>
                    </w:rPr>
                    <w:t>废焦油</w:t>
                  </w:r>
                </w:p>
              </w:tc>
              <w:tc>
                <w:tcPr>
                  <w:tcW w:w="3235" w:type="dxa"/>
                  <w:vMerge w:val="restart"/>
                  <w:vAlign w:val="center"/>
                </w:tcPr>
                <w:p w14:paraId="74ED1368">
                  <w:pPr>
                    <w:spacing w:line="240" w:lineRule="auto"/>
                    <w:ind w:firstLine="0" w:firstLineChars="0"/>
                    <w:jc w:val="center"/>
                    <w:rPr>
                      <w:sz w:val="21"/>
                      <w:szCs w:val="21"/>
                    </w:rPr>
                  </w:pPr>
                  <w:r>
                    <w:rPr>
                      <w:rFonts w:hint="eastAsia"/>
                      <w:sz w:val="21"/>
                      <w:szCs w:val="21"/>
                    </w:rPr>
                    <w:t>收集后暂存于危险废物贮存设施，定期委托有资质单位清运处置</w:t>
                  </w:r>
                </w:p>
              </w:tc>
            </w:tr>
            <w:tr w14:paraId="4522D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09" w:type="dxa"/>
                  <w:vMerge w:val="continue"/>
                  <w:vAlign w:val="center"/>
                </w:tcPr>
                <w:p w14:paraId="7B50A315">
                  <w:pPr>
                    <w:spacing w:line="240" w:lineRule="auto"/>
                    <w:ind w:firstLine="0" w:firstLineChars="0"/>
                    <w:jc w:val="center"/>
                    <w:rPr>
                      <w:sz w:val="21"/>
                      <w:szCs w:val="21"/>
                    </w:rPr>
                  </w:pPr>
                </w:p>
              </w:tc>
              <w:tc>
                <w:tcPr>
                  <w:tcW w:w="2063" w:type="dxa"/>
                  <w:vAlign w:val="center"/>
                </w:tcPr>
                <w:p w14:paraId="0CC4BE8A">
                  <w:pPr>
                    <w:spacing w:line="240" w:lineRule="auto"/>
                    <w:ind w:firstLine="0" w:firstLineChars="0"/>
                    <w:jc w:val="center"/>
                    <w:rPr>
                      <w:sz w:val="21"/>
                      <w:szCs w:val="21"/>
                    </w:rPr>
                  </w:pPr>
                  <w:r>
                    <w:rPr>
                      <w:rFonts w:hint="eastAsia"/>
                      <w:sz w:val="21"/>
                      <w:szCs w:val="21"/>
                    </w:rPr>
                    <w:t>柴油储罐</w:t>
                  </w:r>
                </w:p>
              </w:tc>
              <w:tc>
                <w:tcPr>
                  <w:tcW w:w="1696" w:type="dxa"/>
                  <w:vAlign w:val="center"/>
                </w:tcPr>
                <w:p w14:paraId="3767E0AF">
                  <w:pPr>
                    <w:spacing w:line="240" w:lineRule="auto"/>
                    <w:ind w:firstLine="0" w:firstLineChars="0"/>
                    <w:jc w:val="center"/>
                    <w:rPr>
                      <w:sz w:val="21"/>
                      <w:szCs w:val="21"/>
                    </w:rPr>
                  </w:pPr>
                  <w:r>
                    <w:rPr>
                      <w:rFonts w:hint="eastAsia"/>
                      <w:sz w:val="21"/>
                      <w:szCs w:val="21"/>
                    </w:rPr>
                    <w:t>储油罐油泥</w:t>
                  </w:r>
                </w:p>
              </w:tc>
              <w:tc>
                <w:tcPr>
                  <w:tcW w:w="3235" w:type="dxa"/>
                  <w:vMerge w:val="continue"/>
                  <w:vAlign w:val="center"/>
                </w:tcPr>
                <w:p w14:paraId="15BA7150">
                  <w:pPr>
                    <w:spacing w:line="240" w:lineRule="auto"/>
                    <w:ind w:firstLine="0" w:firstLineChars="0"/>
                    <w:jc w:val="center"/>
                    <w:rPr>
                      <w:sz w:val="21"/>
                      <w:szCs w:val="21"/>
                    </w:rPr>
                  </w:pPr>
                </w:p>
              </w:tc>
            </w:tr>
            <w:tr w14:paraId="2D6A5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09" w:type="dxa"/>
                  <w:vMerge w:val="continue"/>
                  <w:vAlign w:val="center"/>
                </w:tcPr>
                <w:p w14:paraId="7358D947">
                  <w:pPr>
                    <w:spacing w:line="240" w:lineRule="auto"/>
                    <w:ind w:firstLine="0" w:firstLineChars="0"/>
                    <w:jc w:val="center"/>
                    <w:rPr>
                      <w:sz w:val="21"/>
                      <w:szCs w:val="21"/>
                    </w:rPr>
                  </w:pPr>
                </w:p>
              </w:tc>
              <w:tc>
                <w:tcPr>
                  <w:tcW w:w="2063" w:type="dxa"/>
                  <w:vAlign w:val="center"/>
                </w:tcPr>
                <w:p w14:paraId="09519CF9">
                  <w:pPr>
                    <w:spacing w:line="240" w:lineRule="auto"/>
                    <w:ind w:firstLine="0" w:firstLineChars="0"/>
                    <w:jc w:val="center"/>
                    <w:rPr>
                      <w:sz w:val="21"/>
                      <w:szCs w:val="21"/>
                    </w:rPr>
                  </w:pPr>
                  <w:r>
                    <w:rPr>
                      <w:rFonts w:hint="eastAsia"/>
                      <w:sz w:val="21"/>
                      <w:szCs w:val="21"/>
                    </w:rPr>
                    <w:t>设备维护</w:t>
                  </w:r>
                </w:p>
              </w:tc>
              <w:tc>
                <w:tcPr>
                  <w:tcW w:w="1696" w:type="dxa"/>
                  <w:vAlign w:val="center"/>
                </w:tcPr>
                <w:p w14:paraId="365B62F2">
                  <w:pPr>
                    <w:spacing w:line="240" w:lineRule="auto"/>
                    <w:ind w:firstLine="0" w:firstLineChars="0"/>
                    <w:jc w:val="center"/>
                    <w:rPr>
                      <w:sz w:val="21"/>
                      <w:szCs w:val="21"/>
                    </w:rPr>
                  </w:pPr>
                  <w:r>
                    <w:rPr>
                      <w:rFonts w:hint="eastAsia"/>
                      <w:sz w:val="21"/>
                      <w:szCs w:val="21"/>
                    </w:rPr>
                    <w:t>废机油、含油抹布、劳保用品等</w:t>
                  </w:r>
                </w:p>
              </w:tc>
              <w:tc>
                <w:tcPr>
                  <w:tcW w:w="3235" w:type="dxa"/>
                  <w:vMerge w:val="continue"/>
                  <w:vAlign w:val="center"/>
                </w:tcPr>
                <w:p w14:paraId="17D41C5D">
                  <w:pPr>
                    <w:spacing w:line="240" w:lineRule="auto"/>
                    <w:ind w:firstLine="0" w:firstLineChars="0"/>
                    <w:jc w:val="center"/>
                    <w:rPr>
                      <w:sz w:val="21"/>
                      <w:szCs w:val="21"/>
                    </w:rPr>
                  </w:pPr>
                </w:p>
              </w:tc>
            </w:tr>
            <w:tr w14:paraId="4FFF9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09" w:type="dxa"/>
                  <w:vMerge w:val="continue"/>
                  <w:vAlign w:val="center"/>
                </w:tcPr>
                <w:p w14:paraId="63229558">
                  <w:pPr>
                    <w:spacing w:line="240" w:lineRule="auto"/>
                    <w:ind w:firstLine="0" w:firstLineChars="0"/>
                    <w:jc w:val="center"/>
                    <w:rPr>
                      <w:sz w:val="21"/>
                      <w:szCs w:val="21"/>
                    </w:rPr>
                  </w:pPr>
                </w:p>
              </w:tc>
              <w:tc>
                <w:tcPr>
                  <w:tcW w:w="2063" w:type="dxa"/>
                  <w:vAlign w:val="center"/>
                </w:tcPr>
                <w:p w14:paraId="55F6338F">
                  <w:pPr>
                    <w:spacing w:line="240" w:lineRule="auto"/>
                    <w:ind w:firstLine="0" w:firstLineChars="0"/>
                    <w:jc w:val="center"/>
                    <w:rPr>
                      <w:sz w:val="21"/>
                      <w:szCs w:val="21"/>
                    </w:rPr>
                  </w:pPr>
                  <w:r>
                    <w:rPr>
                      <w:rFonts w:hint="eastAsia"/>
                      <w:sz w:val="21"/>
                      <w:szCs w:val="21"/>
                    </w:rPr>
                    <w:t>车轮清洗池及初期雨水收集池</w:t>
                  </w:r>
                </w:p>
              </w:tc>
              <w:tc>
                <w:tcPr>
                  <w:tcW w:w="1696" w:type="dxa"/>
                  <w:vAlign w:val="center"/>
                </w:tcPr>
                <w:p w14:paraId="3CC2FA72">
                  <w:pPr>
                    <w:spacing w:line="240" w:lineRule="auto"/>
                    <w:ind w:firstLine="0" w:firstLineChars="0"/>
                    <w:jc w:val="center"/>
                    <w:rPr>
                      <w:sz w:val="21"/>
                      <w:szCs w:val="21"/>
                    </w:rPr>
                  </w:pPr>
                  <w:r>
                    <w:rPr>
                      <w:rFonts w:hint="eastAsia"/>
                      <w:sz w:val="21"/>
                      <w:szCs w:val="21"/>
                    </w:rPr>
                    <w:t>沉渣</w:t>
                  </w:r>
                </w:p>
              </w:tc>
              <w:tc>
                <w:tcPr>
                  <w:tcW w:w="3235" w:type="dxa"/>
                  <w:vAlign w:val="center"/>
                </w:tcPr>
                <w:p w14:paraId="4C14F4AB">
                  <w:pPr>
                    <w:spacing w:line="240" w:lineRule="auto"/>
                    <w:ind w:firstLine="0" w:firstLineChars="0"/>
                    <w:jc w:val="center"/>
                    <w:rPr>
                      <w:sz w:val="21"/>
                      <w:szCs w:val="21"/>
                    </w:rPr>
                  </w:pPr>
                  <w:r>
                    <w:rPr>
                      <w:rFonts w:hint="eastAsia"/>
                      <w:sz w:val="21"/>
                      <w:szCs w:val="21"/>
                    </w:rPr>
                    <w:t>统一收集后用于周边道路修复</w:t>
                  </w:r>
                </w:p>
              </w:tc>
            </w:tr>
            <w:tr w14:paraId="4339A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09" w:type="dxa"/>
                  <w:vMerge w:val="continue"/>
                  <w:vAlign w:val="center"/>
                </w:tcPr>
                <w:p w14:paraId="5AE1C4EE">
                  <w:pPr>
                    <w:spacing w:line="240" w:lineRule="auto"/>
                    <w:ind w:firstLine="0" w:firstLineChars="0"/>
                    <w:jc w:val="center"/>
                    <w:rPr>
                      <w:sz w:val="21"/>
                      <w:szCs w:val="21"/>
                    </w:rPr>
                  </w:pPr>
                </w:p>
              </w:tc>
              <w:tc>
                <w:tcPr>
                  <w:tcW w:w="2063" w:type="dxa"/>
                  <w:vAlign w:val="center"/>
                </w:tcPr>
                <w:p w14:paraId="3D29001F">
                  <w:pPr>
                    <w:spacing w:line="240" w:lineRule="auto"/>
                    <w:ind w:firstLine="0" w:firstLineChars="0"/>
                    <w:jc w:val="center"/>
                    <w:rPr>
                      <w:sz w:val="21"/>
                      <w:szCs w:val="21"/>
                    </w:rPr>
                  </w:pPr>
                  <w:r>
                    <w:rPr>
                      <w:rFonts w:hint="eastAsia"/>
                      <w:sz w:val="21"/>
                      <w:szCs w:val="21"/>
                    </w:rPr>
                    <w:t>员工生活</w:t>
                  </w:r>
                </w:p>
              </w:tc>
              <w:tc>
                <w:tcPr>
                  <w:tcW w:w="1696" w:type="dxa"/>
                  <w:vAlign w:val="center"/>
                </w:tcPr>
                <w:p w14:paraId="7FDE9945">
                  <w:pPr>
                    <w:spacing w:line="240" w:lineRule="auto"/>
                    <w:ind w:firstLine="0" w:firstLineChars="0"/>
                    <w:jc w:val="center"/>
                    <w:rPr>
                      <w:sz w:val="21"/>
                      <w:szCs w:val="21"/>
                    </w:rPr>
                  </w:pPr>
                  <w:r>
                    <w:rPr>
                      <w:rFonts w:hint="eastAsia"/>
                      <w:sz w:val="21"/>
                      <w:szCs w:val="21"/>
                    </w:rPr>
                    <w:t>生活垃圾</w:t>
                  </w:r>
                </w:p>
              </w:tc>
              <w:tc>
                <w:tcPr>
                  <w:tcW w:w="3235" w:type="dxa"/>
                  <w:vAlign w:val="center"/>
                </w:tcPr>
                <w:p w14:paraId="79C20C83">
                  <w:pPr>
                    <w:spacing w:line="240" w:lineRule="auto"/>
                    <w:ind w:firstLine="0" w:firstLineChars="0"/>
                    <w:jc w:val="center"/>
                    <w:rPr>
                      <w:sz w:val="21"/>
                      <w:szCs w:val="21"/>
                    </w:rPr>
                  </w:pPr>
                  <w:r>
                    <w:rPr>
                      <w:rFonts w:hint="eastAsia"/>
                      <w:sz w:val="21"/>
                      <w:szCs w:val="21"/>
                    </w:rPr>
                    <w:t>垃圾桶收集后，委托环卫部门清运处置。</w:t>
                  </w:r>
                </w:p>
              </w:tc>
            </w:tr>
            <w:tr w14:paraId="1DC77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09" w:type="dxa"/>
                  <w:vMerge w:val="continue"/>
                  <w:vAlign w:val="center"/>
                </w:tcPr>
                <w:p w14:paraId="045E0876">
                  <w:pPr>
                    <w:spacing w:line="240" w:lineRule="auto"/>
                    <w:ind w:firstLine="0" w:firstLineChars="0"/>
                    <w:jc w:val="center"/>
                    <w:rPr>
                      <w:sz w:val="21"/>
                      <w:szCs w:val="21"/>
                    </w:rPr>
                  </w:pPr>
                </w:p>
              </w:tc>
              <w:tc>
                <w:tcPr>
                  <w:tcW w:w="2063" w:type="dxa"/>
                  <w:vAlign w:val="center"/>
                </w:tcPr>
                <w:p w14:paraId="26177194">
                  <w:pPr>
                    <w:spacing w:line="240" w:lineRule="auto"/>
                    <w:ind w:firstLine="0" w:firstLineChars="0"/>
                    <w:jc w:val="center"/>
                    <w:rPr>
                      <w:sz w:val="21"/>
                      <w:szCs w:val="21"/>
                    </w:rPr>
                  </w:pPr>
                  <w:r>
                    <w:rPr>
                      <w:rFonts w:hint="eastAsia"/>
                      <w:sz w:val="21"/>
                      <w:szCs w:val="21"/>
                    </w:rPr>
                    <w:t>化粪池、一体化污水处理站</w:t>
                  </w:r>
                </w:p>
              </w:tc>
              <w:tc>
                <w:tcPr>
                  <w:tcW w:w="1696" w:type="dxa"/>
                  <w:vAlign w:val="center"/>
                </w:tcPr>
                <w:p w14:paraId="12AEE418">
                  <w:pPr>
                    <w:spacing w:line="240" w:lineRule="auto"/>
                    <w:ind w:firstLine="0" w:firstLineChars="0"/>
                    <w:jc w:val="center"/>
                    <w:rPr>
                      <w:sz w:val="21"/>
                      <w:szCs w:val="21"/>
                    </w:rPr>
                  </w:pPr>
                  <w:r>
                    <w:rPr>
                      <w:rFonts w:hint="eastAsia"/>
                      <w:sz w:val="21"/>
                      <w:szCs w:val="21"/>
                    </w:rPr>
                    <w:t>污泥</w:t>
                  </w:r>
                </w:p>
              </w:tc>
              <w:tc>
                <w:tcPr>
                  <w:tcW w:w="3235" w:type="dxa"/>
                  <w:vAlign w:val="center"/>
                </w:tcPr>
                <w:p w14:paraId="33B97D77">
                  <w:pPr>
                    <w:spacing w:line="240" w:lineRule="auto"/>
                    <w:ind w:firstLine="0" w:firstLineChars="0"/>
                    <w:jc w:val="center"/>
                    <w:rPr>
                      <w:sz w:val="21"/>
                      <w:szCs w:val="21"/>
                    </w:rPr>
                  </w:pPr>
                  <w:r>
                    <w:rPr>
                      <w:rFonts w:hint="eastAsia"/>
                      <w:sz w:val="21"/>
                      <w:szCs w:val="21"/>
                    </w:rPr>
                    <w:t>定期委托有资质单位清掏清运处置</w:t>
                  </w:r>
                </w:p>
              </w:tc>
            </w:tr>
          </w:tbl>
          <w:p w14:paraId="663950E9">
            <w:pPr>
              <w:ind w:firstLine="0" w:firstLineChars="0"/>
              <w:rPr>
                <w:szCs w:val="32"/>
              </w:rPr>
            </w:pPr>
          </w:p>
        </w:tc>
      </w:tr>
      <w:tr w14:paraId="74BEE4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01" w:type="dxa"/>
            <w:tcBorders>
              <w:top w:val="single" w:color="auto" w:sz="4" w:space="0"/>
              <w:left w:val="single" w:color="auto" w:sz="8" w:space="0"/>
              <w:bottom w:val="single" w:color="auto" w:sz="8" w:space="0"/>
              <w:right w:val="single" w:color="auto" w:sz="4" w:space="0"/>
            </w:tcBorders>
            <w:shd w:val="clear" w:color="auto" w:fill="auto"/>
            <w:vAlign w:val="center"/>
          </w:tcPr>
          <w:p w14:paraId="16631B5E">
            <w:pPr>
              <w:pStyle w:val="22"/>
              <w:adjustRightInd w:val="0"/>
              <w:snapToGrid w:val="0"/>
              <w:spacing w:before="0" w:beforeAutospacing="0" w:after="0" w:afterAutospacing="0" w:line="240" w:lineRule="auto"/>
              <w:ind w:firstLine="0" w:firstLineChars="0"/>
              <w:jc w:val="center"/>
              <w:rPr>
                <w:rFonts w:ascii="Times New Roman" w:hAnsi="Times New Roman"/>
                <w:sz w:val="21"/>
                <w:szCs w:val="21"/>
              </w:rPr>
            </w:pPr>
            <w:r>
              <w:rPr>
                <w:rFonts w:ascii="Times New Roman" w:hAnsi="Times New Roman"/>
                <w:bCs/>
                <w:kern w:val="2"/>
                <w:sz w:val="21"/>
                <w:szCs w:val="21"/>
              </w:rPr>
              <w:t>与项目有关的原有环境污染问题</w:t>
            </w:r>
          </w:p>
        </w:tc>
        <w:tc>
          <w:tcPr>
            <w:tcW w:w="8383" w:type="dxa"/>
            <w:tcBorders>
              <w:top w:val="single" w:color="auto" w:sz="4" w:space="0"/>
              <w:left w:val="single" w:color="auto" w:sz="4" w:space="0"/>
              <w:bottom w:val="single" w:color="auto" w:sz="8" w:space="0"/>
              <w:right w:val="single" w:color="auto" w:sz="8" w:space="0"/>
            </w:tcBorders>
            <w:shd w:val="clear" w:color="auto" w:fill="auto"/>
          </w:tcPr>
          <w:p w14:paraId="2791BAA8">
            <w:pPr>
              <w:adjustRightInd w:val="0"/>
              <w:snapToGrid w:val="0"/>
              <w:ind w:firstLine="480"/>
              <w:rPr>
                <w:rFonts w:cs="宋体"/>
                <w:bCs/>
              </w:rPr>
            </w:pPr>
            <w:r>
              <w:rPr>
                <w:rFonts w:hint="eastAsia" w:cs="宋体"/>
                <w:bCs/>
              </w:rPr>
              <w:t>本项目属于新建项目，根据现场踏勘调查，租用的地块为空地，无与本项目有关的污染情况及主要环境问题。</w:t>
            </w:r>
          </w:p>
          <w:p w14:paraId="1F1A3FFB">
            <w:pPr>
              <w:adjustRightInd w:val="0"/>
              <w:snapToGrid w:val="0"/>
              <w:ind w:firstLine="480"/>
              <w:rPr>
                <w:bCs/>
                <w:szCs w:val="21"/>
              </w:rPr>
            </w:pPr>
          </w:p>
          <w:p w14:paraId="6C6D8548">
            <w:pPr>
              <w:adjustRightInd w:val="0"/>
              <w:snapToGrid w:val="0"/>
              <w:ind w:firstLine="480"/>
              <w:rPr>
                <w:bCs/>
                <w:szCs w:val="21"/>
              </w:rPr>
            </w:pPr>
          </w:p>
          <w:p w14:paraId="797D97B9">
            <w:pPr>
              <w:adjustRightInd w:val="0"/>
              <w:snapToGrid w:val="0"/>
              <w:ind w:firstLine="480"/>
              <w:rPr>
                <w:bCs/>
                <w:szCs w:val="21"/>
              </w:rPr>
            </w:pPr>
          </w:p>
          <w:p w14:paraId="42C4FE27">
            <w:pPr>
              <w:adjustRightInd w:val="0"/>
              <w:snapToGrid w:val="0"/>
              <w:ind w:firstLine="480"/>
              <w:rPr>
                <w:bCs/>
                <w:szCs w:val="21"/>
              </w:rPr>
            </w:pPr>
          </w:p>
          <w:p w14:paraId="390FDD90">
            <w:pPr>
              <w:adjustRightInd w:val="0"/>
              <w:snapToGrid w:val="0"/>
              <w:ind w:firstLine="480"/>
              <w:rPr>
                <w:bCs/>
                <w:szCs w:val="21"/>
              </w:rPr>
            </w:pPr>
          </w:p>
          <w:p w14:paraId="28B00FFF">
            <w:pPr>
              <w:adjustRightInd w:val="0"/>
              <w:snapToGrid w:val="0"/>
              <w:ind w:firstLine="480"/>
              <w:rPr>
                <w:bCs/>
                <w:szCs w:val="21"/>
              </w:rPr>
            </w:pPr>
          </w:p>
          <w:p w14:paraId="3400D0EC">
            <w:pPr>
              <w:adjustRightInd w:val="0"/>
              <w:snapToGrid w:val="0"/>
              <w:ind w:firstLine="480"/>
              <w:rPr>
                <w:bCs/>
                <w:szCs w:val="21"/>
              </w:rPr>
            </w:pPr>
          </w:p>
          <w:p w14:paraId="7CA80938">
            <w:pPr>
              <w:adjustRightInd w:val="0"/>
              <w:snapToGrid w:val="0"/>
              <w:ind w:firstLine="480"/>
              <w:rPr>
                <w:bCs/>
                <w:szCs w:val="21"/>
              </w:rPr>
            </w:pPr>
          </w:p>
          <w:p w14:paraId="4C4A2AE2">
            <w:pPr>
              <w:adjustRightInd w:val="0"/>
              <w:snapToGrid w:val="0"/>
              <w:ind w:firstLine="480"/>
              <w:rPr>
                <w:bCs/>
                <w:szCs w:val="21"/>
              </w:rPr>
            </w:pPr>
          </w:p>
          <w:p w14:paraId="2F7B0A9F">
            <w:pPr>
              <w:adjustRightInd w:val="0"/>
              <w:snapToGrid w:val="0"/>
              <w:ind w:firstLine="480"/>
              <w:rPr>
                <w:bCs/>
                <w:szCs w:val="21"/>
              </w:rPr>
            </w:pPr>
          </w:p>
          <w:p w14:paraId="5AEED1C4">
            <w:pPr>
              <w:adjustRightInd w:val="0"/>
              <w:snapToGrid w:val="0"/>
              <w:ind w:firstLine="480"/>
              <w:rPr>
                <w:bCs/>
                <w:szCs w:val="21"/>
              </w:rPr>
            </w:pPr>
          </w:p>
          <w:p w14:paraId="2089304F">
            <w:pPr>
              <w:adjustRightInd w:val="0"/>
              <w:snapToGrid w:val="0"/>
              <w:ind w:firstLine="480"/>
              <w:rPr>
                <w:bCs/>
                <w:szCs w:val="21"/>
              </w:rPr>
            </w:pPr>
          </w:p>
          <w:p w14:paraId="7442200D">
            <w:pPr>
              <w:adjustRightInd w:val="0"/>
              <w:snapToGrid w:val="0"/>
              <w:ind w:firstLine="480"/>
              <w:rPr>
                <w:bCs/>
                <w:szCs w:val="21"/>
              </w:rPr>
            </w:pPr>
          </w:p>
          <w:p w14:paraId="5CEE7A30">
            <w:pPr>
              <w:adjustRightInd w:val="0"/>
              <w:snapToGrid w:val="0"/>
              <w:ind w:firstLine="480"/>
              <w:rPr>
                <w:bCs/>
                <w:szCs w:val="21"/>
              </w:rPr>
            </w:pPr>
          </w:p>
          <w:p w14:paraId="5B1DC7F4">
            <w:pPr>
              <w:adjustRightInd w:val="0"/>
              <w:snapToGrid w:val="0"/>
              <w:ind w:firstLine="480"/>
              <w:rPr>
                <w:bCs/>
                <w:szCs w:val="21"/>
              </w:rPr>
            </w:pPr>
          </w:p>
          <w:p w14:paraId="185AF9EB">
            <w:pPr>
              <w:adjustRightInd w:val="0"/>
              <w:snapToGrid w:val="0"/>
              <w:ind w:firstLine="480"/>
              <w:rPr>
                <w:bCs/>
                <w:szCs w:val="21"/>
              </w:rPr>
            </w:pPr>
          </w:p>
          <w:p w14:paraId="5F8B1C85">
            <w:pPr>
              <w:adjustRightInd w:val="0"/>
              <w:snapToGrid w:val="0"/>
              <w:ind w:firstLine="480"/>
              <w:rPr>
                <w:bCs/>
                <w:szCs w:val="21"/>
              </w:rPr>
            </w:pPr>
          </w:p>
          <w:p w14:paraId="62B157AB">
            <w:pPr>
              <w:adjustRightInd w:val="0"/>
              <w:snapToGrid w:val="0"/>
              <w:ind w:firstLine="480"/>
              <w:rPr>
                <w:bCs/>
                <w:szCs w:val="21"/>
              </w:rPr>
            </w:pPr>
          </w:p>
          <w:p w14:paraId="1189B4EF">
            <w:pPr>
              <w:adjustRightInd w:val="0"/>
              <w:snapToGrid w:val="0"/>
              <w:ind w:firstLine="480"/>
              <w:rPr>
                <w:bCs/>
                <w:szCs w:val="21"/>
              </w:rPr>
            </w:pPr>
          </w:p>
          <w:p w14:paraId="7C79E7F9">
            <w:pPr>
              <w:adjustRightInd w:val="0"/>
              <w:snapToGrid w:val="0"/>
              <w:ind w:firstLine="480"/>
              <w:rPr>
                <w:bCs/>
                <w:szCs w:val="21"/>
              </w:rPr>
            </w:pPr>
          </w:p>
          <w:p w14:paraId="44D21940">
            <w:pPr>
              <w:pStyle w:val="15"/>
              <w:ind w:left="0" w:leftChars="0" w:firstLine="0" w:firstLineChars="0"/>
              <w:rPr>
                <w:bCs/>
                <w:szCs w:val="21"/>
              </w:rPr>
            </w:pPr>
            <w:bookmarkStart w:id="25" w:name="_GoBack"/>
            <w:bookmarkEnd w:id="25"/>
          </w:p>
          <w:p w14:paraId="5208C6BD">
            <w:pPr>
              <w:pStyle w:val="15"/>
              <w:rPr>
                <w:bCs/>
                <w:szCs w:val="21"/>
              </w:rPr>
            </w:pPr>
          </w:p>
        </w:tc>
      </w:tr>
    </w:tbl>
    <w:p w14:paraId="50F69A93">
      <w:pPr>
        <w:ind w:firstLine="480"/>
        <w:sectPr>
          <w:pgSz w:w="12240" w:h="15840"/>
          <w:pgMar w:top="1440" w:right="1800" w:bottom="1440" w:left="1800" w:header="720" w:footer="720" w:gutter="0"/>
          <w:cols w:space="425" w:num="1"/>
          <w:docGrid w:type="lines" w:linePitch="312" w:charSpace="0"/>
        </w:sectPr>
      </w:pPr>
    </w:p>
    <w:p w14:paraId="30700C85">
      <w:pPr>
        <w:pStyle w:val="22"/>
        <w:ind w:firstLine="0" w:firstLineChars="0"/>
        <w:jc w:val="center"/>
        <w:outlineLvl w:val="0"/>
        <w:rPr>
          <w:rFonts w:ascii="Times New Roman" w:hAnsi="Times New Roman" w:eastAsia="黑体" w:cs="黑体"/>
          <w:snapToGrid w:val="0"/>
          <w:sz w:val="30"/>
          <w:szCs w:val="30"/>
        </w:rPr>
      </w:pPr>
      <w:bookmarkStart w:id="12" w:name="_Toc196"/>
      <w:bookmarkStart w:id="13" w:name="_Toc16447"/>
      <w:bookmarkStart w:id="14" w:name="_Toc23129"/>
      <w:r>
        <w:rPr>
          <w:rFonts w:hint="eastAsia" w:ascii="Times New Roman" w:hAnsi="Times New Roman" w:eastAsia="黑体" w:cs="黑体"/>
          <w:snapToGrid w:val="0"/>
          <w:sz w:val="30"/>
          <w:szCs w:val="30"/>
        </w:rPr>
        <w:t>三、区域环境质量现状、环境保护目标及评价标准</w:t>
      </w:r>
      <w:bookmarkEnd w:id="12"/>
      <w:bookmarkEnd w:id="13"/>
      <w:bookmarkEnd w:id="14"/>
    </w:p>
    <w:tbl>
      <w:tblPr>
        <w:tblStyle w:val="26"/>
        <w:tblW w:w="938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26"/>
        <w:gridCol w:w="8959"/>
      </w:tblGrid>
      <w:tr w14:paraId="5B73FA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6" w:type="dxa"/>
            <w:tcBorders>
              <w:top w:val="single" w:color="auto" w:sz="8" w:space="0"/>
              <w:left w:val="single" w:color="auto" w:sz="8" w:space="0"/>
              <w:bottom w:val="single" w:color="auto" w:sz="4" w:space="0"/>
              <w:right w:val="single" w:color="auto" w:sz="4" w:space="0"/>
            </w:tcBorders>
            <w:shd w:val="clear" w:color="auto" w:fill="auto"/>
            <w:vAlign w:val="center"/>
          </w:tcPr>
          <w:p w14:paraId="12D524C5">
            <w:pPr>
              <w:adjustRightInd w:val="0"/>
              <w:snapToGrid w:val="0"/>
              <w:spacing w:line="240" w:lineRule="auto"/>
              <w:ind w:firstLine="0" w:firstLineChars="0"/>
              <w:jc w:val="center"/>
              <w:rPr>
                <w:rFonts w:cs="宋体"/>
                <w:kern w:val="0"/>
                <w:szCs w:val="21"/>
              </w:rPr>
            </w:pPr>
            <w:r>
              <w:rPr>
                <w:rFonts w:hint="eastAsia" w:cs="宋体"/>
                <w:kern w:val="0"/>
                <w:sz w:val="21"/>
                <w:szCs w:val="21"/>
              </w:rPr>
              <w:t>区域</w:t>
            </w:r>
          </w:p>
          <w:p w14:paraId="1AB100F0">
            <w:pPr>
              <w:adjustRightInd w:val="0"/>
              <w:snapToGrid w:val="0"/>
              <w:spacing w:line="240" w:lineRule="auto"/>
              <w:ind w:firstLine="0" w:firstLineChars="0"/>
              <w:jc w:val="center"/>
              <w:rPr>
                <w:rFonts w:cs="宋体"/>
                <w:kern w:val="0"/>
                <w:szCs w:val="21"/>
              </w:rPr>
            </w:pPr>
            <w:r>
              <w:rPr>
                <w:rFonts w:hint="eastAsia" w:cs="宋体"/>
                <w:kern w:val="0"/>
                <w:sz w:val="21"/>
                <w:szCs w:val="21"/>
              </w:rPr>
              <w:t>环境</w:t>
            </w:r>
          </w:p>
          <w:p w14:paraId="6EAABE62">
            <w:pPr>
              <w:adjustRightInd w:val="0"/>
              <w:snapToGrid w:val="0"/>
              <w:spacing w:line="240" w:lineRule="auto"/>
              <w:ind w:firstLine="0" w:firstLineChars="0"/>
              <w:jc w:val="center"/>
              <w:rPr>
                <w:rFonts w:cs="宋体"/>
                <w:kern w:val="0"/>
                <w:szCs w:val="21"/>
              </w:rPr>
            </w:pPr>
            <w:r>
              <w:rPr>
                <w:rFonts w:hint="eastAsia" w:cs="宋体"/>
                <w:kern w:val="0"/>
                <w:sz w:val="21"/>
                <w:szCs w:val="21"/>
              </w:rPr>
              <w:t>质量</w:t>
            </w:r>
          </w:p>
          <w:p w14:paraId="100AFF70">
            <w:pPr>
              <w:adjustRightInd w:val="0"/>
              <w:snapToGrid w:val="0"/>
              <w:spacing w:line="240" w:lineRule="auto"/>
              <w:ind w:firstLine="0" w:firstLineChars="0"/>
              <w:jc w:val="center"/>
              <w:rPr>
                <w:rFonts w:cs="宋体"/>
                <w:kern w:val="0"/>
                <w:szCs w:val="21"/>
              </w:rPr>
            </w:pPr>
            <w:r>
              <w:rPr>
                <w:rFonts w:hint="eastAsia" w:cs="宋体"/>
                <w:kern w:val="0"/>
                <w:sz w:val="21"/>
                <w:szCs w:val="21"/>
              </w:rPr>
              <w:t>现状</w:t>
            </w:r>
          </w:p>
        </w:tc>
        <w:tc>
          <w:tcPr>
            <w:tcW w:w="8959" w:type="dxa"/>
            <w:tcBorders>
              <w:top w:val="single" w:color="auto" w:sz="8" w:space="0"/>
              <w:left w:val="single" w:color="auto" w:sz="4" w:space="0"/>
              <w:bottom w:val="single" w:color="auto" w:sz="4" w:space="0"/>
              <w:right w:val="single" w:color="auto" w:sz="8" w:space="0"/>
            </w:tcBorders>
            <w:shd w:val="clear" w:color="auto" w:fill="auto"/>
            <w:vAlign w:val="center"/>
          </w:tcPr>
          <w:p w14:paraId="45B5339C">
            <w:pPr>
              <w:numPr>
                <w:ilvl w:val="0"/>
                <w:numId w:val="8"/>
              </w:numPr>
              <w:adjustRightInd w:val="0"/>
              <w:snapToGrid w:val="0"/>
              <w:ind w:firstLine="482"/>
              <w:jc w:val="left"/>
              <w:rPr>
                <w:rFonts w:cs="宋体"/>
                <w:b/>
                <w:bCs/>
                <w:kern w:val="0"/>
              </w:rPr>
            </w:pPr>
            <w:r>
              <w:rPr>
                <w:rFonts w:hint="eastAsia" w:cs="宋体"/>
                <w:b/>
                <w:bCs/>
                <w:kern w:val="0"/>
              </w:rPr>
              <w:t>环境空气质量现状</w:t>
            </w:r>
          </w:p>
          <w:p w14:paraId="6473D883">
            <w:pPr>
              <w:adjustRightInd w:val="0"/>
              <w:snapToGrid w:val="0"/>
              <w:ind w:firstLine="482"/>
              <w:jc w:val="left"/>
              <w:rPr>
                <w:b/>
                <w:bCs/>
              </w:rPr>
            </w:pPr>
            <w:r>
              <w:rPr>
                <w:rFonts w:hint="eastAsia" w:cs="宋体"/>
                <w:b/>
                <w:bCs/>
              </w:rPr>
              <w:t>（</w:t>
            </w:r>
            <w:r>
              <w:rPr>
                <w:b/>
                <w:bCs/>
              </w:rPr>
              <w:t>1</w:t>
            </w:r>
            <w:r>
              <w:rPr>
                <w:rFonts w:hint="eastAsia" w:cs="宋体"/>
                <w:b/>
                <w:bCs/>
              </w:rPr>
              <w:t>）达标区判定</w:t>
            </w:r>
          </w:p>
          <w:p w14:paraId="0C244C56">
            <w:pPr>
              <w:adjustRightInd w:val="0"/>
              <w:snapToGrid w:val="0"/>
              <w:ind w:firstLine="480"/>
              <w:jc w:val="left"/>
              <w:rPr>
                <w:color w:val="000000" w:themeColor="text1"/>
                <w14:textFill>
                  <w14:solidFill>
                    <w14:schemeClr w14:val="tx1"/>
                  </w14:solidFill>
                </w14:textFill>
              </w:rPr>
            </w:pPr>
            <w:r>
              <w:rPr>
                <w:rFonts w:hint="eastAsia" w:cs="宋体"/>
                <w:color w:val="000000" w:themeColor="text1"/>
                <w14:textFill>
                  <w14:solidFill>
                    <w14:schemeClr w14:val="tx1"/>
                  </w14:solidFill>
                </w14:textFill>
              </w:rPr>
              <w:t>项目位于</w:t>
            </w:r>
            <w:r>
              <w:rPr>
                <w:rFonts w:hint="eastAsia"/>
                <w:color w:val="000000" w:themeColor="text1"/>
                <w14:textFill>
                  <w14:solidFill>
                    <w14:schemeClr w14:val="tx1"/>
                  </w14:solidFill>
                </w14:textFill>
              </w:rPr>
              <w:t>寻甸县回族彝族自治县仁德街道中桥社区</w:t>
            </w:r>
            <w:r>
              <w:rPr>
                <w:rFonts w:hint="eastAsia" w:cs="宋体"/>
                <w:color w:val="000000" w:themeColor="text1"/>
                <w14:textFill>
                  <w14:solidFill>
                    <w14:schemeClr w14:val="tx1"/>
                  </w14:solidFill>
                </w14:textFill>
              </w:rPr>
              <w:t>，区域环境空气质量功能区划为二类区，执行《环境空气质量标准》（</w:t>
            </w:r>
            <w:r>
              <w:rPr>
                <w:rFonts w:hint="eastAsia"/>
                <w:color w:val="000000" w:themeColor="text1"/>
                <w14:textFill>
                  <w14:solidFill>
                    <w14:schemeClr w14:val="tx1"/>
                  </w14:solidFill>
                </w14:textFill>
              </w:rPr>
              <w:t>GB3095-2026</w:t>
            </w:r>
            <w:r>
              <w:rPr>
                <w:rFonts w:hint="eastAsia" w:cs="宋体"/>
                <w:color w:val="000000" w:themeColor="text1"/>
                <w14:textFill>
                  <w14:solidFill>
                    <w14:schemeClr w14:val="tx1"/>
                  </w14:solidFill>
                </w14:textFill>
              </w:rPr>
              <w:t>）二级标准。</w:t>
            </w:r>
          </w:p>
          <w:p w14:paraId="7B085A83">
            <w:pPr>
              <w:pStyle w:val="2"/>
              <w:autoSpaceDE/>
              <w:ind w:firstLine="480"/>
            </w:pPr>
            <w:r>
              <w:rPr>
                <w:rFonts w:hint="eastAsia"/>
                <w:color w:val="000000" w:themeColor="text1"/>
                <w:szCs w:val="24"/>
                <w14:textFill>
                  <w14:solidFill>
                    <w14:schemeClr w14:val="tx1"/>
                  </w14:solidFill>
                </w14:textFill>
              </w:rPr>
              <w:t>根据昆明市生态环境局发布的《2024年度昆明市生态环境状况公报》，2024年昆明市主城区外所辖的8个县（市）、区环境空气质量总体保持良好，各项污染物平均浓度均达到《环境空气质量标准》（GB3095-2012）二级标准，同时满足</w:t>
            </w:r>
            <w:r>
              <w:rPr>
                <w:color w:val="000000"/>
                <w:spacing w:val="-2"/>
              </w:rPr>
              <w:t>《环境空气质量标准》（</w:t>
            </w:r>
            <w:r>
              <w:rPr>
                <w:rFonts w:eastAsia="Times New Roman"/>
                <w:color w:val="000000"/>
                <w:spacing w:val="-2"/>
              </w:rPr>
              <w:t>GB3095-20</w:t>
            </w:r>
            <w:r>
              <w:rPr>
                <w:rFonts w:hint="eastAsia"/>
                <w:color w:val="000000"/>
                <w:spacing w:val="-2"/>
              </w:rPr>
              <w:t>26</w:t>
            </w:r>
            <w:r>
              <w:rPr>
                <w:color w:val="000000"/>
                <w:spacing w:val="-2"/>
              </w:rPr>
              <w:t>）过渡</w:t>
            </w:r>
            <w:r>
              <w:rPr>
                <w:color w:val="000000"/>
                <w:spacing w:val="6"/>
              </w:rPr>
              <w:t>阶段二级标准</w:t>
            </w:r>
            <w:r>
              <w:rPr>
                <w:rFonts w:hint="eastAsia"/>
                <w:color w:val="000000" w:themeColor="text1"/>
                <w:szCs w:val="24"/>
                <w14:textFill>
                  <w14:solidFill>
                    <w14:schemeClr w14:val="tx1"/>
                  </w14:solidFill>
                </w14:textFill>
              </w:rPr>
              <w:t>。因此判定项目区为环境空气质量达标区。</w:t>
            </w:r>
          </w:p>
          <w:p w14:paraId="0AA22F21">
            <w:pPr>
              <w:pStyle w:val="22"/>
              <w:widowControl w:val="0"/>
              <w:adjustRightInd w:val="0"/>
              <w:snapToGrid w:val="0"/>
              <w:spacing w:before="0" w:beforeAutospacing="0" w:after="0" w:afterAutospacing="0"/>
              <w:ind w:left="480" w:leftChars="200" w:firstLine="0" w:firstLineChars="0"/>
              <w:jc w:val="both"/>
              <w:rPr>
                <w:rFonts w:ascii="Times New Roman" w:hAnsi="Times New Roman"/>
                <w:b/>
                <w:bCs/>
                <w:szCs w:val="28"/>
              </w:rPr>
            </w:pPr>
            <w:r>
              <w:rPr>
                <w:rFonts w:hint="eastAsia" w:ascii="Times New Roman" w:hAnsi="Times New Roman" w:cs="宋体"/>
                <w:b/>
                <w:bCs/>
                <w:kern w:val="2"/>
                <w:szCs w:val="28"/>
              </w:rPr>
              <w:t>（</w:t>
            </w:r>
            <w:r>
              <w:rPr>
                <w:rFonts w:ascii="Times New Roman" w:hAnsi="Times New Roman"/>
                <w:b/>
                <w:bCs/>
                <w:kern w:val="2"/>
                <w:szCs w:val="28"/>
              </w:rPr>
              <w:t>2</w:t>
            </w:r>
            <w:r>
              <w:rPr>
                <w:rFonts w:hint="eastAsia" w:ascii="Times New Roman" w:hAnsi="Times New Roman" w:cs="宋体"/>
                <w:b/>
                <w:bCs/>
                <w:kern w:val="2"/>
                <w:szCs w:val="28"/>
              </w:rPr>
              <w:t>）特征污染物环境质量现状</w:t>
            </w:r>
          </w:p>
          <w:p w14:paraId="22D66A19">
            <w:pPr>
              <w:adjustRightInd w:val="0"/>
              <w:snapToGrid w:val="0"/>
              <w:ind w:firstLine="480"/>
              <w:rPr>
                <w:rFonts w:cs="宋体"/>
                <w:b/>
                <w:bCs/>
              </w:rPr>
            </w:pPr>
            <w:r>
              <w:t>本项目特征因子为</w:t>
            </w:r>
            <w:r>
              <w:rPr>
                <w:rFonts w:hint="eastAsia"/>
              </w:rPr>
              <w:t>TSP、苯并[a]芘、非甲烷总烃</w:t>
            </w:r>
            <w:r>
              <w:t>，</w:t>
            </w:r>
            <w:r>
              <w:rPr>
                <w:rFonts w:hint="eastAsia"/>
              </w:rPr>
              <w:t>委托云南天倪检测有限公司于2026年5月1日~5月7日对项目用地中心进行现状监测。现状监测结果显示</w:t>
            </w:r>
            <w:r>
              <w:t>，</w:t>
            </w:r>
            <w:r>
              <w:rPr>
                <w:rFonts w:hint="eastAsia"/>
              </w:rPr>
              <w:t>项目区域TSP、苯并[a]芘</w:t>
            </w:r>
            <w:r>
              <w:t>日均浓度均能够达到《环境空气质量标准》（</w:t>
            </w:r>
            <w:r>
              <w:rPr>
                <w:rFonts w:hint="eastAsia"/>
              </w:rPr>
              <w:t>GB3095-2026</w:t>
            </w:r>
            <w:r>
              <w:t>）二级标准，</w:t>
            </w:r>
            <w:r>
              <w:rPr>
                <w:rFonts w:hint="eastAsia"/>
              </w:rPr>
              <w:t>非甲烷总烃小时平均浓度达到</w:t>
            </w:r>
            <w:r>
              <w:t>《大气污染物综合排放标准详解》标准限值</w:t>
            </w:r>
            <w:r>
              <w:rPr>
                <w:kern w:val="0"/>
              </w:rPr>
              <w:t>。</w:t>
            </w:r>
            <w:r>
              <w:rPr>
                <w:rFonts w:hint="eastAsia"/>
                <w:kern w:val="0"/>
              </w:rPr>
              <w:t>详见大气环境专项评价。</w:t>
            </w:r>
          </w:p>
          <w:p w14:paraId="7E76FCE8">
            <w:pPr>
              <w:numPr>
                <w:ilvl w:val="0"/>
                <w:numId w:val="9"/>
              </w:numPr>
              <w:adjustRightInd w:val="0"/>
              <w:snapToGrid w:val="0"/>
              <w:ind w:firstLine="482"/>
              <w:jc w:val="left"/>
              <w:rPr>
                <w:rFonts w:cs="宋体"/>
                <w:b/>
                <w:bCs/>
                <w:kern w:val="0"/>
              </w:rPr>
            </w:pPr>
            <w:r>
              <w:rPr>
                <w:rFonts w:hint="eastAsia" w:cs="宋体"/>
                <w:b/>
                <w:bCs/>
                <w:kern w:val="0"/>
              </w:rPr>
              <w:t>地表水环境质量状况</w:t>
            </w:r>
          </w:p>
          <w:p w14:paraId="29B6D3F7">
            <w:pPr>
              <w:adjustRightInd w:val="0"/>
              <w:snapToGrid w:val="0"/>
              <w:ind w:firstLine="480"/>
              <w:rPr>
                <w:rFonts w:hint="eastAsia" w:eastAsia="宋体" w:cs="宋体"/>
                <w:lang w:eastAsia="zh-CN"/>
              </w:rPr>
            </w:pPr>
            <w:r>
              <w:rPr>
                <w:rFonts w:hint="eastAsia" w:cs="宋体"/>
                <w:color w:val="0000FF"/>
                <w:kern w:val="0"/>
              </w:rPr>
              <w:t>本项目涉及的地表水体主要为西南侧4.8km处前进河，最终汇入</w:t>
            </w:r>
            <w:r>
              <w:rPr>
                <w:rFonts w:hint="eastAsia" w:cs="宋体"/>
                <w:color w:val="0000FF"/>
              </w:rPr>
              <w:t>牛栏江</w:t>
            </w:r>
            <w:r>
              <w:rPr>
                <w:rFonts w:hint="eastAsia" w:cs="宋体"/>
                <w:color w:val="0000FF"/>
                <w:kern w:val="0"/>
              </w:rPr>
              <w:t>。</w:t>
            </w:r>
            <w:r>
              <w:rPr>
                <w:rFonts w:hint="eastAsia" w:cs="宋体"/>
                <w:color w:val="0000FF"/>
              </w:rPr>
              <w:t>根据《昆明市和滇中产业新区水功能区划（2011-2030年）》，项目涉及河段功能区为“前进河寻甸农业用水区”：三月三水库起始至入牛栏江口，河长度10.7km，主要流经仁德街道办事处，主要为沿途两岸农田提供农灌用水，现状水质Ⅳ类，2030规划水平年水质保护目标为Ⅲ类。执行《地表水环境质量标准》（GB3838-2002）Ⅲ类水标准</w:t>
            </w:r>
            <w:r>
              <w:rPr>
                <w:rFonts w:hint="eastAsia" w:cs="宋体"/>
                <w:color w:val="0000FF"/>
                <w:lang w:eastAsia="zh-CN"/>
              </w:rPr>
              <w:t>。</w:t>
            </w:r>
          </w:p>
          <w:p w14:paraId="4336DBDE">
            <w:pPr>
              <w:ind w:firstLine="480"/>
            </w:pPr>
            <w:r>
              <w:rPr>
                <w:rFonts w:hint="eastAsia"/>
                <w:lang w:val="zh-CN"/>
              </w:rPr>
              <w:t>根据《2024年度昆明市生态环境状况公报》，与2023年相比，牛栏江干流段的四营水文站、崔家庄、七星水文站断面水质类别保持Ⅲ类不变；河口（象鼻山吊桥）断面水质类别保持Ⅱ类不变</w:t>
            </w:r>
            <w:r>
              <w:t>。</w:t>
            </w:r>
          </w:p>
          <w:p w14:paraId="38AE9DDD">
            <w:pPr>
              <w:ind w:firstLine="480"/>
              <w:jc w:val="left"/>
            </w:pPr>
            <w:r>
              <w:rPr>
                <w:rFonts w:hint="eastAsia"/>
              </w:rPr>
              <w:t>综上，项目所在区域地表水能满足《地表水环境质量标准》（GB3838-2002）中Ⅲ类水质标准要求</w:t>
            </w:r>
            <w:r>
              <w:rPr>
                <w:szCs w:val="22"/>
              </w:rPr>
              <w:t>。</w:t>
            </w:r>
          </w:p>
          <w:p w14:paraId="535E7A5B">
            <w:pPr>
              <w:adjustRightInd w:val="0"/>
              <w:snapToGrid w:val="0"/>
              <w:ind w:firstLine="482"/>
              <w:jc w:val="left"/>
              <w:rPr>
                <w:rFonts w:cs="宋体"/>
                <w:b/>
                <w:bCs/>
                <w:kern w:val="0"/>
              </w:rPr>
            </w:pPr>
            <w:r>
              <w:rPr>
                <w:rFonts w:cs="宋体"/>
                <w:b/>
                <w:bCs/>
                <w:kern w:val="0"/>
              </w:rPr>
              <w:t>3</w:t>
            </w:r>
            <w:r>
              <w:rPr>
                <w:rFonts w:hint="eastAsia" w:cs="宋体"/>
                <w:b/>
                <w:bCs/>
                <w:kern w:val="0"/>
              </w:rPr>
              <w:t>、声环境质量状况</w:t>
            </w:r>
          </w:p>
          <w:p w14:paraId="05B9F500">
            <w:pPr>
              <w:adjustRightInd w:val="0"/>
              <w:snapToGrid w:val="0"/>
              <w:ind w:firstLine="480"/>
              <w:rPr>
                <w:color w:val="000000" w:themeColor="text1"/>
                <w14:textFill>
                  <w14:solidFill>
                    <w14:schemeClr w14:val="tx1"/>
                  </w14:solidFill>
                </w14:textFill>
              </w:rPr>
            </w:pPr>
            <w:r>
              <w:rPr>
                <w:rFonts w:hint="eastAsia" w:cs="宋体"/>
              </w:rPr>
              <w:t>项目位于</w:t>
            </w:r>
            <w:r>
              <w:rPr>
                <w:rFonts w:hint="eastAsia"/>
              </w:rPr>
              <w:t>寻甸回族自治县仁德街道中桥社区</w:t>
            </w:r>
            <w:r>
              <w:rPr>
                <w:rFonts w:hint="eastAsia" w:cs="宋体"/>
              </w:rPr>
              <w:t>，</w:t>
            </w:r>
            <w:r>
              <w:rPr>
                <w:rFonts w:hint="eastAsia" w:cs="宋体"/>
                <w:color w:val="000000" w:themeColor="text1"/>
                <w14:textFill>
                  <w14:solidFill>
                    <w14:schemeClr w14:val="tx1"/>
                  </w14:solidFill>
                </w14:textFill>
              </w:rPr>
              <w:t>项目所在区域属于</w:t>
            </w:r>
            <w:r>
              <w:rPr>
                <w:rFonts w:hint="eastAsia"/>
                <w:color w:val="000000" w:themeColor="text1"/>
                <w14:textFill>
                  <w14:solidFill>
                    <w14:schemeClr w14:val="tx1"/>
                  </w14:solidFill>
                </w14:textFill>
              </w:rPr>
              <w:t>1</w:t>
            </w:r>
            <w:r>
              <w:rPr>
                <w:rFonts w:hint="eastAsia" w:cs="宋体"/>
                <w:color w:val="000000" w:themeColor="text1"/>
                <w14:textFill>
                  <w14:solidFill>
                    <w14:schemeClr w14:val="tx1"/>
                  </w14:solidFill>
                </w14:textFill>
              </w:rPr>
              <w:t>类声环境功能区，执行《声环境质量标准》（</w:t>
            </w:r>
            <w:r>
              <w:rPr>
                <w:color w:val="000000" w:themeColor="text1"/>
                <w14:textFill>
                  <w14:solidFill>
                    <w14:schemeClr w14:val="tx1"/>
                  </w14:solidFill>
                </w14:textFill>
              </w:rPr>
              <w:t>GB3096-2008</w:t>
            </w:r>
            <w:r>
              <w:rPr>
                <w:rFonts w:hint="eastAsia" w:cs="宋体"/>
                <w:color w:val="000000" w:themeColor="text1"/>
                <w14:textFill>
                  <w14:solidFill>
                    <w14:schemeClr w14:val="tx1"/>
                  </w14:solidFill>
                </w14:textFill>
              </w:rPr>
              <w:t>）</w:t>
            </w:r>
            <w:r>
              <w:rPr>
                <w:rFonts w:hint="eastAsia"/>
                <w:color w:val="000000" w:themeColor="text1"/>
                <w14:textFill>
                  <w14:solidFill>
                    <w14:schemeClr w14:val="tx1"/>
                  </w14:solidFill>
                </w14:textFill>
              </w:rPr>
              <w:t>1</w:t>
            </w:r>
            <w:r>
              <w:rPr>
                <w:rFonts w:hint="eastAsia" w:cs="宋体"/>
                <w:color w:val="000000" w:themeColor="text1"/>
                <w14:textFill>
                  <w14:solidFill>
                    <w14:schemeClr w14:val="tx1"/>
                  </w14:solidFill>
                </w14:textFill>
              </w:rPr>
              <w:t>类标准。</w:t>
            </w:r>
          </w:p>
          <w:p w14:paraId="1EE0B963">
            <w:pPr>
              <w:pStyle w:val="37"/>
              <w:widowControl/>
              <w:snapToGrid w:val="0"/>
              <w:rPr>
                <w:rFonts w:cs="宋体"/>
              </w:rPr>
            </w:pPr>
            <w:r>
              <w:rPr>
                <w:rFonts w:hint="eastAsia" w:cs="宋体"/>
                <w:color w:val="000000" w:themeColor="text1"/>
                <w14:textFill>
                  <w14:solidFill>
                    <w14:schemeClr w14:val="tx1"/>
                  </w14:solidFill>
                </w14:textFill>
              </w:rPr>
              <w:t>根据《2024年度昆明市生态环境状况公报》，2024年</w:t>
            </w:r>
            <w:r>
              <w:rPr>
                <w:rFonts w:hint="eastAsia" w:cs="宋体"/>
              </w:rPr>
              <w:t>，昆明市寻甸县区域环境昼间等效声级平均值为46.3分贝。寻甸县区域昼间环境噪声总体水平评价为一级（好）。与2023年相比，寻甸县的区域环境昼间等效声级平均值降低。</w:t>
            </w:r>
          </w:p>
          <w:p w14:paraId="5F787895">
            <w:pPr>
              <w:pStyle w:val="37"/>
              <w:widowControl/>
              <w:snapToGrid w:val="0"/>
              <w:rPr>
                <w:rFonts w:cs="宋体"/>
                <w:bCs/>
              </w:rPr>
            </w:pPr>
            <w:r>
              <w:rPr>
                <w:rFonts w:hint="eastAsia" w:cs="宋体"/>
              </w:rPr>
              <w:t>根据调查资料和现场踏勘，项目区周边200</w:t>
            </w:r>
            <w:r>
              <w:t>m</w:t>
            </w:r>
            <w:r>
              <w:rPr>
                <w:rFonts w:hint="eastAsia" w:cs="宋体"/>
              </w:rPr>
              <w:t>范围无其他在建企业及已建企业，无较大工业噪声源，根据建设项目环境影响报告表编制技术指南（污染影响类），本项目厂界外</w:t>
            </w:r>
            <w:r>
              <w:t>50</w:t>
            </w:r>
            <w:r>
              <w:rPr>
                <w:rFonts w:hint="eastAsia" w:cs="宋体"/>
              </w:rPr>
              <w:t>米范围内不存在声环境保护目标，不用开展声环境质量现状监测</w:t>
            </w:r>
            <w:r>
              <w:rPr>
                <w:rFonts w:hint="eastAsia" w:cs="宋体"/>
                <w:bCs/>
              </w:rPr>
              <w:t>。</w:t>
            </w:r>
          </w:p>
          <w:p w14:paraId="5587387F">
            <w:pPr>
              <w:ind w:firstLine="482"/>
              <w:rPr>
                <w:b/>
                <w:bCs/>
                <w:kern w:val="0"/>
              </w:rPr>
            </w:pPr>
            <w:r>
              <w:rPr>
                <w:b/>
                <w:bCs/>
                <w:kern w:val="0"/>
              </w:rPr>
              <w:t>4</w:t>
            </w:r>
            <w:r>
              <w:rPr>
                <w:rFonts w:hint="eastAsia" w:cs="宋体"/>
                <w:b/>
                <w:bCs/>
                <w:kern w:val="0"/>
              </w:rPr>
              <w:t>、生态环境质量现状</w:t>
            </w:r>
          </w:p>
          <w:p w14:paraId="6C46D500">
            <w:pPr>
              <w:adjustRightInd w:val="0"/>
              <w:snapToGrid w:val="0"/>
              <w:ind w:firstLine="480"/>
              <w:jc w:val="left"/>
              <w:rPr>
                <w:rFonts w:cs="宋体"/>
                <w:lang w:val="zh-CN"/>
              </w:rPr>
            </w:pPr>
            <w:r>
              <w:rPr>
                <w:rFonts w:hint="eastAsia" w:cs="宋体"/>
                <w:lang w:val="zh-CN"/>
              </w:rPr>
              <w:t>项目</w:t>
            </w:r>
            <w:r>
              <w:rPr>
                <w:rFonts w:hint="eastAsia" w:cs="宋体"/>
              </w:rPr>
              <w:t>位于</w:t>
            </w:r>
            <w:r>
              <w:rPr>
                <w:rFonts w:hint="eastAsia"/>
              </w:rPr>
              <w:t>寻甸回族自治县仁德街道中桥社区</w:t>
            </w:r>
            <w:r>
              <w:rPr>
                <w:rFonts w:hint="eastAsia" w:cs="宋体"/>
              </w:rPr>
              <w:t>，根据现场踏勘，项目所在区域存在植被主要为次生植被和人工农田。项目</w:t>
            </w:r>
            <w:r>
              <w:rPr>
                <w:rFonts w:hint="eastAsia" w:cs="宋体"/>
                <w:lang w:val="zh-CN"/>
              </w:rPr>
              <w:t>调查范围内未涉及国家保护的珍贵野生动、植物。</w:t>
            </w:r>
            <w:r>
              <w:rPr>
                <w:rFonts w:hint="eastAsia" w:cs="宋体"/>
              </w:rPr>
              <w:t>评价范围</w:t>
            </w:r>
            <w:r>
              <w:rPr>
                <w:rFonts w:hint="eastAsia" w:cs="宋体"/>
                <w:lang w:val="zh-CN"/>
              </w:rPr>
              <w:t>内无自然保护区、风景名胜区、森林公园、历史文化</w:t>
            </w:r>
            <w:r>
              <w:rPr>
                <w:rFonts w:hint="eastAsia" w:cs="宋体"/>
              </w:rPr>
              <w:t>和自然遗产地</w:t>
            </w:r>
            <w:r>
              <w:rPr>
                <w:rFonts w:hint="eastAsia" w:cs="宋体"/>
                <w:lang w:val="zh-CN"/>
              </w:rPr>
              <w:t>等需要特殊保护的生态敏感目标，无国家珍稀濒危保护物种、国家重点保护野生植物和云南省级重点野生保护动物</w:t>
            </w:r>
            <w:r>
              <w:rPr>
                <w:rFonts w:hint="eastAsia" w:cs="宋体"/>
              </w:rPr>
              <w:t>及</w:t>
            </w:r>
            <w:r>
              <w:rPr>
                <w:rFonts w:hint="eastAsia" w:cs="宋体"/>
                <w:lang w:val="zh-CN"/>
              </w:rPr>
              <w:t>特有种类存在。</w:t>
            </w:r>
          </w:p>
          <w:p w14:paraId="4FAA390A">
            <w:pPr>
              <w:ind w:firstLine="482"/>
              <w:rPr>
                <w:b/>
                <w:bCs/>
                <w:kern w:val="0"/>
              </w:rPr>
            </w:pPr>
            <w:r>
              <w:rPr>
                <w:rFonts w:hint="eastAsia"/>
                <w:b/>
                <w:bCs/>
                <w:kern w:val="0"/>
              </w:rPr>
              <w:t>5</w:t>
            </w:r>
            <w:r>
              <w:rPr>
                <w:rFonts w:hint="eastAsia" w:cs="宋体"/>
                <w:b/>
                <w:bCs/>
                <w:kern w:val="0"/>
              </w:rPr>
              <w:t>、地下水、土壤环境质量现状</w:t>
            </w:r>
          </w:p>
          <w:p w14:paraId="25BD47FB">
            <w:pPr>
              <w:adjustRightInd w:val="0"/>
              <w:snapToGrid w:val="0"/>
              <w:ind w:firstLine="480"/>
              <w:jc w:val="left"/>
              <w:rPr>
                <w:rFonts w:cs="宋体"/>
                <w:lang w:val="zh-CN"/>
              </w:rPr>
            </w:pPr>
            <w:r>
              <w:rPr>
                <w:rFonts w:hint="eastAsia" w:cs="宋体"/>
                <w:lang w:val="zh-CN"/>
              </w:rPr>
              <w:t>根据《建设项目环境影响报告表编制技术指南（污染影响类）》（试行），地下水、土壤环境原则上不开展环境质量现状调查。建设项目存在地下水、土壤环境污染途径的，应结合污染源、保护目标分布情况开展现状调查以留作背景值。</w:t>
            </w:r>
          </w:p>
          <w:p w14:paraId="05FA9C80">
            <w:pPr>
              <w:adjustRightInd w:val="0"/>
              <w:snapToGrid w:val="0"/>
              <w:ind w:firstLine="482"/>
              <w:jc w:val="left"/>
              <w:rPr>
                <w:rFonts w:cs="宋体"/>
                <w:b/>
                <w:bCs/>
                <w:lang w:val="zh-CN"/>
              </w:rPr>
            </w:pPr>
            <w:r>
              <w:rPr>
                <w:rFonts w:hint="eastAsia" w:cs="宋体"/>
                <w:b/>
                <w:bCs/>
                <w:lang w:val="zh-CN"/>
              </w:rPr>
              <w:t>（1）地下水环境质量现状</w:t>
            </w:r>
          </w:p>
          <w:p w14:paraId="06A4B4F8">
            <w:pPr>
              <w:adjustRightInd w:val="0"/>
              <w:snapToGrid w:val="0"/>
              <w:ind w:firstLine="480"/>
              <w:jc w:val="left"/>
              <w:rPr>
                <w:rFonts w:cs="宋体"/>
                <w:lang w:val="zh-CN"/>
              </w:rPr>
            </w:pPr>
            <w:r>
              <w:rPr>
                <w:rFonts w:hint="eastAsia" w:cs="宋体"/>
                <w:lang w:val="zh-CN"/>
              </w:rPr>
              <w:t>为了解项目所在区域地下水环境质量状况，本次在地下水下游布设1个地下水监测点位，作为区域地下水环境质量背景值。该地下水监测点位于东侧，距离本项目东侧约</w:t>
            </w:r>
            <w:r>
              <w:rPr>
                <w:rFonts w:hint="eastAsia" w:cs="宋体"/>
              </w:rPr>
              <w:t>260</w:t>
            </w:r>
            <w:r>
              <w:rPr>
                <w:rFonts w:hint="eastAsia" w:cs="宋体"/>
                <w:lang w:val="zh-CN"/>
              </w:rPr>
              <w:t>m。本次评价由建设单位委托</w:t>
            </w:r>
            <w:r>
              <w:rPr>
                <w:rFonts w:hint="eastAsia"/>
              </w:rPr>
              <w:t>云南天倪检测有限公司</w:t>
            </w:r>
            <w:r>
              <w:rPr>
                <w:rFonts w:hint="eastAsia" w:cs="宋体"/>
                <w:lang w:val="zh-CN"/>
              </w:rPr>
              <w:t>于202</w:t>
            </w:r>
            <w:r>
              <w:rPr>
                <w:rFonts w:hint="eastAsia" w:cs="宋体"/>
              </w:rPr>
              <w:t>6</w:t>
            </w:r>
            <w:r>
              <w:rPr>
                <w:rFonts w:hint="eastAsia" w:cs="宋体"/>
                <w:lang w:val="zh-CN"/>
              </w:rPr>
              <w:t>年</w:t>
            </w:r>
            <w:r>
              <w:rPr>
                <w:rFonts w:hint="eastAsia" w:cs="宋体"/>
              </w:rPr>
              <w:t>5</w:t>
            </w:r>
            <w:r>
              <w:rPr>
                <w:rFonts w:hint="eastAsia" w:cs="宋体"/>
                <w:lang w:val="zh-CN"/>
              </w:rPr>
              <w:t>月</w:t>
            </w:r>
            <w:r>
              <w:rPr>
                <w:rFonts w:hint="eastAsia" w:cs="宋体"/>
              </w:rPr>
              <w:t>1</w:t>
            </w:r>
            <w:r>
              <w:rPr>
                <w:rFonts w:hint="eastAsia" w:cs="宋体"/>
                <w:lang w:val="zh-CN"/>
              </w:rPr>
              <w:t>-2日对项目</w:t>
            </w:r>
            <w:r>
              <w:rPr>
                <w:rFonts w:hint="eastAsia" w:cs="宋体"/>
              </w:rPr>
              <w:t>东侧265m处的水井进行</w:t>
            </w:r>
            <w:r>
              <w:rPr>
                <w:rFonts w:hint="eastAsia" w:cs="宋体"/>
                <w:lang w:val="zh-CN"/>
              </w:rPr>
              <w:t>检测，检测结果见表3-</w:t>
            </w:r>
            <w:r>
              <w:rPr>
                <w:rFonts w:hint="eastAsia" w:cs="宋体"/>
              </w:rPr>
              <w:t>1</w:t>
            </w:r>
            <w:r>
              <w:rPr>
                <w:rFonts w:hint="eastAsia" w:cs="宋体"/>
                <w:lang w:val="zh-CN"/>
              </w:rPr>
              <w:t>。</w:t>
            </w:r>
          </w:p>
          <w:p w14:paraId="49084F80">
            <w:pPr>
              <w:spacing w:line="240" w:lineRule="auto"/>
              <w:ind w:firstLine="0" w:firstLineChars="0"/>
              <w:jc w:val="center"/>
              <w:rPr>
                <w:b/>
                <w:bCs/>
                <w:sz w:val="21"/>
                <w:szCs w:val="21"/>
                <w:lang w:val="zh-CN"/>
              </w:rPr>
            </w:pPr>
            <w:r>
              <w:rPr>
                <w:rFonts w:hint="eastAsia"/>
                <w:b/>
                <w:bCs/>
                <w:sz w:val="21"/>
                <w:szCs w:val="21"/>
                <w:lang w:val="zh-CN"/>
              </w:rPr>
              <w:t>表 3-</w:t>
            </w:r>
            <w:r>
              <w:rPr>
                <w:rFonts w:hint="eastAsia"/>
                <w:b/>
                <w:bCs/>
                <w:sz w:val="21"/>
                <w:szCs w:val="21"/>
              </w:rPr>
              <w:t>1</w:t>
            </w:r>
            <w:r>
              <w:rPr>
                <w:rFonts w:hint="eastAsia"/>
                <w:b/>
                <w:bCs/>
                <w:sz w:val="21"/>
                <w:szCs w:val="21"/>
                <w:lang w:val="zh-CN"/>
              </w:rPr>
              <w:t xml:space="preserve">  地下水监测结果一览表 </w:t>
            </w:r>
            <w:r>
              <w:rPr>
                <w:rFonts w:hint="eastAsia"/>
                <w:b/>
                <w:bCs/>
                <w:sz w:val="21"/>
                <w:szCs w:val="21"/>
              </w:rPr>
              <w:t xml:space="preserve">       </w:t>
            </w:r>
            <w:r>
              <w:rPr>
                <w:rFonts w:hint="eastAsia"/>
                <w:b/>
                <w:bCs/>
                <w:sz w:val="21"/>
                <w:szCs w:val="21"/>
                <w:lang w:val="zh-CN"/>
              </w:rPr>
              <w:t>单位：mg/L</w:t>
            </w:r>
          </w:p>
          <w:tbl>
            <w:tblPr>
              <w:tblStyle w:val="27"/>
              <w:tblW w:w="8264" w:type="dxa"/>
              <w:tblInd w:w="2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0"/>
              <w:gridCol w:w="2059"/>
              <w:gridCol w:w="1909"/>
              <w:gridCol w:w="1459"/>
              <w:gridCol w:w="1187"/>
            </w:tblGrid>
            <w:tr w14:paraId="40FF0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650" w:type="dxa"/>
                  <w:vAlign w:val="center"/>
                </w:tcPr>
                <w:p w14:paraId="782F1563">
                  <w:pPr>
                    <w:spacing w:line="240" w:lineRule="auto"/>
                    <w:ind w:firstLine="0" w:firstLineChars="0"/>
                    <w:jc w:val="center"/>
                    <w:rPr>
                      <w:b/>
                      <w:bCs/>
                      <w:sz w:val="21"/>
                      <w:szCs w:val="21"/>
                    </w:rPr>
                  </w:pPr>
                  <w:r>
                    <w:rPr>
                      <w:rFonts w:hint="eastAsia"/>
                      <w:b/>
                      <w:bCs/>
                      <w:sz w:val="21"/>
                      <w:szCs w:val="21"/>
                    </w:rPr>
                    <w:t>监测项目</w:t>
                  </w:r>
                </w:p>
              </w:tc>
              <w:tc>
                <w:tcPr>
                  <w:tcW w:w="2059" w:type="dxa"/>
                  <w:vAlign w:val="center"/>
                </w:tcPr>
                <w:p w14:paraId="458F8064">
                  <w:pPr>
                    <w:spacing w:line="240" w:lineRule="auto"/>
                    <w:ind w:firstLine="0" w:firstLineChars="0"/>
                    <w:jc w:val="center"/>
                    <w:rPr>
                      <w:b/>
                      <w:bCs/>
                      <w:sz w:val="21"/>
                      <w:szCs w:val="21"/>
                    </w:rPr>
                  </w:pPr>
                  <w:r>
                    <w:rPr>
                      <w:rFonts w:hint="eastAsia"/>
                      <w:b/>
                      <w:bCs/>
                      <w:sz w:val="21"/>
                      <w:szCs w:val="21"/>
                    </w:rPr>
                    <w:t>5月1日监测结果</w:t>
                  </w:r>
                </w:p>
              </w:tc>
              <w:tc>
                <w:tcPr>
                  <w:tcW w:w="1909" w:type="dxa"/>
                  <w:vAlign w:val="center"/>
                </w:tcPr>
                <w:p w14:paraId="56A190D7">
                  <w:pPr>
                    <w:spacing w:line="240" w:lineRule="auto"/>
                    <w:ind w:firstLine="0" w:firstLineChars="0"/>
                    <w:jc w:val="center"/>
                    <w:rPr>
                      <w:b/>
                      <w:bCs/>
                      <w:sz w:val="21"/>
                      <w:szCs w:val="21"/>
                    </w:rPr>
                  </w:pPr>
                  <w:r>
                    <w:rPr>
                      <w:rFonts w:hint="eastAsia"/>
                      <w:b/>
                      <w:bCs/>
                      <w:sz w:val="21"/>
                      <w:szCs w:val="21"/>
                    </w:rPr>
                    <w:t>5月2日监测结果</w:t>
                  </w:r>
                </w:p>
              </w:tc>
              <w:tc>
                <w:tcPr>
                  <w:tcW w:w="1459" w:type="dxa"/>
                  <w:vAlign w:val="center"/>
                </w:tcPr>
                <w:p w14:paraId="3E34DF52">
                  <w:pPr>
                    <w:spacing w:line="240" w:lineRule="auto"/>
                    <w:ind w:firstLine="0" w:firstLineChars="0"/>
                    <w:jc w:val="center"/>
                    <w:rPr>
                      <w:b/>
                      <w:bCs/>
                      <w:sz w:val="21"/>
                      <w:szCs w:val="21"/>
                    </w:rPr>
                  </w:pPr>
                  <w:r>
                    <w:rPr>
                      <w:rFonts w:hint="eastAsia"/>
                      <w:b/>
                      <w:bCs/>
                      <w:sz w:val="21"/>
                      <w:szCs w:val="21"/>
                    </w:rPr>
                    <w:t>Ⅲ类标准值</w:t>
                  </w:r>
                </w:p>
              </w:tc>
              <w:tc>
                <w:tcPr>
                  <w:tcW w:w="1187" w:type="dxa"/>
                  <w:vAlign w:val="center"/>
                </w:tcPr>
                <w:p w14:paraId="5C8841F7">
                  <w:pPr>
                    <w:spacing w:line="240" w:lineRule="auto"/>
                    <w:ind w:firstLine="0" w:firstLineChars="0"/>
                    <w:jc w:val="center"/>
                    <w:rPr>
                      <w:b/>
                      <w:bCs/>
                      <w:sz w:val="21"/>
                      <w:szCs w:val="21"/>
                    </w:rPr>
                  </w:pPr>
                  <w:r>
                    <w:rPr>
                      <w:rFonts w:hint="eastAsia"/>
                      <w:b/>
                      <w:bCs/>
                      <w:sz w:val="21"/>
                      <w:szCs w:val="21"/>
                    </w:rPr>
                    <w:t>达标情况</w:t>
                  </w:r>
                </w:p>
              </w:tc>
            </w:tr>
            <w:tr w14:paraId="1EA6C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650" w:type="dxa"/>
                  <w:vAlign w:val="center"/>
                </w:tcPr>
                <w:p w14:paraId="67CC7C0C">
                  <w:pPr>
                    <w:spacing w:line="240" w:lineRule="auto"/>
                    <w:ind w:firstLine="0" w:firstLineChars="0"/>
                    <w:jc w:val="center"/>
                    <w:rPr>
                      <w:sz w:val="21"/>
                      <w:szCs w:val="21"/>
                    </w:rPr>
                  </w:pPr>
                  <w:r>
                    <w:rPr>
                      <w:rFonts w:hint="eastAsia"/>
                      <w:sz w:val="21"/>
                      <w:szCs w:val="21"/>
                    </w:rPr>
                    <w:t>PH（无量纲）</w:t>
                  </w:r>
                </w:p>
              </w:tc>
              <w:tc>
                <w:tcPr>
                  <w:tcW w:w="2059" w:type="dxa"/>
                  <w:vAlign w:val="center"/>
                </w:tcPr>
                <w:p w14:paraId="6D4ACA8C">
                  <w:pPr>
                    <w:spacing w:line="240" w:lineRule="auto"/>
                    <w:ind w:firstLine="0" w:firstLineChars="0"/>
                    <w:jc w:val="center"/>
                    <w:rPr>
                      <w:sz w:val="21"/>
                      <w:szCs w:val="21"/>
                    </w:rPr>
                  </w:pPr>
                  <w:r>
                    <w:rPr>
                      <w:rFonts w:hint="eastAsia"/>
                      <w:sz w:val="21"/>
                      <w:szCs w:val="21"/>
                    </w:rPr>
                    <w:t>7.5</w:t>
                  </w:r>
                </w:p>
              </w:tc>
              <w:tc>
                <w:tcPr>
                  <w:tcW w:w="1909" w:type="dxa"/>
                  <w:vAlign w:val="center"/>
                </w:tcPr>
                <w:p w14:paraId="3ACD9362">
                  <w:pPr>
                    <w:spacing w:line="240" w:lineRule="auto"/>
                    <w:ind w:firstLine="0" w:firstLineChars="0"/>
                    <w:jc w:val="center"/>
                    <w:rPr>
                      <w:sz w:val="21"/>
                      <w:szCs w:val="21"/>
                    </w:rPr>
                  </w:pPr>
                  <w:r>
                    <w:rPr>
                      <w:rFonts w:hint="eastAsia"/>
                      <w:sz w:val="21"/>
                      <w:szCs w:val="21"/>
                    </w:rPr>
                    <w:t>7.4</w:t>
                  </w:r>
                </w:p>
              </w:tc>
              <w:tc>
                <w:tcPr>
                  <w:tcW w:w="1459" w:type="dxa"/>
                  <w:vAlign w:val="center"/>
                </w:tcPr>
                <w:p w14:paraId="0945C9A8">
                  <w:pPr>
                    <w:spacing w:line="240" w:lineRule="auto"/>
                    <w:ind w:firstLine="0" w:firstLineChars="0"/>
                    <w:jc w:val="center"/>
                    <w:rPr>
                      <w:sz w:val="21"/>
                      <w:szCs w:val="21"/>
                    </w:rPr>
                  </w:pPr>
                  <w:r>
                    <w:rPr>
                      <w:rFonts w:hint="eastAsia"/>
                      <w:sz w:val="21"/>
                      <w:szCs w:val="21"/>
                    </w:rPr>
                    <w:t>6.5≤pH≤8.5</w:t>
                  </w:r>
                </w:p>
              </w:tc>
              <w:tc>
                <w:tcPr>
                  <w:tcW w:w="1187" w:type="dxa"/>
                  <w:vAlign w:val="center"/>
                </w:tcPr>
                <w:p w14:paraId="1AA20791">
                  <w:pPr>
                    <w:spacing w:line="240" w:lineRule="auto"/>
                    <w:ind w:firstLine="0" w:firstLineChars="0"/>
                    <w:jc w:val="center"/>
                    <w:rPr>
                      <w:sz w:val="21"/>
                      <w:szCs w:val="21"/>
                    </w:rPr>
                  </w:pPr>
                  <w:r>
                    <w:rPr>
                      <w:rFonts w:hint="eastAsia"/>
                      <w:sz w:val="21"/>
                      <w:szCs w:val="21"/>
                    </w:rPr>
                    <w:t>达标</w:t>
                  </w:r>
                </w:p>
              </w:tc>
            </w:tr>
            <w:tr w14:paraId="3920F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650" w:type="dxa"/>
                  <w:vAlign w:val="center"/>
                </w:tcPr>
                <w:p w14:paraId="23617C8C">
                  <w:pPr>
                    <w:spacing w:line="240" w:lineRule="auto"/>
                    <w:ind w:firstLine="0" w:firstLineChars="0"/>
                    <w:jc w:val="center"/>
                    <w:rPr>
                      <w:sz w:val="21"/>
                      <w:szCs w:val="21"/>
                    </w:rPr>
                  </w:pPr>
                  <w:r>
                    <w:rPr>
                      <w:rFonts w:hint="eastAsia"/>
                      <w:sz w:val="21"/>
                      <w:szCs w:val="21"/>
                    </w:rPr>
                    <w:t>溶解性总固体</w:t>
                  </w:r>
                </w:p>
              </w:tc>
              <w:tc>
                <w:tcPr>
                  <w:tcW w:w="2059" w:type="dxa"/>
                  <w:vAlign w:val="center"/>
                </w:tcPr>
                <w:p w14:paraId="64360385">
                  <w:pPr>
                    <w:spacing w:line="240" w:lineRule="auto"/>
                    <w:ind w:firstLine="0" w:firstLineChars="0"/>
                    <w:jc w:val="center"/>
                    <w:rPr>
                      <w:sz w:val="21"/>
                      <w:szCs w:val="21"/>
                    </w:rPr>
                  </w:pPr>
                  <w:r>
                    <w:rPr>
                      <w:rFonts w:hint="eastAsia"/>
                      <w:sz w:val="21"/>
                      <w:szCs w:val="21"/>
                    </w:rPr>
                    <w:t>374</w:t>
                  </w:r>
                </w:p>
              </w:tc>
              <w:tc>
                <w:tcPr>
                  <w:tcW w:w="1909" w:type="dxa"/>
                  <w:vAlign w:val="center"/>
                </w:tcPr>
                <w:p w14:paraId="5E6225B5">
                  <w:pPr>
                    <w:spacing w:line="240" w:lineRule="auto"/>
                    <w:ind w:firstLine="0" w:firstLineChars="0"/>
                    <w:jc w:val="center"/>
                    <w:rPr>
                      <w:sz w:val="21"/>
                      <w:szCs w:val="21"/>
                    </w:rPr>
                  </w:pPr>
                  <w:r>
                    <w:rPr>
                      <w:rFonts w:hint="eastAsia"/>
                      <w:sz w:val="21"/>
                      <w:szCs w:val="21"/>
                    </w:rPr>
                    <w:t>386</w:t>
                  </w:r>
                </w:p>
              </w:tc>
              <w:tc>
                <w:tcPr>
                  <w:tcW w:w="1459" w:type="dxa"/>
                  <w:vAlign w:val="center"/>
                </w:tcPr>
                <w:p w14:paraId="40874AF7">
                  <w:pPr>
                    <w:spacing w:line="240" w:lineRule="auto"/>
                    <w:ind w:firstLine="0" w:firstLineChars="0"/>
                    <w:jc w:val="center"/>
                    <w:rPr>
                      <w:sz w:val="21"/>
                      <w:szCs w:val="21"/>
                    </w:rPr>
                  </w:pPr>
                  <w:r>
                    <w:rPr>
                      <w:rFonts w:hint="eastAsia"/>
                      <w:sz w:val="21"/>
                      <w:szCs w:val="21"/>
                    </w:rPr>
                    <w:t>1000</w:t>
                  </w:r>
                </w:p>
              </w:tc>
              <w:tc>
                <w:tcPr>
                  <w:tcW w:w="1187" w:type="dxa"/>
                  <w:vAlign w:val="center"/>
                </w:tcPr>
                <w:p w14:paraId="490A0E10">
                  <w:pPr>
                    <w:spacing w:line="240" w:lineRule="auto"/>
                    <w:ind w:firstLine="0" w:firstLineChars="0"/>
                    <w:jc w:val="center"/>
                    <w:rPr>
                      <w:sz w:val="21"/>
                      <w:szCs w:val="21"/>
                      <w:lang w:val="zh-CN"/>
                    </w:rPr>
                  </w:pPr>
                  <w:r>
                    <w:rPr>
                      <w:rFonts w:hint="eastAsia"/>
                      <w:sz w:val="21"/>
                      <w:szCs w:val="21"/>
                    </w:rPr>
                    <w:t>达标</w:t>
                  </w:r>
                </w:p>
              </w:tc>
            </w:tr>
            <w:tr w14:paraId="6AC14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650" w:type="dxa"/>
                  <w:vAlign w:val="center"/>
                </w:tcPr>
                <w:p w14:paraId="5262B46F">
                  <w:pPr>
                    <w:spacing w:line="240" w:lineRule="auto"/>
                    <w:ind w:firstLine="0" w:firstLineChars="0"/>
                    <w:jc w:val="center"/>
                    <w:rPr>
                      <w:sz w:val="21"/>
                      <w:szCs w:val="21"/>
                    </w:rPr>
                  </w:pPr>
                  <w:r>
                    <w:rPr>
                      <w:rFonts w:hint="eastAsia"/>
                      <w:sz w:val="21"/>
                      <w:szCs w:val="21"/>
                    </w:rPr>
                    <w:t>总硬度</w:t>
                  </w:r>
                </w:p>
              </w:tc>
              <w:tc>
                <w:tcPr>
                  <w:tcW w:w="2059" w:type="dxa"/>
                  <w:vAlign w:val="center"/>
                </w:tcPr>
                <w:p w14:paraId="2BD28CF1">
                  <w:pPr>
                    <w:spacing w:line="240" w:lineRule="auto"/>
                    <w:ind w:firstLine="0" w:firstLineChars="0"/>
                    <w:jc w:val="center"/>
                    <w:rPr>
                      <w:sz w:val="21"/>
                      <w:szCs w:val="21"/>
                    </w:rPr>
                  </w:pPr>
                  <w:r>
                    <w:rPr>
                      <w:rFonts w:hint="eastAsia"/>
                      <w:sz w:val="21"/>
                      <w:szCs w:val="21"/>
                    </w:rPr>
                    <w:t>287</w:t>
                  </w:r>
                </w:p>
              </w:tc>
              <w:tc>
                <w:tcPr>
                  <w:tcW w:w="1909" w:type="dxa"/>
                  <w:vAlign w:val="center"/>
                </w:tcPr>
                <w:p w14:paraId="31F64036">
                  <w:pPr>
                    <w:spacing w:line="240" w:lineRule="auto"/>
                    <w:ind w:firstLine="0" w:firstLineChars="0"/>
                    <w:jc w:val="center"/>
                    <w:rPr>
                      <w:sz w:val="21"/>
                      <w:szCs w:val="21"/>
                    </w:rPr>
                  </w:pPr>
                  <w:r>
                    <w:rPr>
                      <w:rFonts w:hint="eastAsia"/>
                      <w:sz w:val="21"/>
                      <w:szCs w:val="21"/>
                    </w:rPr>
                    <w:t>285</w:t>
                  </w:r>
                </w:p>
              </w:tc>
              <w:tc>
                <w:tcPr>
                  <w:tcW w:w="1459" w:type="dxa"/>
                  <w:vAlign w:val="center"/>
                </w:tcPr>
                <w:p w14:paraId="2DCB2F53">
                  <w:pPr>
                    <w:spacing w:line="240" w:lineRule="auto"/>
                    <w:ind w:firstLine="0" w:firstLineChars="0"/>
                    <w:jc w:val="center"/>
                    <w:rPr>
                      <w:sz w:val="21"/>
                      <w:szCs w:val="21"/>
                    </w:rPr>
                  </w:pPr>
                  <w:r>
                    <w:rPr>
                      <w:rFonts w:hint="eastAsia"/>
                      <w:sz w:val="21"/>
                      <w:szCs w:val="21"/>
                    </w:rPr>
                    <w:t>450</w:t>
                  </w:r>
                </w:p>
              </w:tc>
              <w:tc>
                <w:tcPr>
                  <w:tcW w:w="1187" w:type="dxa"/>
                  <w:vAlign w:val="center"/>
                </w:tcPr>
                <w:p w14:paraId="79E8EB2F">
                  <w:pPr>
                    <w:spacing w:line="240" w:lineRule="auto"/>
                    <w:ind w:firstLine="0" w:firstLineChars="0"/>
                    <w:jc w:val="center"/>
                    <w:rPr>
                      <w:sz w:val="21"/>
                      <w:szCs w:val="21"/>
                      <w:lang w:val="zh-CN"/>
                    </w:rPr>
                  </w:pPr>
                  <w:r>
                    <w:rPr>
                      <w:rFonts w:hint="eastAsia"/>
                      <w:sz w:val="21"/>
                      <w:szCs w:val="21"/>
                    </w:rPr>
                    <w:t>达标</w:t>
                  </w:r>
                </w:p>
              </w:tc>
            </w:tr>
            <w:tr w14:paraId="23877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650" w:type="dxa"/>
                  <w:vAlign w:val="center"/>
                </w:tcPr>
                <w:p w14:paraId="17A8D3BF">
                  <w:pPr>
                    <w:spacing w:line="240" w:lineRule="auto"/>
                    <w:ind w:firstLine="0" w:firstLineChars="0"/>
                    <w:jc w:val="center"/>
                    <w:rPr>
                      <w:sz w:val="21"/>
                      <w:szCs w:val="21"/>
                    </w:rPr>
                  </w:pPr>
                  <w:r>
                    <w:rPr>
                      <w:rFonts w:hint="eastAsia"/>
                      <w:sz w:val="21"/>
                      <w:szCs w:val="21"/>
                    </w:rPr>
                    <w:t>耗氧量</w:t>
                  </w:r>
                </w:p>
              </w:tc>
              <w:tc>
                <w:tcPr>
                  <w:tcW w:w="2059" w:type="dxa"/>
                  <w:vAlign w:val="center"/>
                </w:tcPr>
                <w:p w14:paraId="5CEC2366">
                  <w:pPr>
                    <w:spacing w:line="240" w:lineRule="auto"/>
                    <w:ind w:firstLine="0" w:firstLineChars="0"/>
                    <w:jc w:val="center"/>
                    <w:rPr>
                      <w:sz w:val="21"/>
                      <w:szCs w:val="21"/>
                    </w:rPr>
                  </w:pPr>
                  <w:r>
                    <w:rPr>
                      <w:rFonts w:hint="eastAsia"/>
                      <w:sz w:val="21"/>
                      <w:szCs w:val="21"/>
                    </w:rPr>
                    <w:t>1.2</w:t>
                  </w:r>
                </w:p>
              </w:tc>
              <w:tc>
                <w:tcPr>
                  <w:tcW w:w="1909" w:type="dxa"/>
                  <w:vAlign w:val="center"/>
                </w:tcPr>
                <w:p w14:paraId="224572C4">
                  <w:pPr>
                    <w:spacing w:line="240" w:lineRule="auto"/>
                    <w:ind w:firstLine="0" w:firstLineChars="0"/>
                    <w:jc w:val="center"/>
                    <w:rPr>
                      <w:sz w:val="21"/>
                      <w:szCs w:val="21"/>
                    </w:rPr>
                  </w:pPr>
                  <w:r>
                    <w:rPr>
                      <w:rFonts w:hint="eastAsia"/>
                      <w:sz w:val="21"/>
                      <w:szCs w:val="21"/>
                    </w:rPr>
                    <w:t>1.4</w:t>
                  </w:r>
                </w:p>
              </w:tc>
              <w:tc>
                <w:tcPr>
                  <w:tcW w:w="1459" w:type="dxa"/>
                  <w:vAlign w:val="center"/>
                </w:tcPr>
                <w:p w14:paraId="0A29D525">
                  <w:pPr>
                    <w:spacing w:line="240" w:lineRule="auto"/>
                    <w:ind w:firstLine="0" w:firstLineChars="0"/>
                    <w:jc w:val="center"/>
                    <w:rPr>
                      <w:sz w:val="21"/>
                      <w:szCs w:val="21"/>
                    </w:rPr>
                  </w:pPr>
                  <w:r>
                    <w:rPr>
                      <w:rFonts w:hint="eastAsia"/>
                      <w:sz w:val="21"/>
                      <w:szCs w:val="21"/>
                    </w:rPr>
                    <w:t>3.0</w:t>
                  </w:r>
                </w:p>
              </w:tc>
              <w:tc>
                <w:tcPr>
                  <w:tcW w:w="1187" w:type="dxa"/>
                  <w:vAlign w:val="center"/>
                </w:tcPr>
                <w:p w14:paraId="0D9C2390">
                  <w:pPr>
                    <w:spacing w:line="240" w:lineRule="auto"/>
                    <w:ind w:firstLine="0" w:firstLineChars="0"/>
                    <w:jc w:val="center"/>
                    <w:rPr>
                      <w:sz w:val="21"/>
                      <w:szCs w:val="21"/>
                      <w:lang w:val="zh-CN"/>
                    </w:rPr>
                  </w:pPr>
                  <w:r>
                    <w:rPr>
                      <w:rFonts w:hint="eastAsia"/>
                      <w:sz w:val="21"/>
                      <w:szCs w:val="21"/>
                    </w:rPr>
                    <w:t>达标</w:t>
                  </w:r>
                </w:p>
              </w:tc>
            </w:tr>
            <w:tr w14:paraId="72E05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650" w:type="dxa"/>
                  <w:vAlign w:val="center"/>
                </w:tcPr>
                <w:p w14:paraId="0F123F59">
                  <w:pPr>
                    <w:spacing w:line="240" w:lineRule="auto"/>
                    <w:ind w:firstLine="0" w:firstLineChars="0"/>
                    <w:jc w:val="center"/>
                    <w:rPr>
                      <w:sz w:val="21"/>
                      <w:szCs w:val="21"/>
                    </w:rPr>
                  </w:pPr>
                  <w:r>
                    <w:rPr>
                      <w:rFonts w:hint="eastAsia"/>
                      <w:sz w:val="21"/>
                      <w:szCs w:val="21"/>
                    </w:rPr>
                    <w:t>氨氮</w:t>
                  </w:r>
                </w:p>
              </w:tc>
              <w:tc>
                <w:tcPr>
                  <w:tcW w:w="2059" w:type="dxa"/>
                  <w:vAlign w:val="center"/>
                </w:tcPr>
                <w:p w14:paraId="4875A061">
                  <w:pPr>
                    <w:spacing w:line="240" w:lineRule="auto"/>
                    <w:ind w:firstLine="0" w:firstLineChars="0"/>
                    <w:jc w:val="center"/>
                    <w:rPr>
                      <w:sz w:val="21"/>
                      <w:szCs w:val="21"/>
                    </w:rPr>
                  </w:pPr>
                  <w:r>
                    <w:rPr>
                      <w:rFonts w:hint="eastAsia"/>
                      <w:sz w:val="21"/>
                      <w:szCs w:val="21"/>
                    </w:rPr>
                    <w:t>0.432</w:t>
                  </w:r>
                </w:p>
              </w:tc>
              <w:tc>
                <w:tcPr>
                  <w:tcW w:w="1909" w:type="dxa"/>
                  <w:vAlign w:val="center"/>
                </w:tcPr>
                <w:p w14:paraId="27EEA1BA">
                  <w:pPr>
                    <w:spacing w:line="240" w:lineRule="auto"/>
                    <w:ind w:firstLine="0" w:firstLineChars="0"/>
                    <w:jc w:val="center"/>
                    <w:rPr>
                      <w:sz w:val="21"/>
                      <w:szCs w:val="21"/>
                    </w:rPr>
                  </w:pPr>
                  <w:r>
                    <w:rPr>
                      <w:rFonts w:hint="eastAsia"/>
                      <w:sz w:val="21"/>
                      <w:szCs w:val="21"/>
                    </w:rPr>
                    <w:t>0.415</w:t>
                  </w:r>
                </w:p>
              </w:tc>
              <w:tc>
                <w:tcPr>
                  <w:tcW w:w="1459" w:type="dxa"/>
                  <w:vAlign w:val="center"/>
                </w:tcPr>
                <w:p w14:paraId="576EB63C">
                  <w:pPr>
                    <w:spacing w:line="240" w:lineRule="auto"/>
                    <w:ind w:firstLine="0" w:firstLineChars="0"/>
                    <w:jc w:val="center"/>
                    <w:rPr>
                      <w:sz w:val="21"/>
                      <w:szCs w:val="21"/>
                    </w:rPr>
                  </w:pPr>
                  <w:r>
                    <w:rPr>
                      <w:rFonts w:hint="eastAsia"/>
                      <w:sz w:val="21"/>
                      <w:szCs w:val="21"/>
                    </w:rPr>
                    <w:t>0.50</w:t>
                  </w:r>
                </w:p>
              </w:tc>
              <w:tc>
                <w:tcPr>
                  <w:tcW w:w="1187" w:type="dxa"/>
                  <w:vAlign w:val="center"/>
                </w:tcPr>
                <w:p w14:paraId="75587207">
                  <w:pPr>
                    <w:spacing w:line="240" w:lineRule="auto"/>
                    <w:ind w:firstLine="0" w:firstLineChars="0"/>
                    <w:jc w:val="center"/>
                    <w:rPr>
                      <w:sz w:val="21"/>
                      <w:szCs w:val="21"/>
                      <w:lang w:val="zh-CN"/>
                    </w:rPr>
                  </w:pPr>
                  <w:r>
                    <w:rPr>
                      <w:rFonts w:hint="eastAsia"/>
                      <w:sz w:val="21"/>
                      <w:szCs w:val="21"/>
                    </w:rPr>
                    <w:t>达标</w:t>
                  </w:r>
                </w:p>
              </w:tc>
            </w:tr>
            <w:tr w14:paraId="4E991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exact"/>
              </w:trPr>
              <w:tc>
                <w:tcPr>
                  <w:tcW w:w="1650" w:type="dxa"/>
                  <w:vAlign w:val="center"/>
                </w:tcPr>
                <w:p w14:paraId="0EAC16C5">
                  <w:pPr>
                    <w:spacing w:line="240" w:lineRule="auto"/>
                    <w:ind w:firstLine="0" w:firstLineChars="0"/>
                    <w:jc w:val="center"/>
                    <w:rPr>
                      <w:sz w:val="21"/>
                      <w:szCs w:val="21"/>
                    </w:rPr>
                  </w:pPr>
                  <w:r>
                    <w:rPr>
                      <w:rFonts w:hint="eastAsia"/>
                      <w:sz w:val="21"/>
                      <w:szCs w:val="21"/>
                    </w:rPr>
                    <w:t>硝酸盐（以N计）</w:t>
                  </w:r>
                </w:p>
              </w:tc>
              <w:tc>
                <w:tcPr>
                  <w:tcW w:w="2059" w:type="dxa"/>
                  <w:vAlign w:val="center"/>
                </w:tcPr>
                <w:p w14:paraId="5D9708CE">
                  <w:pPr>
                    <w:spacing w:line="240" w:lineRule="auto"/>
                    <w:ind w:firstLine="0" w:firstLineChars="0"/>
                    <w:jc w:val="center"/>
                    <w:rPr>
                      <w:sz w:val="21"/>
                      <w:szCs w:val="21"/>
                    </w:rPr>
                  </w:pPr>
                  <w:r>
                    <w:rPr>
                      <w:rFonts w:hint="eastAsia"/>
                      <w:sz w:val="21"/>
                      <w:szCs w:val="21"/>
                    </w:rPr>
                    <w:t>0.01</w:t>
                  </w:r>
                </w:p>
              </w:tc>
              <w:tc>
                <w:tcPr>
                  <w:tcW w:w="1909" w:type="dxa"/>
                  <w:vAlign w:val="center"/>
                </w:tcPr>
                <w:p w14:paraId="70086A3D">
                  <w:pPr>
                    <w:spacing w:line="240" w:lineRule="auto"/>
                    <w:ind w:firstLine="0" w:firstLineChars="0"/>
                    <w:jc w:val="center"/>
                    <w:rPr>
                      <w:sz w:val="21"/>
                      <w:szCs w:val="21"/>
                    </w:rPr>
                  </w:pPr>
                  <w:r>
                    <w:rPr>
                      <w:rFonts w:hint="eastAsia"/>
                      <w:sz w:val="21"/>
                      <w:szCs w:val="21"/>
                    </w:rPr>
                    <w:t>0.01</w:t>
                  </w:r>
                </w:p>
              </w:tc>
              <w:tc>
                <w:tcPr>
                  <w:tcW w:w="1459" w:type="dxa"/>
                  <w:vAlign w:val="center"/>
                </w:tcPr>
                <w:p w14:paraId="61460467">
                  <w:pPr>
                    <w:spacing w:line="240" w:lineRule="auto"/>
                    <w:ind w:firstLine="0" w:firstLineChars="0"/>
                    <w:jc w:val="center"/>
                    <w:rPr>
                      <w:sz w:val="21"/>
                      <w:szCs w:val="21"/>
                    </w:rPr>
                  </w:pPr>
                  <w:r>
                    <w:rPr>
                      <w:rFonts w:hint="eastAsia"/>
                      <w:sz w:val="21"/>
                      <w:szCs w:val="21"/>
                    </w:rPr>
                    <w:t>20.0</w:t>
                  </w:r>
                </w:p>
              </w:tc>
              <w:tc>
                <w:tcPr>
                  <w:tcW w:w="1187" w:type="dxa"/>
                  <w:vAlign w:val="center"/>
                </w:tcPr>
                <w:p w14:paraId="3485FD2C">
                  <w:pPr>
                    <w:spacing w:line="240" w:lineRule="auto"/>
                    <w:ind w:firstLine="0" w:firstLineChars="0"/>
                    <w:jc w:val="center"/>
                    <w:rPr>
                      <w:sz w:val="21"/>
                      <w:szCs w:val="21"/>
                      <w:lang w:val="zh-CN"/>
                    </w:rPr>
                  </w:pPr>
                  <w:r>
                    <w:rPr>
                      <w:rFonts w:hint="eastAsia"/>
                      <w:sz w:val="21"/>
                      <w:szCs w:val="21"/>
                    </w:rPr>
                    <w:t>达标</w:t>
                  </w:r>
                </w:p>
              </w:tc>
            </w:tr>
            <w:tr w14:paraId="21FEC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exact"/>
              </w:trPr>
              <w:tc>
                <w:tcPr>
                  <w:tcW w:w="1650" w:type="dxa"/>
                  <w:vAlign w:val="center"/>
                </w:tcPr>
                <w:p w14:paraId="1673E7F2">
                  <w:pPr>
                    <w:spacing w:line="240" w:lineRule="auto"/>
                    <w:ind w:firstLine="0" w:firstLineChars="0"/>
                    <w:jc w:val="center"/>
                    <w:rPr>
                      <w:sz w:val="21"/>
                      <w:szCs w:val="21"/>
                      <w:lang w:val="zh-CN"/>
                    </w:rPr>
                  </w:pPr>
                  <w:r>
                    <w:rPr>
                      <w:rFonts w:hint="eastAsia"/>
                      <w:sz w:val="21"/>
                      <w:szCs w:val="21"/>
                    </w:rPr>
                    <w:t>亚硝酸盐（以N计）</w:t>
                  </w:r>
                </w:p>
              </w:tc>
              <w:tc>
                <w:tcPr>
                  <w:tcW w:w="2059" w:type="dxa"/>
                  <w:vAlign w:val="center"/>
                </w:tcPr>
                <w:p w14:paraId="5416A982">
                  <w:pPr>
                    <w:spacing w:line="240" w:lineRule="auto"/>
                    <w:ind w:firstLine="0" w:firstLineChars="0"/>
                    <w:jc w:val="center"/>
                    <w:rPr>
                      <w:sz w:val="21"/>
                      <w:szCs w:val="21"/>
                    </w:rPr>
                  </w:pPr>
                  <w:r>
                    <w:rPr>
                      <w:rFonts w:hint="eastAsia"/>
                      <w:sz w:val="21"/>
                      <w:szCs w:val="21"/>
                    </w:rPr>
                    <w:t>0.003L</w:t>
                  </w:r>
                </w:p>
              </w:tc>
              <w:tc>
                <w:tcPr>
                  <w:tcW w:w="1909" w:type="dxa"/>
                  <w:vAlign w:val="center"/>
                </w:tcPr>
                <w:p w14:paraId="4D95B491">
                  <w:pPr>
                    <w:spacing w:line="240" w:lineRule="auto"/>
                    <w:ind w:firstLine="0" w:firstLineChars="0"/>
                    <w:jc w:val="center"/>
                    <w:rPr>
                      <w:sz w:val="21"/>
                      <w:szCs w:val="21"/>
                      <w:lang w:val="zh-CN"/>
                    </w:rPr>
                  </w:pPr>
                  <w:r>
                    <w:rPr>
                      <w:rFonts w:hint="eastAsia"/>
                      <w:sz w:val="21"/>
                      <w:szCs w:val="21"/>
                    </w:rPr>
                    <w:t>0.003L</w:t>
                  </w:r>
                </w:p>
              </w:tc>
              <w:tc>
                <w:tcPr>
                  <w:tcW w:w="1459" w:type="dxa"/>
                  <w:vAlign w:val="center"/>
                </w:tcPr>
                <w:p w14:paraId="342DB0B6">
                  <w:pPr>
                    <w:spacing w:line="240" w:lineRule="auto"/>
                    <w:ind w:firstLine="0" w:firstLineChars="0"/>
                    <w:jc w:val="center"/>
                    <w:rPr>
                      <w:sz w:val="21"/>
                      <w:szCs w:val="21"/>
                    </w:rPr>
                  </w:pPr>
                  <w:r>
                    <w:rPr>
                      <w:rFonts w:hint="eastAsia"/>
                      <w:sz w:val="21"/>
                      <w:szCs w:val="21"/>
                    </w:rPr>
                    <w:t>1.00</w:t>
                  </w:r>
                </w:p>
              </w:tc>
              <w:tc>
                <w:tcPr>
                  <w:tcW w:w="1187" w:type="dxa"/>
                  <w:vAlign w:val="center"/>
                </w:tcPr>
                <w:p w14:paraId="1D9D596D">
                  <w:pPr>
                    <w:spacing w:line="240" w:lineRule="auto"/>
                    <w:ind w:firstLine="0" w:firstLineChars="0"/>
                    <w:jc w:val="center"/>
                    <w:rPr>
                      <w:sz w:val="21"/>
                      <w:szCs w:val="21"/>
                      <w:lang w:val="zh-CN"/>
                    </w:rPr>
                  </w:pPr>
                  <w:r>
                    <w:rPr>
                      <w:rFonts w:hint="eastAsia"/>
                      <w:sz w:val="21"/>
                      <w:szCs w:val="21"/>
                    </w:rPr>
                    <w:t>达标</w:t>
                  </w:r>
                </w:p>
              </w:tc>
            </w:tr>
            <w:tr w14:paraId="6891C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650" w:type="dxa"/>
                  <w:vAlign w:val="center"/>
                </w:tcPr>
                <w:p w14:paraId="4C96D155">
                  <w:pPr>
                    <w:spacing w:line="240" w:lineRule="auto"/>
                    <w:ind w:firstLine="0" w:firstLineChars="0"/>
                    <w:jc w:val="center"/>
                    <w:rPr>
                      <w:sz w:val="21"/>
                      <w:szCs w:val="21"/>
                    </w:rPr>
                  </w:pPr>
                  <w:r>
                    <w:rPr>
                      <w:rFonts w:hint="eastAsia"/>
                      <w:sz w:val="21"/>
                      <w:szCs w:val="21"/>
                    </w:rPr>
                    <w:t>石油类</w:t>
                  </w:r>
                </w:p>
              </w:tc>
              <w:tc>
                <w:tcPr>
                  <w:tcW w:w="2059" w:type="dxa"/>
                  <w:vAlign w:val="center"/>
                </w:tcPr>
                <w:p w14:paraId="7AE3C83C">
                  <w:pPr>
                    <w:spacing w:line="240" w:lineRule="auto"/>
                    <w:ind w:firstLine="0" w:firstLineChars="0"/>
                    <w:jc w:val="center"/>
                    <w:rPr>
                      <w:sz w:val="21"/>
                      <w:szCs w:val="21"/>
                      <w:lang w:val="zh-CN"/>
                    </w:rPr>
                  </w:pPr>
                  <w:r>
                    <w:rPr>
                      <w:rFonts w:hint="eastAsia"/>
                      <w:sz w:val="21"/>
                      <w:szCs w:val="21"/>
                    </w:rPr>
                    <w:t>0.01L</w:t>
                  </w:r>
                </w:p>
              </w:tc>
              <w:tc>
                <w:tcPr>
                  <w:tcW w:w="1909" w:type="dxa"/>
                  <w:vAlign w:val="center"/>
                </w:tcPr>
                <w:p w14:paraId="3A9ACB65">
                  <w:pPr>
                    <w:spacing w:line="240" w:lineRule="auto"/>
                    <w:ind w:firstLine="0" w:firstLineChars="0"/>
                    <w:jc w:val="center"/>
                    <w:rPr>
                      <w:sz w:val="21"/>
                      <w:szCs w:val="21"/>
                      <w:lang w:val="zh-CN"/>
                    </w:rPr>
                  </w:pPr>
                  <w:r>
                    <w:rPr>
                      <w:rFonts w:hint="eastAsia"/>
                      <w:sz w:val="21"/>
                      <w:szCs w:val="21"/>
                    </w:rPr>
                    <w:t>0.01L</w:t>
                  </w:r>
                </w:p>
              </w:tc>
              <w:tc>
                <w:tcPr>
                  <w:tcW w:w="1459" w:type="dxa"/>
                  <w:vAlign w:val="center"/>
                </w:tcPr>
                <w:p w14:paraId="7041D089">
                  <w:pPr>
                    <w:spacing w:line="240" w:lineRule="auto"/>
                    <w:ind w:firstLine="0" w:firstLineChars="0"/>
                    <w:jc w:val="center"/>
                    <w:rPr>
                      <w:sz w:val="21"/>
                      <w:szCs w:val="21"/>
                    </w:rPr>
                  </w:pPr>
                  <w:r>
                    <w:rPr>
                      <w:rFonts w:hint="eastAsia"/>
                      <w:sz w:val="21"/>
                      <w:szCs w:val="21"/>
                    </w:rPr>
                    <w:t>0.05</w:t>
                  </w:r>
                </w:p>
              </w:tc>
              <w:tc>
                <w:tcPr>
                  <w:tcW w:w="1187" w:type="dxa"/>
                  <w:vAlign w:val="center"/>
                </w:tcPr>
                <w:p w14:paraId="37830CCF">
                  <w:pPr>
                    <w:spacing w:line="240" w:lineRule="auto"/>
                    <w:ind w:firstLine="0" w:firstLineChars="0"/>
                    <w:jc w:val="center"/>
                    <w:rPr>
                      <w:sz w:val="21"/>
                      <w:szCs w:val="21"/>
                      <w:lang w:val="zh-CN"/>
                    </w:rPr>
                  </w:pPr>
                  <w:r>
                    <w:rPr>
                      <w:rFonts w:hint="eastAsia"/>
                      <w:sz w:val="21"/>
                      <w:szCs w:val="21"/>
                    </w:rPr>
                    <w:t>达标</w:t>
                  </w:r>
                </w:p>
              </w:tc>
            </w:tr>
            <w:tr w14:paraId="5EA64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650" w:type="dxa"/>
                  <w:vAlign w:val="center"/>
                </w:tcPr>
                <w:p w14:paraId="33C1A03F">
                  <w:pPr>
                    <w:spacing w:line="240" w:lineRule="auto"/>
                    <w:ind w:firstLine="0" w:firstLineChars="0"/>
                    <w:jc w:val="center"/>
                    <w:rPr>
                      <w:sz w:val="21"/>
                      <w:szCs w:val="21"/>
                    </w:rPr>
                  </w:pPr>
                  <w:r>
                    <w:rPr>
                      <w:rFonts w:hint="eastAsia"/>
                      <w:sz w:val="21"/>
                      <w:szCs w:val="21"/>
                    </w:rPr>
                    <w:t>挥发酚</w:t>
                  </w:r>
                </w:p>
              </w:tc>
              <w:tc>
                <w:tcPr>
                  <w:tcW w:w="2059" w:type="dxa"/>
                  <w:vAlign w:val="center"/>
                </w:tcPr>
                <w:p w14:paraId="58D1554B">
                  <w:pPr>
                    <w:spacing w:line="240" w:lineRule="auto"/>
                    <w:ind w:firstLine="0" w:firstLineChars="0"/>
                    <w:jc w:val="center"/>
                    <w:rPr>
                      <w:sz w:val="21"/>
                      <w:szCs w:val="21"/>
                      <w:lang w:val="zh-CN"/>
                    </w:rPr>
                  </w:pPr>
                  <w:r>
                    <w:rPr>
                      <w:rFonts w:hint="eastAsia"/>
                      <w:sz w:val="21"/>
                      <w:szCs w:val="21"/>
                    </w:rPr>
                    <w:t>0.0003L</w:t>
                  </w:r>
                </w:p>
              </w:tc>
              <w:tc>
                <w:tcPr>
                  <w:tcW w:w="1909" w:type="dxa"/>
                  <w:vAlign w:val="center"/>
                </w:tcPr>
                <w:p w14:paraId="1CE844BB">
                  <w:pPr>
                    <w:spacing w:line="240" w:lineRule="auto"/>
                    <w:ind w:firstLine="0" w:firstLineChars="0"/>
                    <w:jc w:val="center"/>
                    <w:rPr>
                      <w:sz w:val="21"/>
                      <w:szCs w:val="21"/>
                      <w:lang w:val="zh-CN"/>
                    </w:rPr>
                  </w:pPr>
                  <w:r>
                    <w:rPr>
                      <w:rFonts w:hint="eastAsia"/>
                      <w:sz w:val="21"/>
                      <w:szCs w:val="21"/>
                    </w:rPr>
                    <w:t>0.0003L</w:t>
                  </w:r>
                </w:p>
              </w:tc>
              <w:tc>
                <w:tcPr>
                  <w:tcW w:w="1459" w:type="dxa"/>
                  <w:vAlign w:val="center"/>
                </w:tcPr>
                <w:p w14:paraId="6D9A04E9">
                  <w:pPr>
                    <w:spacing w:line="240" w:lineRule="auto"/>
                    <w:ind w:firstLine="0" w:firstLineChars="0"/>
                    <w:jc w:val="center"/>
                    <w:rPr>
                      <w:sz w:val="21"/>
                      <w:szCs w:val="21"/>
                      <w:lang w:val="zh-CN"/>
                    </w:rPr>
                  </w:pPr>
                  <w:r>
                    <w:rPr>
                      <w:rFonts w:hint="eastAsia"/>
                      <w:sz w:val="21"/>
                      <w:szCs w:val="21"/>
                    </w:rPr>
                    <w:t>0.002</w:t>
                  </w:r>
                </w:p>
              </w:tc>
              <w:tc>
                <w:tcPr>
                  <w:tcW w:w="1187" w:type="dxa"/>
                  <w:vAlign w:val="center"/>
                </w:tcPr>
                <w:p w14:paraId="6A6B4D5D">
                  <w:pPr>
                    <w:spacing w:line="240" w:lineRule="auto"/>
                    <w:ind w:firstLine="0" w:firstLineChars="0"/>
                    <w:jc w:val="center"/>
                    <w:rPr>
                      <w:sz w:val="21"/>
                      <w:szCs w:val="21"/>
                      <w:lang w:val="zh-CN"/>
                    </w:rPr>
                  </w:pPr>
                  <w:r>
                    <w:rPr>
                      <w:rFonts w:hint="eastAsia"/>
                      <w:sz w:val="21"/>
                      <w:szCs w:val="21"/>
                    </w:rPr>
                    <w:t>达标</w:t>
                  </w:r>
                </w:p>
              </w:tc>
            </w:tr>
            <w:tr w14:paraId="5689B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650" w:type="dxa"/>
                  <w:vAlign w:val="center"/>
                </w:tcPr>
                <w:p w14:paraId="6B354826">
                  <w:pPr>
                    <w:spacing w:line="240" w:lineRule="auto"/>
                    <w:ind w:firstLine="0" w:firstLineChars="0"/>
                    <w:jc w:val="center"/>
                    <w:rPr>
                      <w:sz w:val="21"/>
                      <w:szCs w:val="21"/>
                    </w:rPr>
                  </w:pPr>
                  <w:r>
                    <w:rPr>
                      <w:rFonts w:hint="eastAsia"/>
                      <w:sz w:val="21"/>
                      <w:szCs w:val="21"/>
                    </w:rPr>
                    <w:t>氰化物</w:t>
                  </w:r>
                </w:p>
              </w:tc>
              <w:tc>
                <w:tcPr>
                  <w:tcW w:w="2059" w:type="dxa"/>
                  <w:vAlign w:val="center"/>
                </w:tcPr>
                <w:p w14:paraId="5004F1BA">
                  <w:pPr>
                    <w:spacing w:line="240" w:lineRule="auto"/>
                    <w:ind w:firstLine="0" w:firstLineChars="0"/>
                    <w:jc w:val="center"/>
                    <w:rPr>
                      <w:sz w:val="21"/>
                      <w:szCs w:val="21"/>
                      <w:lang w:val="zh-CN"/>
                    </w:rPr>
                  </w:pPr>
                  <w:r>
                    <w:rPr>
                      <w:rFonts w:hint="eastAsia"/>
                      <w:sz w:val="21"/>
                      <w:szCs w:val="21"/>
                    </w:rPr>
                    <w:t>0.002L</w:t>
                  </w:r>
                </w:p>
              </w:tc>
              <w:tc>
                <w:tcPr>
                  <w:tcW w:w="1909" w:type="dxa"/>
                  <w:vAlign w:val="center"/>
                </w:tcPr>
                <w:p w14:paraId="6AB209AB">
                  <w:pPr>
                    <w:spacing w:line="240" w:lineRule="auto"/>
                    <w:ind w:firstLine="0" w:firstLineChars="0"/>
                    <w:jc w:val="center"/>
                    <w:rPr>
                      <w:sz w:val="21"/>
                      <w:szCs w:val="21"/>
                      <w:lang w:val="zh-CN"/>
                    </w:rPr>
                  </w:pPr>
                  <w:r>
                    <w:rPr>
                      <w:rFonts w:hint="eastAsia"/>
                      <w:sz w:val="21"/>
                      <w:szCs w:val="21"/>
                    </w:rPr>
                    <w:t>0.002L</w:t>
                  </w:r>
                </w:p>
              </w:tc>
              <w:tc>
                <w:tcPr>
                  <w:tcW w:w="1459" w:type="dxa"/>
                  <w:vAlign w:val="center"/>
                </w:tcPr>
                <w:p w14:paraId="63438CD5">
                  <w:pPr>
                    <w:spacing w:line="240" w:lineRule="auto"/>
                    <w:ind w:firstLine="0" w:firstLineChars="0"/>
                    <w:jc w:val="center"/>
                    <w:rPr>
                      <w:sz w:val="21"/>
                      <w:szCs w:val="21"/>
                    </w:rPr>
                  </w:pPr>
                  <w:r>
                    <w:rPr>
                      <w:rFonts w:hint="eastAsia"/>
                      <w:sz w:val="21"/>
                      <w:szCs w:val="21"/>
                    </w:rPr>
                    <w:t>0.05</w:t>
                  </w:r>
                </w:p>
              </w:tc>
              <w:tc>
                <w:tcPr>
                  <w:tcW w:w="1187" w:type="dxa"/>
                  <w:vAlign w:val="center"/>
                </w:tcPr>
                <w:p w14:paraId="34E48412">
                  <w:pPr>
                    <w:spacing w:line="240" w:lineRule="auto"/>
                    <w:ind w:firstLine="0" w:firstLineChars="0"/>
                    <w:jc w:val="center"/>
                    <w:rPr>
                      <w:sz w:val="21"/>
                      <w:szCs w:val="21"/>
                      <w:lang w:val="zh-CN"/>
                    </w:rPr>
                  </w:pPr>
                  <w:r>
                    <w:rPr>
                      <w:rFonts w:hint="eastAsia"/>
                      <w:sz w:val="21"/>
                      <w:szCs w:val="21"/>
                    </w:rPr>
                    <w:t>达标</w:t>
                  </w:r>
                </w:p>
              </w:tc>
            </w:tr>
            <w:tr w14:paraId="178EB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650" w:type="dxa"/>
                  <w:vAlign w:val="center"/>
                </w:tcPr>
                <w:p w14:paraId="50831C52">
                  <w:pPr>
                    <w:spacing w:line="240" w:lineRule="auto"/>
                    <w:ind w:firstLine="0" w:firstLineChars="0"/>
                    <w:jc w:val="center"/>
                    <w:rPr>
                      <w:sz w:val="21"/>
                      <w:szCs w:val="21"/>
                    </w:rPr>
                  </w:pPr>
                  <w:r>
                    <w:rPr>
                      <w:rFonts w:hint="eastAsia"/>
                      <w:sz w:val="21"/>
                      <w:szCs w:val="21"/>
                    </w:rPr>
                    <w:t>氟化物</w:t>
                  </w:r>
                </w:p>
              </w:tc>
              <w:tc>
                <w:tcPr>
                  <w:tcW w:w="2059" w:type="dxa"/>
                  <w:vAlign w:val="center"/>
                </w:tcPr>
                <w:p w14:paraId="3984660C">
                  <w:pPr>
                    <w:spacing w:line="240" w:lineRule="auto"/>
                    <w:ind w:firstLine="0" w:firstLineChars="0"/>
                    <w:jc w:val="center"/>
                    <w:rPr>
                      <w:sz w:val="21"/>
                      <w:szCs w:val="21"/>
                    </w:rPr>
                  </w:pPr>
                  <w:r>
                    <w:rPr>
                      <w:rFonts w:hint="eastAsia"/>
                      <w:sz w:val="21"/>
                      <w:szCs w:val="21"/>
                    </w:rPr>
                    <w:t>0.17</w:t>
                  </w:r>
                </w:p>
              </w:tc>
              <w:tc>
                <w:tcPr>
                  <w:tcW w:w="1909" w:type="dxa"/>
                  <w:vAlign w:val="center"/>
                </w:tcPr>
                <w:p w14:paraId="5EE32952">
                  <w:pPr>
                    <w:spacing w:line="240" w:lineRule="auto"/>
                    <w:ind w:firstLine="0" w:firstLineChars="0"/>
                    <w:jc w:val="center"/>
                    <w:rPr>
                      <w:sz w:val="21"/>
                      <w:szCs w:val="21"/>
                    </w:rPr>
                  </w:pPr>
                  <w:r>
                    <w:rPr>
                      <w:rFonts w:hint="eastAsia"/>
                      <w:sz w:val="21"/>
                      <w:szCs w:val="21"/>
                    </w:rPr>
                    <w:t>0.17</w:t>
                  </w:r>
                </w:p>
              </w:tc>
              <w:tc>
                <w:tcPr>
                  <w:tcW w:w="1459" w:type="dxa"/>
                  <w:vAlign w:val="center"/>
                </w:tcPr>
                <w:p w14:paraId="0E879F6F">
                  <w:pPr>
                    <w:spacing w:line="240" w:lineRule="auto"/>
                    <w:ind w:firstLine="0" w:firstLineChars="0"/>
                    <w:jc w:val="center"/>
                    <w:rPr>
                      <w:sz w:val="21"/>
                      <w:szCs w:val="21"/>
                    </w:rPr>
                  </w:pPr>
                  <w:r>
                    <w:rPr>
                      <w:rFonts w:hint="eastAsia"/>
                      <w:sz w:val="21"/>
                      <w:szCs w:val="21"/>
                    </w:rPr>
                    <w:t>1.0</w:t>
                  </w:r>
                </w:p>
              </w:tc>
              <w:tc>
                <w:tcPr>
                  <w:tcW w:w="1187" w:type="dxa"/>
                  <w:vAlign w:val="center"/>
                </w:tcPr>
                <w:p w14:paraId="0CF00A34">
                  <w:pPr>
                    <w:spacing w:line="240" w:lineRule="auto"/>
                    <w:ind w:firstLine="0" w:firstLineChars="0"/>
                    <w:jc w:val="center"/>
                    <w:rPr>
                      <w:sz w:val="21"/>
                      <w:szCs w:val="21"/>
                      <w:lang w:val="zh-CN"/>
                    </w:rPr>
                  </w:pPr>
                  <w:r>
                    <w:rPr>
                      <w:rFonts w:hint="eastAsia"/>
                      <w:sz w:val="21"/>
                      <w:szCs w:val="21"/>
                    </w:rPr>
                    <w:t>达标</w:t>
                  </w:r>
                </w:p>
              </w:tc>
            </w:tr>
            <w:tr w14:paraId="4E9FA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650" w:type="dxa"/>
                  <w:vAlign w:val="center"/>
                </w:tcPr>
                <w:p w14:paraId="4B68BB55">
                  <w:pPr>
                    <w:spacing w:line="240" w:lineRule="auto"/>
                    <w:ind w:firstLine="0" w:firstLineChars="0"/>
                    <w:jc w:val="center"/>
                    <w:rPr>
                      <w:sz w:val="21"/>
                      <w:szCs w:val="21"/>
                    </w:rPr>
                  </w:pPr>
                  <w:r>
                    <w:rPr>
                      <w:rFonts w:hint="eastAsia"/>
                      <w:sz w:val="21"/>
                      <w:szCs w:val="21"/>
                    </w:rPr>
                    <w:t>硫酸盐</w:t>
                  </w:r>
                </w:p>
              </w:tc>
              <w:tc>
                <w:tcPr>
                  <w:tcW w:w="2059" w:type="dxa"/>
                  <w:vAlign w:val="center"/>
                </w:tcPr>
                <w:p w14:paraId="05676C02">
                  <w:pPr>
                    <w:spacing w:line="240" w:lineRule="auto"/>
                    <w:ind w:firstLine="0" w:firstLineChars="0"/>
                    <w:jc w:val="center"/>
                    <w:rPr>
                      <w:sz w:val="21"/>
                      <w:szCs w:val="21"/>
                    </w:rPr>
                  </w:pPr>
                  <w:r>
                    <w:rPr>
                      <w:rFonts w:hint="eastAsia"/>
                      <w:sz w:val="21"/>
                      <w:szCs w:val="21"/>
                    </w:rPr>
                    <w:t>2</w:t>
                  </w:r>
                </w:p>
              </w:tc>
              <w:tc>
                <w:tcPr>
                  <w:tcW w:w="1909" w:type="dxa"/>
                  <w:vAlign w:val="center"/>
                </w:tcPr>
                <w:p w14:paraId="78084027">
                  <w:pPr>
                    <w:spacing w:line="240" w:lineRule="auto"/>
                    <w:ind w:firstLine="0" w:firstLineChars="0"/>
                    <w:jc w:val="center"/>
                    <w:rPr>
                      <w:sz w:val="21"/>
                      <w:szCs w:val="21"/>
                    </w:rPr>
                  </w:pPr>
                  <w:r>
                    <w:rPr>
                      <w:rFonts w:hint="eastAsia"/>
                      <w:sz w:val="21"/>
                      <w:szCs w:val="21"/>
                    </w:rPr>
                    <w:t>3</w:t>
                  </w:r>
                </w:p>
              </w:tc>
              <w:tc>
                <w:tcPr>
                  <w:tcW w:w="1459" w:type="dxa"/>
                  <w:vAlign w:val="center"/>
                </w:tcPr>
                <w:p w14:paraId="48A0001A">
                  <w:pPr>
                    <w:spacing w:line="240" w:lineRule="auto"/>
                    <w:ind w:firstLine="0" w:firstLineChars="0"/>
                    <w:jc w:val="center"/>
                    <w:rPr>
                      <w:sz w:val="21"/>
                      <w:szCs w:val="21"/>
                    </w:rPr>
                  </w:pPr>
                  <w:r>
                    <w:rPr>
                      <w:rFonts w:hint="eastAsia"/>
                      <w:sz w:val="21"/>
                      <w:szCs w:val="21"/>
                    </w:rPr>
                    <w:t>250</w:t>
                  </w:r>
                </w:p>
              </w:tc>
              <w:tc>
                <w:tcPr>
                  <w:tcW w:w="1187" w:type="dxa"/>
                  <w:vAlign w:val="center"/>
                </w:tcPr>
                <w:p w14:paraId="30E7FD55">
                  <w:pPr>
                    <w:spacing w:line="240" w:lineRule="auto"/>
                    <w:ind w:firstLine="0" w:firstLineChars="0"/>
                    <w:jc w:val="center"/>
                    <w:rPr>
                      <w:sz w:val="21"/>
                      <w:szCs w:val="21"/>
                      <w:lang w:val="zh-CN"/>
                    </w:rPr>
                  </w:pPr>
                  <w:r>
                    <w:rPr>
                      <w:rFonts w:hint="eastAsia"/>
                      <w:sz w:val="21"/>
                      <w:szCs w:val="21"/>
                    </w:rPr>
                    <w:t>达标</w:t>
                  </w:r>
                </w:p>
              </w:tc>
            </w:tr>
            <w:tr w14:paraId="3AABA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650" w:type="dxa"/>
                  <w:vAlign w:val="center"/>
                </w:tcPr>
                <w:p w14:paraId="65ACDD1A">
                  <w:pPr>
                    <w:spacing w:line="240" w:lineRule="auto"/>
                    <w:ind w:firstLine="0" w:firstLineChars="0"/>
                    <w:jc w:val="center"/>
                    <w:rPr>
                      <w:sz w:val="21"/>
                      <w:szCs w:val="21"/>
                    </w:rPr>
                  </w:pPr>
                  <w:r>
                    <w:rPr>
                      <w:rFonts w:hint="eastAsia"/>
                      <w:sz w:val="21"/>
                      <w:szCs w:val="21"/>
                    </w:rPr>
                    <w:t>氯化物</w:t>
                  </w:r>
                </w:p>
              </w:tc>
              <w:tc>
                <w:tcPr>
                  <w:tcW w:w="2059" w:type="dxa"/>
                  <w:vAlign w:val="center"/>
                </w:tcPr>
                <w:p w14:paraId="3DE80A46">
                  <w:pPr>
                    <w:spacing w:line="240" w:lineRule="auto"/>
                    <w:ind w:firstLine="0" w:firstLineChars="0"/>
                    <w:jc w:val="center"/>
                    <w:rPr>
                      <w:sz w:val="21"/>
                      <w:szCs w:val="21"/>
                    </w:rPr>
                  </w:pPr>
                  <w:r>
                    <w:rPr>
                      <w:rFonts w:hint="eastAsia"/>
                      <w:sz w:val="21"/>
                      <w:szCs w:val="21"/>
                    </w:rPr>
                    <w:t>2.5L</w:t>
                  </w:r>
                </w:p>
              </w:tc>
              <w:tc>
                <w:tcPr>
                  <w:tcW w:w="1909" w:type="dxa"/>
                  <w:vAlign w:val="center"/>
                </w:tcPr>
                <w:p w14:paraId="0F12E6B6">
                  <w:pPr>
                    <w:spacing w:line="240" w:lineRule="auto"/>
                    <w:ind w:firstLine="0" w:firstLineChars="0"/>
                    <w:jc w:val="center"/>
                    <w:rPr>
                      <w:sz w:val="21"/>
                      <w:szCs w:val="21"/>
                      <w:lang w:val="zh-CN"/>
                    </w:rPr>
                  </w:pPr>
                  <w:r>
                    <w:rPr>
                      <w:rFonts w:hint="eastAsia"/>
                      <w:sz w:val="21"/>
                      <w:szCs w:val="21"/>
                    </w:rPr>
                    <w:t>2.5L</w:t>
                  </w:r>
                </w:p>
              </w:tc>
              <w:tc>
                <w:tcPr>
                  <w:tcW w:w="1459" w:type="dxa"/>
                  <w:vAlign w:val="center"/>
                </w:tcPr>
                <w:p w14:paraId="4F835CC2">
                  <w:pPr>
                    <w:spacing w:line="240" w:lineRule="auto"/>
                    <w:ind w:firstLine="0" w:firstLineChars="0"/>
                    <w:jc w:val="center"/>
                    <w:rPr>
                      <w:sz w:val="21"/>
                      <w:szCs w:val="21"/>
                    </w:rPr>
                  </w:pPr>
                  <w:r>
                    <w:rPr>
                      <w:rFonts w:hint="eastAsia"/>
                      <w:sz w:val="21"/>
                      <w:szCs w:val="21"/>
                    </w:rPr>
                    <w:t>250</w:t>
                  </w:r>
                </w:p>
              </w:tc>
              <w:tc>
                <w:tcPr>
                  <w:tcW w:w="1187" w:type="dxa"/>
                  <w:vAlign w:val="center"/>
                </w:tcPr>
                <w:p w14:paraId="5B145CF4">
                  <w:pPr>
                    <w:spacing w:line="240" w:lineRule="auto"/>
                    <w:ind w:firstLine="0" w:firstLineChars="0"/>
                    <w:jc w:val="center"/>
                    <w:rPr>
                      <w:sz w:val="21"/>
                      <w:szCs w:val="21"/>
                      <w:lang w:val="zh-CN"/>
                    </w:rPr>
                  </w:pPr>
                  <w:r>
                    <w:rPr>
                      <w:rFonts w:hint="eastAsia"/>
                      <w:sz w:val="21"/>
                      <w:szCs w:val="21"/>
                    </w:rPr>
                    <w:t>达标</w:t>
                  </w:r>
                </w:p>
              </w:tc>
            </w:tr>
            <w:tr w14:paraId="6CA78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650" w:type="dxa"/>
                  <w:vAlign w:val="center"/>
                </w:tcPr>
                <w:p w14:paraId="44905144">
                  <w:pPr>
                    <w:spacing w:line="240" w:lineRule="auto"/>
                    <w:ind w:firstLine="0" w:firstLineChars="0"/>
                    <w:jc w:val="center"/>
                    <w:rPr>
                      <w:sz w:val="21"/>
                      <w:szCs w:val="21"/>
                      <w:vertAlign w:val="superscript"/>
                    </w:rPr>
                  </w:pPr>
                  <w:r>
                    <w:rPr>
                      <w:rFonts w:hint="eastAsia"/>
                      <w:sz w:val="21"/>
                      <w:szCs w:val="21"/>
                    </w:rPr>
                    <w:t>K</w:t>
                  </w:r>
                  <w:r>
                    <w:rPr>
                      <w:rFonts w:hint="eastAsia"/>
                      <w:sz w:val="21"/>
                      <w:szCs w:val="21"/>
                      <w:vertAlign w:val="superscript"/>
                    </w:rPr>
                    <w:t>+</w:t>
                  </w:r>
                </w:p>
              </w:tc>
              <w:tc>
                <w:tcPr>
                  <w:tcW w:w="2059" w:type="dxa"/>
                  <w:vAlign w:val="center"/>
                </w:tcPr>
                <w:p w14:paraId="3F713D56">
                  <w:pPr>
                    <w:spacing w:line="240" w:lineRule="auto"/>
                    <w:ind w:firstLine="0" w:firstLineChars="0"/>
                    <w:jc w:val="center"/>
                    <w:rPr>
                      <w:sz w:val="21"/>
                      <w:szCs w:val="21"/>
                    </w:rPr>
                  </w:pPr>
                  <w:r>
                    <w:rPr>
                      <w:rFonts w:hint="eastAsia"/>
                      <w:sz w:val="21"/>
                      <w:szCs w:val="21"/>
                    </w:rPr>
                    <w:t>1.72</w:t>
                  </w:r>
                </w:p>
              </w:tc>
              <w:tc>
                <w:tcPr>
                  <w:tcW w:w="1909" w:type="dxa"/>
                  <w:vAlign w:val="center"/>
                </w:tcPr>
                <w:p w14:paraId="525443AA">
                  <w:pPr>
                    <w:spacing w:line="240" w:lineRule="auto"/>
                    <w:ind w:firstLine="0" w:firstLineChars="0"/>
                    <w:jc w:val="center"/>
                    <w:rPr>
                      <w:sz w:val="21"/>
                      <w:szCs w:val="21"/>
                    </w:rPr>
                  </w:pPr>
                  <w:r>
                    <w:rPr>
                      <w:rFonts w:hint="eastAsia"/>
                      <w:sz w:val="21"/>
                      <w:szCs w:val="21"/>
                    </w:rPr>
                    <w:t>1.72</w:t>
                  </w:r>
                </w:p>
              </w:tc>
              <w:tc>
                <w:tcPr>
                  <w:tcW w:w="1459" w:type="dxa"/>
                  <w:vAlign w:val="center"/>
                </w:tcPr>
                <w:p w14:paraId="6DCA5185">
                  <w:pPr>
                    <w:spacing w:line="240" w:lineRule="auto"/>
                    <w:ind w:firstLine="0" w:firstLineChars="0"/>
                    <w:jc w:val="center"/>
                    <w:rPr>
                      <w:sz w:val="21"/>
                      <w:szCs w:val="21"/>
                    </w:rPr>
                  </w:pPr>
                  <w:r>
                    <w:rPr>
                      <w:rFonts w:hint="eastAsia"/>
                      <w:sz w:val="21"/>
                      <w:szCs w:val="21"/>
                    </w:rPr>
                    <w:t>/</w:t>
                  </w:r>
                </w:p>
              </w:tc>
              <w:tc>
                <w:tcPr>
                  <w:tcW w:w="1187" w:type="dxa"/>
                  <w:vAlign w:val="center"/>
                </w:tcPr>
                <w:p w14:paraId="1DD54C9D">
                  <w:pPr>
                    <w:spacing w:line="240" w:lineRule="auto"/>
                    <w:ind w:firstLine="0" w:firstLineChars="0"/>
                    <w:jc w:val="center"/>
                    <w:rPr>
                      <w:sz w:val="21"/>
                      <w:szCs w:val="21"/>
                      <w:lang w:val="zh-CN"/>
                    </w:rPr>
                  </w:pPr>
                  <w:r>
                    <w:rPr>
                      <w:rFonts w:hint="eastAsia"/>
                      <w:sz w:val="21"/>
                      <w:szCs w:val="21"/>
                    </w:rPr>
                    <w:t>/</w:t>
                  </w:r>
                </w:p>
              </w:tc>
            </w:tr>
            <w:tr w14:paraId="64869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650" w:type="dxa"/>
                  <w:vAlign w:val="center"/>
                </w:tcPr>
                <w:p w14:paraId="64AE892D">
                  <w:pPr>
                    <w:spacing w:line="240" w:lineRule="auto"/>
                    <w:ind w:firstLine="0" w:firstLineChars="0"/>
                    <w:jc w:val="center"/>
                    <w:rPr>
                      <w:sz w:val="21"/>
                      <w:szCs w:val="21"/>
                      <w:vertAlign w:val="superscript"/>
                    </w:rPr>
                  </w:pPr>
                  <w:r>
                    <w:rPr>
                      <w:rFonts w:hint="eastAsia"/>
                      <w:sz w:val="21"/>
                      <w:szCs w:val="21"/>
                    </w:rPr>
                    <w:t>Na</w:t>
                  </w:r>
                  <w:r>
                    <w:rPr>
                      <w:rFonts w:hint="eastAsia"/>
                      <w:sz w:val="21"/>
                      <w:szCs w:val="21"/>
                      <w:vertAlign w:val="superscript"/>
                    </w:rPr>
                    <w:t>+</w:t>
                  </w:r>
                </w:p>
              </w:tc>
              <w:tc>
                <w:tcPr>
                  <w:tcW w:w="2059" w:type="dxa"/>
                  <w:vAlign w:val="center"/>
                </w:tcPr>
                <w:p w14:paraId="00D49BA5">
                  <w:pPr>
                    <w:spacing w:line="240" w:lineRule="auto"/>
                    <w:ind w:firstLine="0" w:firstLineChars="0"/>
                    <w:jc w:val="center"/>
                    <w:rPr>
                      <w:sz w:val="21"/>
                      <w:szCs w:val="21"/>
                    </w:rPr>
                  </w:pPr>
                  <w:r>
                    <w:rPr>
                      <w:rFonts w:hint="eastAsia"/>
                      <w:sz w:val="21"/>
                      <w:szCs w:val="21"/>
                    </w:rPr>
                    <w:t>2.44</w:t>
                  </w:r>
                </w:p>
              </w:tc>
              <w:tc>
                <w:tcPr>
                  <w:tcW w:w="1909" w:type="dxa"/>
                  <w:vAlign w:val="center"/>
                </w:tcPr>
                <w:p w14:paraId="64AFE3D0">
                  <w:pPr>
                    <w:spacing w:line="240" w:lineRule="auto"/>
                    <w:ind w:firstLine="0" w:firstLineChars="0"/>
                    <w:jc w:val="center"/>
                    <w:rPr>
                      <w:sz w:val="21"/>
                      <w:szCs w:val="21"/>
                    </w:rPr>
                  </w:pPr>
                  <w:r>
                    <w:rPr>
                      <w:rFonts w:hint="eastAsia"/>
                      <w:sz w:val="21"/>
                      <w:szCs w:val="21"/>
                    </w:rPr>
                    <w:t>2.50</w:t>
                  </w:r>
                </w:p>
              </w:tc>
              <w:tc>
                <w:tcPr>
                  <w:tcW w:w="1459" w:type="dxa"/>
                  <w:vAlign w:val="center"/>
                </w:tcPr>
                <w:p w14:paraId="77A1B661">
                  <w:pPr>
                    <w:spacing w:line="240" w:lineRule="auto"/>
                    <w:ind w:firstLine="0" w:firstLineChars="0"/>
                    <w:jc w:val="center"/>
                    <w:rPr>
                      <w:sz w:val="21"/>
                      <w:szCs w:val="21"/>
                    </w:rPr>
                  </w:pPr>
                  <w:r>
                    <w:rPr>
                      <w:rFonts w:hint="eastAsia"/>
                      <w:sz w:val="21"/>
                      <w:szCs w:val="21"/>
                    </w:rPr>
                    <w:t>/</w:t>
                  </w:r>
                </w:p>
              </w:tc>
              <w:tc>
                <w:tcPr>
                  <w:tcW w:w="1187" w:type="dxa"/>
                  <w:vAlign w:val="center"/>
                </w:tcPr>
                <w:p w14:paraId="0AFD51EA">
                  <w:pPr>
                    <w:spacing w:line="240" w:lineRule="auto"/>
                    <w:ind w:firstLine="0" w:firstLineChars="0"/>
                    <w:jc w:val="center"/>
                    <w:rPr>
                      <w:sz w:val="21"/>
                      <w:szCs w:val="21"/>
                      <w:lang w:val="zh-CN"/>
                    </w:rPr>
                  </w:pPr>
                  <w:r>
                    <w:rPr>
                      <w:rFonts w:hint="eastAsia"/>
                      <w:sz w:val="21"/>
                      <w:szCs w:val="21"/>
                    </w:rPr>
                    <w:t>/</w:t>
                  </w:r>
                </w:p>
              </w:tc>
            </w:tr>
            <w:tr w14:paraId="3A304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650" w:type="dxa"/>
                  <w:vAlign w:val="center"/>
                </w:tcPr>
                <w:p w14:paraId="026BDF51">
                  <w:pPr>
                    <w:spacing w:line="240" w:lineRule="auto"/>
                    <w:ind w:firstLine="0" w:firstLineChars="0"/>
                    <w:jc w:val="center"/>
                    <w:rPr>
                      <w:sz w:val="21"/>
                      <w:szCs w:val="21"/>
                      <w:vertAlign w:val="superscript"/>
                    </w:rPr>
                  </w:pPr>
                  <w:r>
                    <w:rPr>
                      <w:rFonts w:hint="eastAsia"/>
                      <w:sz w:val="21"/>
                      <w:szCs w:val="21"/>
                    </w:rPr>
                    <w:t>Ca</w:t>
                  </w:r>
                  <w:r>
                    <w:rPr>
                      <w:rFonts w:hint="eastAsia"/>
                      <w:sz w:val="21"/>
                      <w:szCs w:val="21"/>
                      <w:vertAlign w:val="superscript"/>
                    </w:rPr>
                    <w:t>2+</w:t>
                  </w:r>
                </w:p>
              </w:tc>
              <w:tc>
                <w:tcPr>
                  <w:tcW w:w="2059" w:type="dxa"/>
                  <w:vAlign w:val="center"/>
                </w:tcPr>
                <w:p w14:paraId="17C06D4D">
                  <w:pPr>
                    <w:spacing w:line="240" w:lineRule="auto"/>
                    <w:ind w:firstLine="0" w:firstLineChars="0"/>
                    <w:jc w:val="center"/>
                    <w:rPr>
                      <w:sz w:val="21"/>
                      <w:szCs w:val="21"/>
                    </w:rPr>
                  </w:pPr>
                  <w:r>
                    <w:rPr>
                      <w:rFonts w:hint="eastAsia"/>
                      <w:sz w:val="21"/>
                      <w:szCs w:val="21"/>
                    </w:rPr>
                    <w:t>59.0</w:t>
                  </w:r>
                </w:p>
              </w:tc>
              <w:tc>
                <w:tcPr>
                  <w:tcW w:w="1909" w:type="dxa"/>
                  <w:vAlign w:val="center"/>
                </w:tcPr>
                <w:p w14:paraId="66021A08">
                  <w:pPr>
                    <w:spacing w:line="240" w:lineRule="auto"/>
                    <w:ind w:firstLine="0" w:firstLineChars="0"/>
                    <w:jc w:val="center"/>
                    <w:rPr>
                      <w:sz w:val="21"/>
                      <w:szCs w:val="21"/>
                    </w:rPr>
                  </w:pPr>
                  <w:r>
                    <w:rPr>
                      <w:rFonts w:hint="eastAsia"/>
                      <w:sz w:val="21"/>
                      <w:szCs w:val="21"/>
                    </w:rPr>
                    <w:t>56.7</w:t>
                  </w:r>
                </w:p>
              </w:tc>
              <w:tc>
                <w:tcPr>
                  <w:tcW w:w="1459" w:type="dxa"/>
                  <w:vAlign w:val="center"/>
                </w:tcPr>
                <w:p w14:paraId="6D6CAD9E">
                  <w:pPr>
                    <w:spacing w:line="240" w:lineRule="auto"/>
                    <w:ind w:firstLine="0" w:firstLineChars="0"/>
                    <w:jc w:val="center"/>
                    <w:rPr>
                      <w:sz w:val="21"/>
                      <w:szCs w:val="21"/>
                    </w:rPr>
                  </w:pPr>
                  <w:r>
                    <w:rPr>
                      <w:rFonts w:hint="eastAsia"/>
                      <w:sz w:val="21"/>
                      <w:szCs w:val="21"/>
                    </w:rPr>
                    <w:t>/</w:t>
                  </w:r>
                </w:p>
              </w:tc>
              <w:tc>
                <w:tcPr>
                  <w:tcW w:w="1187" w:type="dxa"/>
                  <w:vAlign w:val="center"/>
                </w:tcPr>
                <w:p w14:paraId="4D5ECBAB">
                  <w:pPr>
                    <w:spacing w:line="240" w:lineRule="auto"/>
                    <w:ind w:firstLine="0" w:firstLineChars="0"/>
                    <w:jc w:val="center"/>
                    <w:rPr>
                      <w:sz w:val="21"/>
                      <w:szCs w:val="21"/>
                      <w:lang w:val="zh-CN"/>
                    </w:rPr>
                  </w:pPr>
                  <w:r>
                    <w:rPr>
                      <w:rFonts w:hint="eastAsia"/>
                      <w:sz w:val="21"/>
                      <w:szCs w:val="21"/>
                    </w:rPr>
                    <w:t>/</w:t>
                  </w:r>
                </w:p>
              </w:tc>
            </w:tr>
            <w:tr w14:paraId="61CAD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650" w:type="dxa"/>
                  <w:vAlign w:val="center"/>
                </w:tcPr>
                <w:p w14:paraId="0B56D65A">
                  <w:pPr>
                    <w:spacing w:line="240" w:lineRule="auto"/>
                    <w:ind w:firstLine="0" w:firstLineChars="0"/>
                    <w:jc w:val="center"/>
                    <w:rPr>
                      <w:sz w:val="21"/>
                      <w:szCs w:val="21"/>
                      <w:vertAlign w:val="superscript"/>
                    </w:rPr>
                  </w:pPr>
                  <w:r>
                    <w:rPr>
                      <w:rFonts w:hint="eastAsia"/>
                      <w:sz w:val="21"/>
                      <w:szCs w:val="21"/>
                    </w:rPr>
                    <w:t>Mg</w:t>
                  </w:r>
                  <w:r>
                    <w:rPr>
                      <w:rFonts w:hint="eastAsia"/>
                      <w:sz w:val="21"/>
                      <w:szCs w:val="21"/>
                      <w:vertAlign w:val="superscript"/>
                    </w:rPr>
                    <w:t>2+</w:t>
                  </w:r>
                </w:p>
              </w:tc>
              <w:tc>
                <w:tcPr>
                  <w:tcW w:w="2059" w:type="dxa"/>
                  <w:vAlign w:val="center"/>
                </w:tcPr>
                <w:p w14:paraId="7BE44C59">
                  <w:pPr>
                    <w:spacing w:line="240" w:lineRule="auto"/>
                    <w:ind w:firstLine="0" w:firstLineChars="0"/>
                    <w:jc w:val="center"/>
                    <w:rPr>
                      <w:sz w:val="21"/>
                      <w:szCs w:val="21"/>
                    </w:rPr>
                  </w:pPr>
                  <w:r>
                    <w:rPr>
                      <w:rFonts w:hint="eastAsia"/>
                      <w:sz w:val="21"/>
                      <w:szCs w:val="21"/>
                    </w:rPr>
                    <w:t>37.7</w:t>
                  </w:r>
                </w:p>
              </w:tc>
              <w:tc>
                <w:tcPr>
                  <w:tcW w:w="1909" w:type="dxa"/>
                  <w:vAlign w:val="center"/>
                </w:tcPr>
                <w:p w14:paraId="409F6CB8">
                  <w:pPr>
                    <w:spacing w:line="240" w:lineRule="auto"/>
                    <w:ind w:firstLine="0" w:firstLineChars="0"/>
                    <w:jc w:val="center"/>
                    <w:rPr>
                      <w:sz w:val="21"/>
                      <w:szCs w:val="21"/>
                    </w:rPr>
                  </w:pPr>
                  <w:r>
                    <w:rPr>
                      <w:rFonts w:hint="eastAsia"/>
                      <w:sz w:val="21"/>
                      <w:szCs w:val="21"/>
                    </w:rPr>
                    <w:t>36.8</w:t>
                  </w:r>
                </w:p>
              </w:tc>
              <w:tc>
                <w:tcPr>
                  <w:tcW w:w="1459" w:type="dxa"/>
                  <w:vAlign w:val="center"/>
                </w:tcPr>
                <w:p w14:paraId="6B707A13">
                  <w:pPr>
                    <w:spacing w:line="240" w:lineRule="auto"/>
                    <w:ind w:firstLine="0" w:firstLineChars="0"/>
                    <w:jc w:val="center"/>
                    <w:rPr>
                      <w:sz w:val="21"/>
                      <w:szCs w:val="21"/>
                    </w:rPr>
                  </w:pPr>
                  <w:r>
                    <w:rPr>
                      <w:rFonts w:hint="eastAsia"/>
                      <w:sz w:val="21"/>
                      <w:szCs w:val="21"/>
                    </w:rPr>
                    <w:t>/</w:t>
                  </w:r>
                </w:p>
              </w:tc>
              <w:tc>
                <w:tcPr>
                  <w:tcW w:w="1187" w:type="dxa"/>
                  <w:vAlign w:val="center"/>
                </w:tcPr>
                <w:p w14:paraId="741A7A8A">
                  <w:pPr>
                    <w:spacing w:line="240" w:lineRule="auto"/>
                    <w:ind w:firstLine="0" w:firstLineChars="0"/>
                    <w:jc w:val="center"/>
                    <w:rPr>
                      <w:sz w:val="21"/>
                      <w:szCs w:val="21"/>
                      <w:lang w:val="zh-CN"/>
                    </w:rPr>
                  </w:pPr>
                  <w:r>
                    <w:rPr>
                      <w:rFonts w:hint="eastAsia"/>
                      <w:sz w:val="21"/>
                      <w:szCs w:val="21"/>
                    </w:rPr>
                    <w:t>/</w:t>
                  </w:r>
                </w:p>
              </w:tc>
            </w:tr>
            <w:tr w14:paraId="50E85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650" w:type="dxa"/>
                  <w:vAlign w:val="center"/>
                </w:tcPr>
                <w:p w14:paraId="3D136689">
                  <w:pPr>
                    <w:spacing w:line="240" w:lineRule="auto"/>
                    <w:ind w:firstLine="0" w:firstLineChars="0"/>
                    <w:jc w:val="center"/>
                    <w:rPr>
                      <w:sz w:val="21"/>
                      <w:szCs w:val="21"/>
                      <w:vertAlign w:val="superscript"/>
                    </w:rPr>
                  </w:pPr>
                  <w:r>
                    <w:rPr>
                      <w:rFonts w:hint="eastAsia"/>
                      <w:sz w:val="21"/>
                      <w:szCs w:val="21"/>
                    </w:rPr>
                    <w:t>CO</w:t>
                  </w:r>
                  <w:r>
                    <w:rPr>
                      <w:rFonts w:hint="eastAsia"/>
                      <w:sz w:val="21"/>
                      <w:szCs w:val="21"/>
                      <w:vertAlign w:val="subscript"/>
                    </w:rPr>
                    <w:t>3</w:t>
                  </w:r>
                  <w:r>
                    <w:rPr>
                      <w:rFonts w:hint="eastAsia"/>
                      <w:sz w:val="21"/>
                      <w:szCs w:val="21"/>
                      <w:vertAlign w:val="superscript"/>
                    </w:rPr>
                    <w:t>2-</w:t>
                  </w:r>
                </w:p>
              </w:tc>
              <w:tc>
                <w:tcPr>
                  <w:tcW w:w="2059" w:type="dxa"/>
                  <w:vAlign w:val="center"/>
                </w:tcPr>
                <w:p w14:paraId="1280B566">
                  <w:pPr>
                    <w:spacing w:line="240" w:lineRule="auto"/>
                    <w:ind w:firstLine="0" w:firstLineChars="0"/>
                    <w:jc w:val="center"/>
                    <w:rPr>
                      <w:sz w:val="21"/>
                      <w:szCs w:val="21"/>
                      <w:lang w:val="zh-CN"/>
                    </w:rPr>
                  </w:pPr>
                  <w:r>
                    <w:rPr>
                      <w:rFonts w:hint="eastAsia"/>
                      <w:sz w:val="21"/>
                      <w:szCs w:val="21"/>
                    </w:rPr>
                    <w:t>5L</w:t>
                  </w:r>
                </w:p>
              </w:tc>
              <w:tc>
                <w:tcPr>
                  <w:tcW w:w="1909" w:type="dxa"/>
                  <w:vAlign w:val="center"/>
                </w:tcPr>
                <w:p w14:paraId="3ED4A457">
                  <w:pPr>
                    <w:spacing w:line="240" w:lineRule="auto"/>
                    <w:ind w:firstLine="0" w:firstLineChars="0"/>
                    <w:jc w:val="center"/>
                    <w:rPr>
                      <w:sz w:val="21"/>
                      <w:szCs w:val="21"/>
                      <w:lang w:val="zh-CN"/>
                    </w:rPr>
                  </w:pPr>
                  <w:r>
                    <w:rPr>
                      <w:rFonts w:hint="eastAsia"/>
                      <w:sz w:val="21"/>
                      <w:szCs w:val="21"/>
                    </w:rPr>
                    <w:t>5L</w:t>
                  </w:r>
                </w:p>
              </w:tc>
              <w:tc>
                <w:tcPr>
                  <w:tcW w:w="1459" w:type="dxa"/>
                  <w:vAlign w:val="center"/>
                </w:tcPr>
                <w:p w14:paraId="16BC6553">
                  <w:pPr>
                    <w:spacing w:line="240" w:lineRule="auto"/>
                    <w:ind w:firstLine="0" w:firstLineChars="0"/>
                    <w:jc w:val="center"/>
                    <w:rPr>
                      <w:sz w:val="21"/>
                      <w:szCs w:val="21"/>
                    </w:rPr>
                  </w:pPr>
                  <w:r>
                    <w:rPr>
                      <w:rFonts w:hint="eastAsia"/>
                      <w:sz w:val="21"/>
                      <w:szCs w:val="21"/>
                    </w:rPr>
                    <w:t>/</w:t>
                  </w:r>
                </w:p>
              </w:tc>
              <w:tc>
                <w:tcPr>
                  <w:tcW w:w="1187" w:type="dxa"/>
                  <w:vAlign w:val="center"/>
                </w:tcPr>
                <w:p w14:paraId="28AC9AD8">
                  <w:pPr>
                    <w:spacing w:line="240" w:lineRule="auto"/>
                    <w:ind w:firstLine="0" w:firstLineChars="0"/>
                    <w:jc w:val="center"/>
                    <w:rPr>
                      <w:sz w:val="21"/>
                      <w:szCs w:val="21"/>
                    </w:rPr>
                  </w:pPr>
                  <w:r>
                    <w:rPr>
                      <w:rFonts w:hint="eastAsia"/>
                      <w:sz w:val="21"/>
                      <w:szCs w:val="21"/>
                    </w:rPr>
                    <w:t>/</w:t>
                  </w:r>
                </w:p>
              </w:tc>
            </w:tr>
            <w:tr w14:paraId="6A08F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650" w:type="dxa"/>
                  <w:vAlign w:val="center"/>
                </w:tcPr>
                <w:p w14:paraId="7D783C45">
                  <w:pPr>
                    <w:spacing w:line="240" w:lineRule="auto"/>
                    <w:ind w:firstLine="0" w:firstLineChars="0"/>
                    <w:jc w:val="center"/>
                    <w:rPr>
                      <w:sz w:val="21"/>
                      <w:szCs w:val="21"/>
                      <w:vertAlign w:val="superscript"/>
                    </w:rPr>
                  </w:pPr>
                  <w:r>
                    <w:rPr>
                      <w:rFonts w:hint="eastAsia"/>
                      <w:sz w:val="21"/>
                      <w:szCs w:val="21"/>
                    </w:rPr>
                    <w:t>HCO</w:t>
                  </w:r>
                  <w:r>
                    <w:rPr>
                      <w:rFonts w:hint="eastAsia"/>
                      <w:sz w:val="21"/>
                      <w:szCs w:val="21"/>
                      <w:vertAlign w:val="superscript"/>
                    </w:rPr>
                    <w:t>-</w:t>
                  </w:r>
                  <w:r>
                    <w:rPr>
                      <w:rFonts w:hint="eastAsia"/>
                      <w:sz w:val="21"/>
                      <w:szCs w:val="21"/>
                      <w:vertAlign w:val="subscript"/>
                    </w:rPr>
                    <w:t>3</w:t>
                  </w:r>
                </w:p>
              </w:tc>
              <w:tc>
                <w:tcPr>
                  <w:tcW w:w="2059" w:type="dxa"/>
                  <w:vAlign w:val="center"/>
                </w:tcPr>
                <w:p w14:paraId="68E69696">
                  <w:pPr>
                    <w:spacing w:line="240" w:lineRule="auto"/>
                    <w:ind w:firstLine="0" w:firstLineChars="0"/>
                    <w:jc w:val="center"/>
                    <w:rPr>
                      <w:sz w:val="21"/>
                      <w:szCs w:val="21"/>
                    </w:rPr>
                  </w:pPr>
                  <w:r>
                    <w:rPr>
                      <w:rFonts w:hint="eastAsia"/>
                      <w:sz w:val="21"/>
                      <w:szCs w:val="21"/>
                    </w:rPr>
                    <w:t>355</w:t>
                  </w:r>
                </w:p>
              </w:tc>
              <w:tc>
                <w:tcPr>
                  <w:tcW w:w="1909" w:type="dxa"/>
                  <w:vAlign w:val="center"/>
                </w:tcPr>
                <w:p w14:paraId="04D45BEE">
                  <w:pPr>
                    <w:spacing w:line="240" w:lineRule="auto"/>
                    <w:ind w:firstLine="0" w:firstLineChars="0"/>
                    <w:jc w:val="center"/>
                    <w:rPr>
                      <w:sz w:val="21"/>
                      <w:szCs w:val="21"/>
                    </w:rPr>
                  </w:pPr>
                  <w:r>
                    <w:rPr>
                      <w:rFonts w:hint="eastAsia"/>
                      <w:sz w:val="21"/>
                      <w:szCs w:val="21"/>
                    </w:rPr>
                    <w:t>365</w:t>
                  </w:r>
                </w:p>
              </w:tc>
              <w:tc>
                <w:tcPr>
                  <w:tcW w:w="1459" w:type="dxa"/>
                  <w:vAlign w:val="center"/>
                </w:tcPr>
                <w:p w14:paraId="1A0B3A35">
                  <w:pPr>
                    <w:spacing w:line="240" w:lineRule="auto"/>
                    <w:ind w:firstLine="0" w:firstLineChars="0"/>
                    <w:jc w:val="center"/>
                    <w:rPr>
                      <w:sz w:val="21"/>
                      <w:szCs w:val="21"/>
                    </w:rPr>
                  </w:pPr>
                  <w:r>
                    <w:rPr>
                      <w:rFonts w:hint="eastAsia"/>
                      <w:sz w:val="21"/>
                      <w:szCs w:val="21"/>
                    </w:rPr>
                    <w:t>/</w:t>
                  </w:r>
                </w:p>
              </w:tc>
              <w:tc>
                <w:tcPr>
                  <w:tcW w:w="1187" w:type="dxa"/>
                  <w:vAlign w:val="center"/>
                </w:tcPr>
                <w:p w14:paraId="0FC6DD8D">
                  <w:pPr>
                    <w:spacing w:line="240" w:lineRule="auto"/>
                    <w:ind w:firstLine="0" w:firstLineChars="0"/>
                    <w:jc w:val="center"/>
                    <w:rPr>
                      <w:sz w:val="21"/>
                      <w:szCs w:val="21"/>
                    </w:rPr>
                  </w:pPr>
                  <w:r>
                    <w:rPr>
                      <w:rFonts w:hint="eastAsia"/>
                      <w:sz w:val="21"/>
                      <w:szCs w:val="21"/>
                    </w:rPr>
                    <w:t>/</w:t>
                  </w:r>
                </w:p>
              </w:tc>
            </w:tr>
            <w:tr w14:paraId="0A948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650" w:type="dxa"/>
                  <w:vAlign w:val="center"/>
                </w:tcPr>
                <w:p w14:paraId="0913D796">
                  <w:pPr>
                    <w:spacing w:line="240" w:lineRule="auto"/>
                    <w:ind w:firstLine="0" w:firstLineChars="0"/>
                    <w:jc w:val="center"/>
                    <w:rPr>
                      <w:sz w:val="21"/>
                      <w:szCs w:val="21"/>
                      <w:vertAlign w:val="superscript"/>
                    </w:rPr>
                  </w:pPr>
                  <w:r>
                    <w:rPr>
                      <w:rFonts w:hint="eastAsia"/>
                      <w:sz w:val="21"/>
                      <w:szCs w:val="21"/>
                    </w:rPr>
                    <w:t>Cl</w:t>
                  </w:r>
                  <w:r>
                    <w:rPr>
                      <w:rFonts w:hint="eastAsia"/>
                      <w:sz w:val="21"/>
                      <w:szCs w:val="21"/>
                      <w:vertAlign w:val="superscript"/>
                    </w:rPr>
                    <w:t>-</w:t>
                  </w:r>
                </w:p>
              </w:tc>
              <w:tc>
                <w:tcPr>
                  <w:tcW w:w="2059" w:type="dxa"/>
                  <w:vAlign w:val="center"/>
                </w:tcPr>
                <w:p w14:paraId="31C8311B">
                  <w:pPr>
                    <w:spacing w:line="240" w:lineRule="auto"/>
                    <w:ind w:firstLine="0" w:firstLineChars="0"/>
                    <w:jc w:val="center"/>
                    <w:rPr>
                      <w:sz w:val="21"/>
                      <w:szCs w:val="21"/>
                    </w:rPr>
                  </w:pPr>
                  <w:r>
                    <w:rPr>
                      <w:rFonts w:hint="eastAsia"/>
                      <w:sz w:val="21"/>
                      <w:szCs w:val="21"/>
                    </w:rPr>
                    <w:t>0.614</w:t>
                  </w:r>
                </w:p>
              </w:tc>
              <w:tc>
                <w:tcPr>
                  <w:tcW w:w="1909" w:type="dxa"/>
                  <w:vAlign w:val="center"/>
                </w:tcPr>
                <w:p w14:paraId="77966661">
                  <w:pPr>
                    <w:spacing w:line="240" w:lineRule="auto"/>
                    <w:ind w:firstLine="0" w:firstLineChars="0"/>
                    <w:jc w:val="center"/>
                    <w:rPr>
                      <w:sz w:val="21"/>
                      <w:szCs w:val="21"/>
                    </w:rPr>
                  </w:pPr>
                  <w:r>
                    <w:rPr>
                      <w:rFonts w:hint="eastAsia"/>
                      <w:sz w:val="21"/>
                      <w:szCs w:val="21"/>
                    </w:rPr>
                    <w:t>0.661</w:t>
                  </w:r>
                </w:p>
              </w:tc>
              <w:tc>
                <w:tcPr>
                  <w:tcW w:w="1459" w:type="dxa"/>
                  <w:vAlign w:val="center"/>
                </w:tcPr>
                <w:p w14:paraId="2B952C13">
                  <w:pPr>
                    <w:spacing w:line="240" w:lineRule="auto"/>
                    <w:ind w:firstLine="0" w:firstLineChars="0"/>
                    <w:jc w:val="center"/>
                    <w:rPr>
                      <w:sz w:val="21"/>
                      <w:szCs w:val="21"/>
                    </w:rPr>
                  </w:pPr>
                  <w:r>
                    <w:rPr>
                      <w:rFonts w:hint="eastAsia"/>
                      <w:sz w:val="21"/>
                      <w:szCs w:val="21"/>
                    </w:rPr>
                    <w:t>/</w:t>
                  </w:r>
                </w:p>
              </w:tc>
              <w:tc>
                <w:tcPr>
                  <w:tcW w:w="1187" w:type="dxa"/>
                  <w:vAlign w:val="center"/>
                </w:tcPr>
                <w:p w14:paraId="58ADD004">
                  <w:pPr>
                    <w:spacing w:line="240" w:lineRule="auto"/>
                    <w:ind w:firstLine="0" w:firstLineChars="0"/>
                    <w:jc w:val="center"/>
                    <w:rPr>
                      <w:sz w:val="21"/>
                      <w:szCs w:val="21"/>
                    </w:rPr>
                  </w:pPr>
                  <w:r>
                    <w:rPr>
                      <w:rFonts w:hint="eastAsia"/>
                      <w:sz w:val="21"/>
                      <w:szCs w:val="21"/>
                    </w:rPr>
                    <w:t>/</w:t>
                  </w:r>
                </w:p>
              </w:tc>
            </w:tr>
            <w:tr w14:paraId="7B6D1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650" w:type="dxa"/>
                  <w:vAlign w:val="center"/>
                </w:tcPr>
                <w:p w14:paraId="2AF1E4A3">
                  <w:pPr>
                    <w:spacing w:line="240" w:lineRule="auto"/>
                    <w:ind w:firstLine="0" w:firstLineChars="0"/>
                    <w:jc w:val="center"/>
                    <w:rPr>
                      <w:sz w:val="21"/>
                      <w:szCs w:val="21"/>
                      <w:vertAlign w:val="superscript"/>
                    </w:rPr>
                  </w:pPr>
                  <w:r>
                    <w:rPr>
                      <w:rFonts w:hint="eastAsia"/>
                      <w:sz w:val="21"/>
                      <w:szCs w:val="21"/>
                    </w:rPr>
                    <w:t>SO</w:t>
                  </w:r>
                  <w:r>
                    <w:rPr>
                      <w:rFonts w:hint="eastAsia"/>
                      <w:sz w:val="21"/>
                      <w:szCs w:val="21"/>
                      <w:vertAlign w:val="subscript"/>
                    </w:rPr>
                    <w:t>4</w:t>
                  </w:r>
                  <w:r>
                    <w:rPr>
                      <w:rFonts w:hint="eastAsia"/>
                      <w:sz w:val="21"/>
                      <w:szCs w:val="21"/>
                      <w:vertAlign w:val="superscript"/>
                    </w:rPr>
                    <w:t>2-</w:t>
                  </w:r>
                </w:p>
              </w:tc>
              <w:tc>
                <w:tcPr>
                  <w:tcW w:w="2059" w:type="dxa"/>
                  <w:vAlign w:val="center"/>
                </w:tcPr>
                <w:p w14:paraId="260A05B5">
                  <w:pPr>
                    <w:spacing w:line="240" w:lineRule="auto"/>
                    <w:ind w:firstLine="0" w:firstLineChars="0"/>
                    <w:jc w:val="center"/>
                    <w:rPr>
                      <w:sz w:val="21"/>
                      <w:szCs w:val="21"/>
                    </w:rPr>
                  </w:pPr>
                  <w:r>
                    <w:rPr>
                      <w:rFonts w:hint="eastAsia"/>
                      <w:sz w:val="21"/>
                      <w:szCs w:val="21"/>
                    </w:rPr>
                    <w:t>1.71</w:t>
                  </w:r>
                </w:p>
              </w:tc>
              <w:tc>
                <w:tcPr>
                  <w:tcW w:w="1909" w:type="dxa"/>
                  <w:vAlign w:val="center"/>
                </w:tcPr>
                <w:p w14:paraId="3BB1B0CB">
                  <w:pPr>
                    <w:spacing w:line="240" w:lineRule="auto"/>
                    <w:ind w:firstLine="0" w:firstLineChars="0"/>
                    <w:jc w:val="center"/>
                    <w:rPr>
                      <w:sz w:val="21"/>
                      <w:szCs w:val="21"/>
                    </w:rPr>
                  </w:pPr>
                  <w:r>
                    <w:rPr>
                      <w:rFonts w:hint="eastAsia"/>
                      <w:sz w:val="21"/>
                      <w:szCs w:val="21"/>
                    </w:rPr>
                    <w:t>1.81</w:t>
                  </w:r>
                </w:p>
              </w:tc>
              <w:tc>
                <w:tcPr>
                  <w:tcW w:w="1459" w:type="dxa"/>
                  <w:vAlign w:val="center"/>
                </w:tcPr>
                <w:p w14:paraId="7D3E6070">
                  <w:pPr>
                    <w:spacing w:line="240" w:lineRule="auto"/>
                    <w:ind w:firstLine="0" w:firstLineChars="0"/>
                    <w:jc w:val="center"/>
                    <w:rPr>
                      <w:sz w:val="21"/>
                      <w:szCs w:val="21"/>
                    </w:rPr>
                  </w:pPr>
                  <w:r>
                    <w:rPr>
                      <w:rFonts w:hint="eastAsia"/>
                      <w:sz w:val="21"/>
                      <w:szCs w:val="21"/>
                    </w:rPr>
                    <w:t>/</w:t>
                  </w:r>
                </w:p>
              </w:tc>
              <w:tc>
                <w:tcPr>
                  <w:tcW w:w="1187" w:type="dxa"/>
                  <w:vAlign w:val="center"/>
                </w:tcPr>
                <w:p w14:paraId="36A2E670">
                  <w:pPr>
                    <w:spacing w:line="240" w:lineRule="auto"/>
                    <w:ind w:firstLine="0" w:firstLineChars="0"/>
                    <w:jc w:val="center"/>
                    <w:rPr>
                      <w:sz w:val="21"/>
                      <w:szCs w:val="21"/>
                    </w:rPr>
                  </w:pPr>
                  <w:r>
                    <w:rPr>
                      <w:rFonts w:hint="eastAsia"/>
                      <w:sz w:val="21"/>
                      <w:szCs w:val="21"/>
                    </w:rPr>
                    <w:t>/</w:t>
                  </w:r>
                </w:p>
              </w:tc>
            </w:tr>
            <w:tr w14:paraId="13BA6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650" w:type="dxa"/>
                  <w:vAlign w:val="center"/>
                </w:tcPr>
                <w:p w14:paraId="27C1D8C4">
                  <w:pPr>
                    <w:spacing w:line="240" w:lineRule="auto"/>
                    <w:ind w:firstLine="0" w:firstLineChars="0"/>
                    <w:jc w:val="center"/>
                    <w:rPr>
                      <w:sz w:val="21"/>
                      <w:szCs w:val="21"/>
                    </w:rPr>
                  </w:pPr>
                  <w:r>
                    <w:rPr>
                      <w:rFonts w:hint="eastAsia"/>
                      <w:sz w:val="21"/>
                      <w:szCs w:val="21"/>
                    </w:rPr>
                    <w:t>六价铬</w:t>
                  </w:r>
                </w:p>
              </w:tc>
              <w:tc>
                <w:tcPr>
                  <w:tcW w:w="2059" w:type="dxa"/>
                  <w:vAlign w:val="center"/>
                </w:tcPr>
                <w:p w14:paraId="258A9C05">
                  <w:pPr>
                    <w:spacing w:line="240" w:lineRule="auto"/>
                    <w:ind w:firstLine="0" w:firstLineChars="0"/>
                    <w:jc w:val="center"/>
                    <w:rPr>
                      <w:sz w:val="21"/>
                      <w:szCs w:val="21"/>
                      <w:lang w:val="zh-CN"/>
                    </w:rPr>
                  </w:pPr>
                  <w:r>
                    <w:rPr>
                      <w:rFonts w:hint="eastAsia"/>
                      <w:sz w:val="21"/>
                      <w:szCs w:val="21"/>
                    </w:rPr>
                    <w:t>0.004L</w:t>
                  </w:r>
                </w:p>
              </w:tc>
              <w:tc>
                <w:tcPr>
                  <w:tcW w:w="1909" w:type="dxa"/>
                  <w:vAlign w:val="center"/>
                </w:tcPr>
                <w:p w14:paraId="4B1E3ADB">
                  <w:pPr>
                    <w:spacing w:line="240" w:lineRule="auto"/>
                    <w:ind w:firstLine="0" w:firstLineChars="0"/>
                    <w:jc w:val="center"/>
                    <w:rPr>
                      <w:sz w:val="21"/>
                      <w:szCs w:val="21"/>
                      <w:lang w:val="zh-CN"/>
                    </w:rPr>
                  </w:pPr>
                  <w:r>
                    <w:rPr>
                      <w:rFonts w:hint="eastAsia"/>
                      <w:sz w:val="21"/>
                      <w:szCs w:val="21"/>
                    </w:rPr>
                    <w:t>0.004L</w:t>
                  </w:r>
                </w:p>
              </w:tc>
              <w:tc>
                <w:tcPr>
                  <w:tcW w:w="1459" w:type="dxa"/>
                  <w:vAlign w:val="center"/>
                </w:tcPr>
                <w:p w14:paraId="54124C63">
                  <w:pPr>
                    <w:spacing w:line="240" w:lineRule="auto"/>
                    <w:ind w:firstLine="0" w:firstLineChars="0"/>
                    <w:jc w:val="center"/>
                    <w:rPr>
                      <w:sz w:val="21"/>
                      <w:szCs w:val="21"/>
                    </w:rPr>
                  </w:pPr>
                  <w:r>
                    <w:rPr>
                      <w:rFonts w:hint="eastAsia"/>
                      <w:sz w:val="21"/>
                      <w:szCs w:val="21"/>
                    </w:rPr>
                    <w:t>0.05</w:t>
                  </w:r>
                </w:p>
              </w:tc>
              <w:tc>
                <w:tcPr>
                  <w:tcW w:w="1187" w:type="dxa"/>
                  <w:vAlign w:val="center"/>
                </w:tcPr>
                <w:p w14:paraId="5C507D6E">
                  <w:pPr>
                    <w:spacing w:line="240" w:lineRule="auto"/>
                    <w:ind w:firstLine="0" w:firstLineChars="0"/>
                    <w:jc w:val="center"/>
                    <w:rPr>
                      <w:sz w:val="21"/>
                      <w:szCs w:val="21"/>
                      <w:lang w:val="zh-CN"/>
                    </w:rPr>
                  </w:pPr>
                  <w:r>
                    <w:rPr>
                      <w:rFonts w:hint="eastAsia"/>
                      <w:sz w:val="21"/>
                      <w:szCs w:val="21"/>
                    </w:rPr>
                    <w:t>达标</w:t>
                  </w:r>
                </w:p>
              </w:tc>
            </w:tr>
            <w:tr w14:paraId="54AA4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650" w:type="dxa"/>
                  <w:vAlign w:val="center"/>
                </w:tcPr>
                <w:p w14:paraId="02B18AD8">
                  <w:pPr>
                    <w:spacing w:line="240" w:lineRule="auto"/>
                    <w:ind w:firstLine="0" w:firstLineChars="0"/>
                    <w:jc w:val="center"/>
                    <w:rPr>
                      <w:sz w:val="21"/>
                      <w:szCs w:val="21"/>
                    </w:rPr>
                  </w:pPr>
                  <w:r>
                    <w:rPr>
                      <w:rFonts w:hint="eastAsia"/>
                      <w:sz w:val="21"/>
                      <w:szCs w:val="21"/>
                    </w:rPr>
                    <w:t>铁</w:t>
                  </w:r>
                </w:p>
              </w:tc>
              <w:tc>
                <w:tcPr>
                  <w:tcW w:w="2059" w:type="dxa"/>
                  <w:vAlign w:val="center"/>
                </w:tcPr>
                <w:p w14:paraId="49926EB2">
                  <w:pPr>
                    <w:spacing w:line="240" w:lineRule="auto"/>
                    <w:ind w:firstLine="0" w:firstLineChars="0"/>
                    <w:jc w:val="center"/>
                    <w:rPr>
                      <w:sz w:val="21"/>
                      <w:szCs w:val="21"/>
                      <w:lang w:val="zh-CN"/>
                    </w:rPr>
                  </w:pPr>
                  <w:r>
                    <w:rPr>
                      <w:rFonts w:hint="eastAsia"/>
                      <w:sz w:val="21"/>
                      <w:szCs w:val="21"/>
                    </w:rPr>
                    <w:t>0.03L</w:t>
                  </w:r>
                </w:p>
              </w:tc>
              <w:tc>
                <w:tcPr>
                  <w:tcW w:w="1909" w:type="dxa"/>
                  <w:vAlign w:val="center"/>
                </w:tcPr>
                <w:p w14:paraId="0F7989D9">
                  <w:pPr>
                    <w:spacing w:line="240" w:lineRule="auto"/>
                    <w:ind w:firstLine="0" w:firstLineChars="0"/>
                    <w:jc w:val="center"/>
                    <w:rPr>
                      <w:sz w:val="21"/>
                      <w:szCs w:val="21"/>
                      <w:lang w:val="zh-CN"/>
                    </w:rPr>
                  </w:pPr>
                  <w:r>
                    <w:rPr>
                      <w:rFonts w:hint="eastAsia"/>
                      <w:sz w:val="21"/>
                      <w:szCs w:val="21"/>
                    </w:rPr>
                    <w:t>0.03L</w:t>
                  </w:r>
                </w:p>
              </w:tc>
              <w:tc>
                <w:tcPr>
                  <w:tcW w:w="1459" w:type="dxa"/>
                  <w:vAlign w:val="center"/>
                </w:tcPr>
                <w:p w14:paraId="5303A60F">
                  <w:pPr>
                    <w:spacing w:line="240" w:lineRule="auto"/>
                    <w:ind w:firstLine="0" w:firstLineChars="0"/>
                    <w:jc w:val="center"/>
                    <w:rPr>
                      <w:sz w:val="21"/>
                      <w:szCs w:val="21"/>
                    </w:rPr>
                  </w:pPr>
                  <w:r>
                    <w:rPr>
                      <w:rFonts w:hint="eastAsia"/>
                      <w:sz w:val="21"/>
                      <w:szCs w:val="21"/>
                    </w:rPr>
                    <w:t>0.3</w:t>
                  </w:r>
                </w:p>
              </w:tc>
              <w:tc>
                <w:tcPr>
                  <w:tcW w:w="1187" w:type="dxa"/>
                  <w:vAlign w:val="center"/>
                </w:tcPr>
                <w:p w14:paraId="5EB1384E">
                  <w:pPr>
                    <w:spacing w:line="240" w:lineRule="auto"/>
                    <w:ind w:firstLine="0" w:firstLineChars="0"/>
                    <w:jc w:val="center"/>
                    <w:rPr>
                      <w:sz w:val="21"/>
                      <w:szCs w:val="21"/>
                      <w:lang w:val="zh-CN"/>
                    </w:rPr>
                  </w:pPr>
                  <w:r>
                    <w:rPr>
                      <w:rFonts w:hint="eastAsia"/>
                      <w:sz w:val="21"/>
                      <w:szCs w:val="21"/>
                    </w:rPr>
                    <w:t>达标</w:t>
                  </w:r>
                </w:p>
              </w:tc>
            </w:tr>
            <w:tr w14:paraId="59C58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650" w:type="dxa"/>
                  <w:vAlign w:val="center"/>
                </w:tcPr>
                <w:p w14:paraId="7E241C5D">
                  <w:pPr>
                    <w:spacing w:line="240" w:lineRule="auto"/>
                    <w:ind w:firstLine="0" w:firstLineChars="0"/>
                    <w:jc w:val="center"/>
                    <w:rPr>
                      <w:sz w:val="21"/>
                      <w:szCs w:val="21"/>
                    </w:rPr>
                  </w:pPr>
                  <w:r>
                    <w:rPr>
                      <w:rFonts w:hint="eastAsia"/>
                      <w:sz w:val="21"/>
                      <w:szCs w:val="21"/>
                    </w:rPr>
                    <w:t>锰</w:t>
                  </w:r>
                </w:p>
              </w:tc>
              <w:tc>
                <w:tcPr>
                  <w:tcW w:w="2059" w:type="dxa"/>
                  <w:vAlign w:val="center"/>
                </w:tcPr>
                <w:p w14:paraId="64A31E1F">
                  <w:pPr>
                    <w:spacing w:line="240" w:lineRule="auto"/>
                    <w:ind w:firstLine="0" w:firstLineChars="0"/>
                    <w:jc w:val="center"/>
                    <w:rPr>
                      <w:sz w:val="21"/>
                      <w:szCs w:val="21"/>
                      <w:lang w:val="zh-CN"/>
                    </w:rPr>
                  </w:pPr>
                  <w:r>
                    <w:rPr>
                      <w:rFonts w:hint="eastAsia"/>
                      <w:sz w:val="21"/>
                      <w:szCs w:val="21"/>
                    </w:rPr>
                    <w:t>0.01L</w:t>
                  </w:r>
                </w:p>
              </w:tc>
              <w:tc>
                <w:tcPr>
                  <w:tcW w:w="1909" w:type="dxa"/>
                  <w:vAlign w:val="center"/>
                </w:tcPr>
                <w:p w14:paraId="6D46DB83">
                  <w:pPr>
                    <w:spacing w:line="240" w:lineRule="auto"/>
                    <w:ind w:firstLine="0" w:firstLineChars="0"/>
                    <w:jc w:val="center"/>
                    <w:rPr>
                      <w:sz w:val="21"/>
                      <w:szCs w:val="21"/>
                      <w:lang w:val="zh-CN"/>
                    </w:rPr>
                  </w:pPr>
                  <w:r>
                    <w:rPr>
                      <w:rFonts w:hint="eastAsia"/>
                      <w:sz w:val="21"/>
                      <w:szCs w:val="21"/>
                    </w:rPr>
                    <w:t>0.01L</w:t>
                  </w:r>
                </w:p>
              </w:tc>
              <w:tc>
                <w:tcPr>
                  <w:tcW w:w="1459" w:type="dxa"/>
                  <w:vAlign w:val="center"/>
                </w:tcPr>
                <w:p w14:paraId="0D0CEB0B">
                  <w:pPr>
                    <w:spacing w:line="240" w:lineRule="auto"/>
                    <w:ind w:firstLine="0" w:firstLineChars="0"/>
                    <w:jc w:val="center"/>
                    <w:rPr>
                      <w:sz w:val="21"/>
                      <w:szCs w:val="21"/>
                    </w:rPr>
                  </w:pPr>
                  <w:r>
                    <w:rPr>
                      <w:rFonts w:hint="eastAsia"/>
                      <w:sz w:val="21"/>
                      <w:szCs w:val="21"/>
                    </w:rPr>
                    <w:t>0.10</w:t>
                  </w:r>
                </w:p>
              </w:tc>
              <w:tc>
                <w:tcPr>
                  <w:tcW w:w="1187" w:type="dxa"/>
                  <w:vAlign w:val="center"/>
                </w:tcPr>
                <w:p w14:paraId="0FFA8A4B">
                  <w:pPr>
                    <w:spacing w:line="240" w:lineRule="auto"/>
                    <w:ind w:firstLine="0" w:firstLineChars="0"/>
                    <w:jc w:val="center"/>
                    <w:rPr>
                      <w:sz w:val="21"/>
                      <w:szCs w:val="21"/>
                      <w:lang w:val="zh-CN"/>
                    </w:rPr>
                  </w:pPr>
                  <w:r>
                    <w:rPr>
                      <w:rFonts w:hint="eastAsia"/>
                      <w:sz w:val="21"/>
                      <w:szCs w:val="21"/>
                    </w:rPr>
                    <w:t>达标</w:t>
                  </w:r>
                </w:p>
              </w:tc>
            </w:tr>
            <w:tr w14:paraId="34B0B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650" w:type="dxa"/>
                  <w:vAlign w:val="center"/>
                </w:tcPr>
                <w:p w14:paraId="18923D64">
                  <w:pPr>
                    <w:spacing w:line="240" w:lineRule="auto"/>
                    <w:ind w:firstLine="0" w:firstLineChars="0"/>
                    <w:jc w:val="center"/>
                    <w:rPr>
                      <w:sz w:val="21"/>
                      <w:szCs w:val="21"/>
                    </w:rPr>
                  </w:pPr>
                  <w:r>
                    <w:rPr>
                      <w:rFonts w:hint="eastAsia"/>
                      <w:sz w:val="21"/>
                      <w:szCs w:val="21"/>
                    </w:rPr>
                    <w:t>砷</w:t>
                  </w:r>
                </w:p>
              </w:tc>
              <w:tc>
                <w:tcPr>
                  <w:tcW w:w="2059" w:type="dxa"/>
                  <w:vAlign w:val="center"/>
                </w:tcPr>
                <w:p w14:paraId="23671000">
                  <w:pPr>
                    <w:spacing w:line="240" w:lineRule="auto"/>
                    <w:ind w:firstLine="0" w:firstLineChars="0"/>
                    <w:jc w:val="center"/>
                    <w:rPr>
                      <w:sz w:val="21"/>
                      <w:szCs w:val="21"/>
                      <w:lang w:val="zh-CN"/>
                    </w:rPr>
                  </w:pPr>
                  <w:r>
                    <w:rPr>
                      <w:rFonts w:hint="eastAsia"/>
                      <w:sz w:val="21"/>
                      <w:szCs w:val="21"/>
                    </w:rPr>
                    <w:t>0.3L</w:t>
                  </w:r>
                </w:p>
              </w:tc>
              <w:tc>
                <w:tcPr>
                  <w:tcW w:w="1909" w:type="dxa"/>
                  <w:vAlign w:val="center"/>
                </w:tcPr>
                <w:p w14:paraId="058C97C1">
                  <w:pPr>
                    <w:spacing w:line="240" w:lineRule="auto"/>
                    <w:ind w:firstLine="0" w:firstLineChars="0"/>
                    <w:jc w:val="center"/>
                    <w:rPr>
                      <w:sz w:val="21"/>
                      <w:szCs w:val="21"/>
                      <w:lang w:val="zh-CN"/>
                    </w:rPr>
                  </w:pPr>
                  <w:r>
                    <w:rPr>
                      <w:rFonts w:hint="eastAsia"/>
                      <w:sz w:val="21"/>
                      <w:szCs w:val="21"/>
                    </w:rPr>
                    <w:t>0.3L</w:t>
                  </w:r>
                </w:p>
              </w:tc>
              <w:tc>
                <w:tcPr>
                  <w:tcW w:w="1459" w:type="dxa"/>
                  <w:vAlign w:val="center"/>
                </w:tcPr>
                <w:p w14:paraId="1A1A2A28">
                  <w:pPr>
                    <w:spacing w:line="240" w:lineRule="auto"/>
                    <w:ind w:firstLine="0" w:firstLineChars="0"/>
                    <w:jc w:val="center"/>
                    <w:rPr>
                      <w:sz w:val="21"/>
                      <w:szCs w:val="21"/>
                    </w:rPr>
                  </w:pPr>
                  <w:r>
                    <w:rPr>
                      <w:rFonts w:hint="eastAsia"/>
                      <w:sz w:val="21"/>
                      <w:szCs w:val="21"/>
                    </w:rPr>
                    <w:t>0.01</w:t>
                  </w:r>
                </w:p>
              </w:tc>
              <w:tc>
                <w:tcPr>
                  <w:tcW w:w="1187" w:type="dxa"/>
                  <w:vAlign w:val="center"/>
                </w:tcPr>
                <w:p w14:paraId="42E98DE5">
                  <w:pPr>
                    <w:spacing w:line="240" w:lineRule="auto"/>
                    <w:ind w:firstLine="0" w:firstLineChars="0"/>
                    <w:jc w:val="center"/>
                    <w:rPr>
                      <w:sz w:val="21"/>
                      <w:szCs w:val="21"/>
                      <w:lang w:val="zh-CN"/>
                    </w:rPr>
                  </w:pPr>
                  <w:r>
                    <w:rPr>
                      <w:rFonts w:hint="eastAsia"/>
                      <w:sz w:val="21"/>
                      <w:szCs w:val="21"/>
                    </w:rPr>
                    <w:t>达标</w:t>
                  </w:r>
                </w:p>
              </w:tc>
            </w:tr>
            <w:tr w14:paraId="73826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650" w:type="dxa"/>
                  <w:vAlign w:val="center"/>
                </w:tcPr>
                <w:p w14:paraId="04ECA500">
                  <w:pPr>
                    <w:spacing w:line="240" w:lineRule="auto"/>
                    <w:ind w:firstLine="0" w:firstLineChars="0"/>
                    <w:jc w:val="center"/>
                    <w:rPr>
                      <w:sz w:val="21"/>
                      <w:szCs w:val="21"/>
                    </w:rPr>
                  </w:pPr>
                  <w:r>
                    <w:rPr>
                      <w:rFonts w:hint="eastAsia"/>
                      <w:sz w:val="21"/>
                      <w:szCs w:val="21"/>
                    </w:rPr>
                    <w:t>汞</w:t>
                  </w:r>
                </w:p>
              </w:tc>
              <w:tc>
                <w:tcPr>
                  <w:tcW w:w="2059" w:type="dxa"/>
                  <w:vAlign w:val="center"/>
                </w:tcPr>
                <w:p w14:paraId="35151D64">
                  <w:pPr>
                    <w:spacing w:line="240" w:lineRule="auto"/>
                    <w:ind w:firstLine="0" w:firstLineChars="0"/>
                    <w:jc w:val="center"/>
                    <w:rPr>
                      <w:sz w:val="21"/>
                      <w:szCs w:val="21"/>
                    </w:rPr>
                  </w:pPr>
                  <w:r>
                    <w:rPr>
                      <w:rFonts w:hint="eastAsia"/>
                      <w:sz w:val="21"/>
                      <w:szCs w:val="21"/>
                    </w:rPr>
                    <w:t>0.06</w:t>
                  </w:r>
                </w:p>
              </w:tc>
              <w:tc>
                <w:tcPr>
                  <w:tcW w:w="1909" w:type="dxa"/>
                  <w:vAlign w:val="center"/>
                </w:tcPr>
                <w:p w14:paraId="1284ACA9">
                  <w:pPr>
                    <w:spacing w:line="240" w:lineRule="auto"/>
                    <w:ind w:firstLine="0" w:firstLineChars="0"/>
                    <w:jc w:val="center"/>
                    <w:rPr>
                      <w:sz w:val="21"/>
                      <w:szCs w:val="21"/>
                      <w:lang w:val="zh-CN"/>
                    </w:rPr>
                  </w:pPr>
                  <w:r>
                    <w:rPr>
                      <w:rFonts w:hint="eastAsia"/>
                      <w:sz w:val="21"/>
                      <w:szCs w:val="21"/>
                    </w:rPr>
                    <w:t>0.06</w:t>
                  </w:r>
                </w:p>
              </w:tc>
              <w:tc>
                <w:tcPr>
                  <w:tcW w:w="1459" w:type="dxa"/>
                  <w:vAlign w:val="center"/>
                </w:tcPr>
                <w:p w14:paraId="0B758ED1">
                  <w:pPr>
                    <w:spacing w:line="240" w:lineRule="auto"/>
                    <w:ind w:firstLine="0" w:firstLineChars="0"/>
                    <w:jc w:val="center"/>
                    <w:rPr>
                      <w:sz w:val="21"/>
                      <w:szCs w:val="21"/>
                    </w:rPr>
                  </w:pPr>
                  <w:r>
                    <w:rPr>
                      <w:rFonts w:hint="eastAsia"/>
                      <w:sz w:val="21"/>
                      <w:szCs w:val="21"/>
                    </w:rPr>
                    <w:t>0.001</w:t>
                  </w:r>
                </w:p>
              </w:tc>
              <w:tc>
                <w:tcPr>
                  <w:tcW w:w="1187" w:type="dxa"/>
                  <w:vAlign w:val="center"/>
                </w:tcPr>
                <w:p w14:paraId="11E91C35">
                  <w:pPr>
                    <w:spacing w:line="240" w:lineRule="auto"/>
                    <w:ind w:firstLine="0" w:firstLineChars="0"/>
                    <w:jc w:val="center"/>
                    <w:rPr>
                      <w:sz w:val="21"/>
                      <w:szCs w:val="21"/>
                      <w:lang w:val="zh-CN"/>
                    </w:rPr>
                  </w:pPr>
                  <w:r>
                    <w:rPr>
                      <w:rFonts w:hint="eastAsia"/>
                      <w:sz w:val="21"/>
                      <w:szCs w:val="21"/>
                    </w:rPr>
                    <w:t>达标</w:t>
                  </w:r>
                </w:p>
              </w:tc>
            </w:tr>
            <w:tr w14:paraId="206B6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650" w:type="dxa"/>
                  <w:vAlign w:val="center"/>
                </w:tcPr>
                <w:p w14:paraId="2AD93848">
                  <w:pPr>
                    <w:spacing w:line="240" w:lineRule="auto"/>
                    <w:ind w:firstLine="0" w:firstLineChars="0"/>
                    <w:jc w:val="center"/>
                    <w:rPr>
                      <w:sz w:val="21"/>
                      <w:szCs w:val="21"/>
                    </w:rPr>
                  </w:pPr>
                  <w:r>
                    <w:rPr>
                      <w:rFonts w:hint="eastAsia"/>
                      <w:sz w:val="21"/>
                      <w:szCs w:val="21"/>
                    </w:rPr>
                    <w:t>镉</w:t>
                  </w:r>
                </w:p>
              </w:tc>
              <w:tc>
                <w:tcPr>
                  <w:tcW w:w="2059" w:type="dxa"/>
                  <w:vAlign w:val="center"/>
                </w:tcPr>
                <w:p w14:paraId="3330519D">
                  <w:pPr>
                    <w:spacing w:line="240" w:lineRule="auto"/>
                    <w:ind w:firstLine="0" w:firstLineChars="0"/>
                    <w:jc w:val="center"/>
                    <w:rPr>
                      <w:sz w:val="21"/>
                      <w:szCs w:val="21"/>
                      <w:lang w:val="zh-CN"/>
                    </w:rPr>
                  </w:pPr>
                  <w:r>
                    <w:rPr>
                      <w:rFonts w:hint="eastAsia"/>
                      <w:sz w:val="21"/>
                      <w:szCs w:val="21"/>
                    </w:rPr>
                    <w:t>0.5L</w:t>
                  </w:r>
                </w:p>
              </w:tc>
              <w:tc>
                <w:tcPr>
                  <w:tcW w:w="1909" w:type="dxa"/>
                  <w:vAlign w:val="center"/>
                </w:tcPr>
                <w:p w14:paraId="6B7C308E">
                  <w:pPr>
                    <w:spacing w:line="240" w:lineRule="auto"/>
                    <w:ind w:firstLine="0" w:firstLineChars="0"/>
                    <w:jc w:val="center"/>
                    <w:rPr>
                      <w:sz w:val="21"/>
                      <w:szCs w:val="21"/>
                      <w:lang w:val="zh-CN"/>
                    </w:rPr>
                  </w:pPr>
                  <w:r>
                    <w:rPr>
                      <w:rFonts w:hint="eastAsia"/>
                      <w:sz w:val="21"/>
                      <w:szCs w:val="21"/>
                    </w:rPr>
                    <w:t>0.5L</w:t>
                  </w:r>
                </w:p>
              </w:tc>
              <w:tc>
                <w:tcPr>
                  <w:tcW w:w="1459" w:type="dxa"/>
                  <w:vAlign w:val="center"/>
                </w:tcPr>
                <w:p w14:paraId="0EAEB5D1">
                  <w:pPr>
                    <w:spacing w:line="240" w:lineRule="auto"/>
                    <w:ind w:firstLine="0" w:firstLineChars="0"/>
                    <w:jc w:val="center"/>
                    <w:rPr>
                      <w:sz w:val="21"/>
                      <w:szCs w:val="21"/>
                    </w:rPr>
                  </w:pPr>
                  <w:r>
                    <w:rPr>
                      <w:rFonts w:hint="eastAsia"/>
                      <w:sz w:val="21"/>
                      <w:szCs w:val="21"/>
                    </w:rPr>
                    <w:t>0.005</w:t>
                  </w:r>
                </w:p>
              </w:tc>
              <w:tc>
                <w:tcPr>
                  <w:tcW w:w="1187" w:type="dxa"/>
                  <w:vAlign w:val="center"/>
                </w:tcPr>
                <w:p w14:paraId="1D104BE8">
                  <w:pPr>
                    <w:spacing w:line="240" w:lineRule="auto"/>
                    <w:ind w:firstLine="0" w:firstLineChars="0"/>
                    <w:jc w:val="center"/>
                    <w:rPr>
                      <w:sz w:val="21"/>
                      <w:szCs w:val="21"/>
                      <w:lang w:val="zh-CN"/>
                    </w:rPr>
                  </w:pPr>
                  <w:r>
                    <w:rPr>
                      <w:rFonts w:hint="eastAsia"/>
                      <w:sz w:val="21"/>
                      <w:szCs w:val="21"/>
                    </w:rPr>
                    <w:t>达标</w:t>
                  </w:r>
                </w:p>
              </w:tc>
            </w:tr>
            <w:tr w14:paraId="1E3CD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650" w:type="dxa"/>
                  <w:vAlign w:val="center"/>
                </w:tcPr>
                <w:p w14:paraId="312542BE">
                  <w:pPr>
                    <w:spacing w:line="240" w:lineRule="auto"/>
                    <w:ind w:firstLine="0" w:firstLineChars="0"/>
                    <w:jc w:val="center"/>
                    <w:rPr>
                      <w:sz w:val="21"/>
                      <w:szCs w:val="21"/>
                    </w:rPr>
                  </w:pPr>
                  <w:r>
                    <w:rPr>
                      <w:rFonts w:hint="eastAsia"/>
                      <w:sz w:val="21"/>
                      <w:szCs w:val="21"/>
                    </w:rPr>
                    <w:t>铅</w:t>
                  </w:r>
                </w:p>
              </w:tc>
              <w:tc>
                <w:tcPr>
                  <w:tcW w:w="2059" w:type="dxa"/>
                  <w:vAlign w:val="center"/>
                </w:tcPr>
                <w:p w14:paraId="45FDB7A1">
                  <w:pPr>
                    <w:spacing w:line="240" w:lineRule="auto"/>
                    <w:ind w:firstLine="0" w:firstLineChars="0"/>
                    <w:jc w:val="center"/>
                    <w:rPr>
                      <w:sz w:val="21"/>
                      <w:szCs w:val="21"/>
                      <w:lang w:val="zh-CN"/>
                    </w:rPr>
                  </w:pPr>
                  <w:r>
                    <w:rPr>
                      <w:rFonts w:hint="eastAsia"/>
                      <w:sz w:val="21"/>
                      <w:szCs w:val="21"/>
                    </w:rPr>
                    <w:t>2.5L</w:t>
                  </w:r>
                </w:p>
              </w:tc>
              <w:tc>
                <w:tcPr>
                  <w:tcW w:w="1909" w:type="dxa"/>
                  <w:vAlign w:val="center"/>
                </w:tcPr>
                <w:p w14:paraId="78072D6C">
                  <w:pPr>
                    <w:spacing w:line="240" w:lineRule="auto"/>
                    <w:ind w:firstLine="0" w:firstLineChars="0"/>
                    <w:jc w:val="center"/>
                    <w:rPr>
                      <w:sz w:val="21"/>
                      <w:szCs w:val="21"/>
                      <w:lang w:val="zh-CN"/>
                    </w:rPr>
                  </w:pPr>
                  <w:r>
                    <w:rPr>
                      <w:rFonts w:hint="eastAsia"/>
                      <w:sz w:val="21"/>
                      <w:szCs w:val="21"/>
                    </w:rPr>
                    <w:t>2.5L</w:t>
                  </w:r>
                </w:p>
              </w:tc>
              <w:tc>
                <w:tcPr>
                  <w:tcW w:w="1459" w:type="dxa"/>
                  <w:vAlign w:val="center"/>
                </w:tcPr>
                <w:p w14:paraId="3D86A1AA">
                  <w:pPr>
                    <w:spacing w:line="240" w:lineRule="auto"/>
                    <w:ind w:firstLine="0" w:firstLineChars="0"/>
                    <w:jc w:val="center"/>
                    <w:rPr>
                      <w:sz w:val="21"/>
                      <w:szCs w:val="21"/>
                    </w:rPr>
                  </w:pPr>
                  <w:r>
                    <w:rPr>
                      <w:rFonts w:hint="eastAsia"/>
                      <w:sz w:val="21"/>
                      <w:szCs w:val="21"/>
                    </w:rPr>
                    <w:t>3.0</w:t>
                  </w:r>
                </w:p>
              </w:tc>
              <w:tc>
                <w:tcPr>
                  <w:tcW w:w="1187" w:type="dxa"/>
                  <w:vAlign w:val="center"/>
                </w:tcPr>
                <w:p w14:paraId="6E7824A8">
                  <w:pPr>
                    <w:spacing w:line="240" w:lineRule="auto"/>
                    <w:ind w:firstLine="0" w:firstLineChars="0"/>
                    <w:jc w:val="center"/>
                    <w:rPr>
                      <w:sz w:val="21"/>
                      <w:szCs w:val="21"/>
                      <w:lang w:val="zh-CN"/>
                    </w:rPr>
                  </w:pPr>
                  <w:r>
                    <w:rPr>
                      <w:rFonts w:hint="eastAsia"/>
                      <w:sz w:val="21"/>
                      <w:szCs w:val="21"/>
                    </w:rPr>
                    <w:t>达标</w:t>
                  </w:r>
                </w:p>
              </w:tc>
            </w:tr>
            <w:tr w14:paraId="14C23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exact"/>
              </w:trPr>
              <w:tc>
                <w:tcPr>
                  <w:tcW w:w="1650" w:type="dxa"/>
                  <w:vAlign w:val="center"/>
                </w:tcPr>
                <w:p w14:paraId="6CB185C2">
                  <w:pPr>
                    <w:spacing w:line="240" w:lineRule="auto"/>
                    <w:ind w:firstLine="0" w:firstLineChars="0"/>
                    <w:jc w:val="center"/>
                    <w:rPr>
                      <w:sz w:val="21"/>
                      <w:szCs w:val="21"/>
                    </w:rPr>
                  </w:pPr>
                  <w:r>
                    <w:rPr>
                      <w:rFonts w:hint="eastAsia"/>
                      <w:sz w:val="21"/>
                      <w:szCs w:val="21"/>
                    </w:rPr>
                    <w:t>细菌总数（CFU/mL）</w:t>
                  </w:r>
                </w:p>
              </w:tc>
              <w:tc>
                <w:tcPr>
                  <w:tcW w:w="2059" w:type="dxa"/>
                  <w:vAlign w:val="center"/>
                </w:tcPr>
                <w:p w14:paraId="35FCBEC1">
                  <w:pPr>
                    <w:spacing w:line="240" w:lineRule="auto"/>
                    <w:ind w:firstLine="0" w:firstLineChars="0"/>
                    <w:jc w:val="center"/>
                    <w:rPr>
                      <w:sz w:val="21"/>
                      <w:szCs w:val="21"/>
                    </w:rPr>
                  </w:pPr>
                  <w:r>
                    <w:rPr>
                      <w:rFonts w:hint="eastAsia"/>
                      <w:sz w:val="21"/>
                      <w:szCs w:val="21"/>
                    </w:rPr>
                    <w:t>ND</w:t>
                  </w:r>
                </w:p>
              </w:tc>
              <w:tc>
                <w:tcPr>
                  <w:tcW w:w="1909" w:type="dxa"/>
                  <w:vAlign w:val="center"/>
                </w:tcPr>
                <w:p w14:paraId="12E106DB">
                  <w:pPr>
                    <w:spacing w:line="240" w:lineRule="auto"/>
                    <w:ind w:firstLine="0" w:firstLineChars="0"/>
                    <w:jc w:val="center"/>
                    <w:rPr>
                      <w:sz w:val="21"/>
                      <w:szCs w:val="21"/>
                    </w:rPr>
                  </w:pPr>
                  <w:r>
                    <w:rPr>
                      <w:rFonts w:hint="eastAsia"/>
                      <w:sz w:val="21"/>
                      <w:szCs w:val="21"/>
                    </w:rPr>
                    <w:t>ND</w:t>
                  </w:r>
                </w:p>
              </w:tc>
              <w:tc>
                <w:tcPr>
                  <w:tcW w:w="1459" w:type="dxa"/>
                  <w:vAlign w:val="center"/>
                </w:tcPr>
                <w:p w14:paraId="419752C0">
                  <w:pPr>
                    <w:spacing w:line="240" w:lineRule="auto"/>
                    <w:ind w:firstLine="0" w:firstLineChars="0"/>
                    <w:jc w:val="center"/>
                    <w:rPr>
                      <w:sz w:val="21"/>
                      <w:szCs w:val="21"/>
                    </w:rPr>
                  </w:pPr>
                  <w:r>
                    <w:rPr>
                      <w:rFonts w:hint="eastAsia"/>
                      <w:sz w:val="21"/>
                      <w:szCs w:val="21"/>
                    </w:rPr>
                    <w:t>100</w:t>
                  </w:r>
                </w:p>
              </w:tc>
              <w:tc>
                <w:tcPr>
                  <w:tcW w:w="1187" w:type="dxa"/>
                  <w:vAlign w:val="center"/>
                </w:tcPr>
                <w:p w14:paraId="1567B769">
                  <w:pPr>
                    <w:spacing w:line="240" w:lineRule="auto"/>
                    <w:ind w:firstLine="0" w:firstLineChars="0"/>
                    <w:jc w:val="center"/>
                    <w:rPr>
                      <w:sz w:val="21"/>
                      <w:szCs w:val="21"/>
                      <w:lang w:val="zh-CN"/>
                    </w:rPr>
                  </w:pPr>
                  <w:r>
                    <w:rPr>
                      <w:rFonts w:hint="eastAsia"/>
                      <w:sz w:val="21"/>
                      <w:szCs w:val="21"/>
                    </w:rPr>
                    <w:t>达标</w:t>
                  </w:r>
                </w:p>
              </w:tc>
            </w:tr>
            <w:tr w14:paraId="2C50C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exact"/>
              </w:trPr>
              <w:tc>
                <w:tcPr>
                  <w:tcW w:w="1650" w:type="dxa"/>
                  <w:vAlign w:val="center"/>
                </w:tcPr>
                <w:p w14:paraId="27479AEF">
                  <w:pPr>
                    <w:spacing w:line="240" w:lineRule="auto"/>
                    <w:ind w:firstLine="0" w:firstLineChars="0"/>
                    <w:jc w:val="center"/>
                    <w:rPr>
                      <w:sz w:val="21"/>
                      <w:szCs w:val="21"/>
                    </w:rPr>
                  </w:pPr>
                  <w:r>
                    <w:rPr>
                      <w:rFonts w:hint="eastAsia"/>
                      <w:sz w:val="21"/>
                      <w:szCs w:val="21"/>
                    </w:rPr>
                    <w:t>总大肠菌群（MPN/mL）</w:t>
                  </w:r>
                </w:p>
              </w:tc>
              <w:tc>
                <w:tcPr>
                  <w:tcW w:w="2059" w:type="dxa"/>
                  <w:vAlign w:val="center"/>
                </w:tcPr>
                <w:p w14:paraId="60414A4A">
                  <w:pPr>
                    <w:spacing w:line="240" w:lineRule="auto"/>
                    <w:ind w:firstLine="0" w:firstLineChars="0"/>
                    <w:jc w:val="center"/>
                    <w:rPr>
                      <w:sz w:val="21"/>
                      <w:szCs w:val="21"/>
                    </w:rPr>
                  </w:pPr>
                  <w:r>
                    <w:rPr>
                      <w:rFonts w:hint="eastAsia"/>
                      <w:sz w:val="21"/>
                      <w:szCs w:val="21"/>
                    </w:rPr>
                    <w:t>ND</w:t>
                  </w:r>
                </w:p>
              </w:tc>
              <w:tc>
                <w:tcPr>
                  <w:tcW w:w="1909" w:type="dxa"/>
                  <w:vAlign w:val="center"/>
                </w:tcPr>
                <w:p w14:paraId="24F7D922">
                  <w:pPr>
                    <w:spacing w:line="240" w:lineRule="auto"/>
                    <w:ind w:firstLine="0" w:firstLineChars="0"/>
                    <w:jc w:val="center"/>
                    <w:rPr>
                      <w:sz w:val="21"/>
                      <w:szCs w:val="21"/>
                    </w:rPr>
                  </w:pPr>
                  <w:r>
                    <w:rPr>
                      <w:rFonts w:hint="eastAsia"/>
                      <w:sz w:val="21"/>
                      <w:szCs w:val="21"/>
                    </w:rPr>
                    <w:t>ND</w:t>
                  </w:r>
                </w:p>
              </w:tc>
              <w:tc>
                <w:tcPr>
                  <w:tcW w:w="1459" w:type="dxa"/>
                  <w:vAlign w:val="center"/>
                </w:tcPr>
                <w:p w14:paraId="3FBEC27C">
                  <w:pPr>
                    <w:spacing w:line="240" w:lineRule="auto"/>
                    <w:ind w:firstLine="0" w:firstLineChars="0"/>
                    <w:jc w:val="center"/>
                    <w:rPr>
                      <w:sz w:val="21"/>
                      <w:szCs w:val="21"/>
                    </w:rPr>
                  </w:pPr>
                  <w:r>
                    <w:rPr>
                      <w:rFonts w:hint="eastAsia"/>
                      <w:sz w:val="21"/>
                      <w:szCs w:val="21"/>
                    </w:rPr>
                    <w:t>3.0</w:t>
                  </w:r>
                </w:p>
              </w:tc>
              <w:tc>
                <w:tcPr>
                  <w:tcW w:w="1187" w:type="dxa"/>
                  <w:vAlign w:val="center"/>
                </w:tcPr>
                <w:p w14:paraId="0BE7D248">
                  <w:pPr>
                    <w:spacing w:line="240" w:lineRule="auto"/>
                    <w:ind w:firstLine="0" w:firstLineChars="0"/>
                    <w:jc w:val="center"/>
                    <w:rPr>
                      <w:sz w:val="21"/>
                      <w:szCs w:val="21"/>
                      <w:lang w:val="zh-CN"/>
                    </w:rPr>
                  </w:pPr>
                  <w:r>
                    <w:rPr>
                      <w:rFonts w:hint="eastAsia"/>
                      <w:sz w:val="21"/>
                      <w:szCs w:val="21"/>
                    </w:rPr>
                    <w:t>达标</w:t>
                  </w:r>
                </w:p>
              </w:tc>
            </w:tr>
          </w:tbl>
          <w:p w14:paraId="029DC634">
            <w:pPr>
              <w:adjustRightInd w:val="0"/>
              <w:snapToGrid w:val="0"/>
              <w:ind w:firstLine="480"/>
              <w:rPr>
                <w:rFonts w:cs="宋体"/>
              </w:rPr>
            </w:pPr>
            <w:r>
              <w:rPr>
                <w:rFonts w:hint="eastAsia" w:cs="宋体"/>
              </w:rPr>
              <w:t>项目所在地地下水执行《地下水质量标准》（GB/T14848-2017）中Ⅲ类标准。据监测结果得知，评价范围区内地下水各监测因子均能达到《地下水质量标准》（GB/T14848-2017）III类标准；因GB/T14848-2017中没有石油类的标准限值，本次评价石油类参照《地表水环境质量标准》（GB3838-2002）Ⅲ类标准限值标准执行，检测结果达到《地表水环境质量标准》（GB3838-2002）Ⅲ类标准。</w:t>
            </w:r>
          </w:p>
          <w:p w14:paraId="26EA59BC">
            <w:pPr>
              <w:adjustRightInd w:val="0"/>
              <w:snapToGrid w:val="0"/>
              <w:ind w:firstLine="482"/>
              <w:jc w:val="left"/>
              <w:rPr>
                <w:rFonts w:cs="宋体"/>
                <w:b/>
                <w:bCs/>
                <w:lang w:val="zh-CN"/>
              </w:rPr>
            </w:pPr>
            <w:r>
              <w:rPr>
                <w:rFonts w:hint="eastAsia" w:cs="宋体"/>
                <w:b/>
                <w:bCs/>
                <w:lang w:val="zh-CN"/>
              </w:rPr>
              <w:t>（</w:t>
            </w:r>
            <w:r>
              <w:rPr>
                <w:rFonts w:hint="eastAsia" w:cs="宋体"/>
                <w:b/>
                <w:bCs/>
              </w:rPr>
              <w:t>2</w:t>
            </w:r>
            <w:r>
              <w:rPr>
                <w:rFonts w:hint="eastAsia" w:cs="宋体"/>
                <w:b/>
                <w:bCs/>
                <w:lang w:val="zh-CN"/>
              </w:rPr>
              <w:t>）土壤环境质量现状</w:t>
            </w:r>
          </w:p>
          <w:p w14:paraId="4A36C23E">
            <w:pPr>
              <w:adjustRightInd w:val="0"/>
              <w:snapToGrid w:val="0"/>
              <w:ind w:firstLine="480"/>
              <w:jc w:val="left"/>
              <w:rPr>
                <w:rFonts w:cs="宋体"/>
              </w:rPr>
            </w:pPr>
            <w:r>
              <w:rPr>
                <w:rFonts w:hint="eastAsia" w:cs="宋体"/>
              </w:rPr>
              <w:t>为了解项目所在区域土壤环境质量状况，本次在项目区内布设1个土壤监测点位，作为区域土壤环境质量背景值。建设单位委托</w:t>
            </w:r>
            <w:r>
              <w:rPr>
                <w:rFonts w:hint="eastAsia"/>
              </w:rPr>
              <w:t>云南天倪检测有限公司于</w:t>
            </w:r>
            <w:r>
              <w:rPr>
                <w:rFonts w:hint="eastAsia" w:cs="宋体"/>
              </w:rPr>
              <w:t>2026年5月1日对项目所在地土壤环境质量进行监测。</w:t>
            </w:r>
          </w:p>
          <w:p w14:paraId="086EB951">
            <w:pPr>
              <w:adjustRightInd w:val="0"/>
              <w:snapToGrid w:val="0"/>
              <w:ind w:firstLine="480"/>
              <w:jc w:val="left"/>
              <w:rPr>
                <w:rFonts w:cs="宋体"/>
              </w:rPr>
            </w:pPr>
            <w:r>
              <w:rPr>
                <w:rFonts w:hint="eastAsia" w:cs="宋体"/>
              </w:rPr>
              <w:t>监测点位：项目用地中心</w:t>
            </w:r>
          </w:p>
          <w:p w14:paraId="570F2D6D">
            <w:pPr>
              <w:adjustRightInd w:val="0"/>
              <w:snapToGrid w:val="0"/>
              <w:ind w:firstLine="480"/>
              <w:jc w:val="left"/>
              <w:rPr>
                <w:rFonts w:cs="宋体"/>
              </w:rPr>
            </w:pPr>
            <w:r>
              <w:rPr>
                <w:rFonts w:hint="eastAsia" w:cs="宋体"/>
              </w:rPr>
              <w:t>监测频率：进行一次采样监测</w:t>
            </w:r>
          </w:p>
          <w:p w14:paraId="51508FDF">
            <w:pPr>
              <w:adjustRightInd w:val="0"/>
              <w:snapToGrid w:val="0"/>
              <w:ind w:firstLine="480"/>
              <w:jc w:val="left"/>
              <w:rPr>
                <w:rFonts w:cs="宋体"/>
              </w:rPr>
            </w:pPr>
            <w:r>
              <w:rPr>
                <w:rFonts w:hint="eastAsia" w:cs="宋体"/>
              </w:rPr>
              <w:t>执行标准：</w:t>
            </w:r>
            <w:r>
              <w:rPr>
                <w:rFonts w:cs="宋体"/>
              </w:rPr>
              <w:t>《土壤环境质量</w:t>
            </w:r>
            <w:r>
              <w:rPr>
                <w:rFonts w:hint="eastAsia" w:cs="宋体"/>
              </w:rPr>
              <w:t xml:space="preserve">  </w:t>
            </w:r>
            <w:r>
              <w:rPr>
                <w:rFonts w:cs="宋体"/>
              </w:rPr>
              <w:t>建设用地土壤污染风险管控标准》（试行）（GB36600-2018）中第</w:t>
            </w:r>
            <w:r>
              <w:rPr>
                <w:rFonts w:hint="eastAsia" w:cs="宋体"/>
              </w:rPr>
              <w:t>二</w:t>
            </w:r>
            <w:r>
              <w:rPr>
                <w:rFonts w:cs="宋体"/>
              </w:rPr>
              <w:t>类用地标准</w:t>
            </w:r>
            <w:r>
              <w:rPr>
                <w:rFonts w:hint="eastAsia" w:cs="宋体"/>
              </w:rPr>
              <w:t>筛选值</w:t>
            </w:r>
          </w:p>
          <w:p w14:paraId="3E93D818">
            <w:pPr>
              <w:adjustRightInd w:val="0"/>
              <w:snapToGrid w:val="0"/>
              <w:ind w:firstLine="480"/>
              <w:jc w:val="left"/>
              <w:rPr>
                <w:rFonts w:cs="宋体"/>
              </w:rPr>
            </w:pPr>
            <w:r>
              <w:rPr>
                <w:rFonts w:hint="eastAsia" w:cs="宋体"/>
              </w:rPr>
              <w:t>监测</w:t>
            </w:r>
            <w:r>
              <w:rPr>
                <w:rFonts w:hint="eastAsia" w:cs="宋体"/>
                <w:lang w:val="zh-CN"/>
              </w:rPr>
              <w:t>结果见表3-</w:t>
            </w:r>
            <w:r>
              <w:rPr>
                <w:rFonts w:hint="eastAsia" w:cs="宋体"/>
              </w:rPr>
              <w:t>2</w:t>
            </w:r>
            <w:r>
              <w:rPr>
                <w:rFonts w:hint="eastAsia" w:cs="宋体"/>
                <w:lang w:val="zh-CN"/>
              </w:rPr>
              <w:t>。</w:t>
            </w:r>
          </w:p>
          <w:p w14:paraId="78AA3583">
            <w:pPr>
              <w:adjustRightInd w:val="0"/>
              <w:snapToGrid w:val="0"/>
              <w:ind w:firstLine="422"/>
              <w:jc w:val="center"/>
              <w:rPr>
                <w:rFonts w:cs="宋体"/>
                <w:b/>
                <w:bCs/>
                <w:sz w:val="21"/>
                <w:szCs w:val="21"/>
              </w:rPr>
            </w:pPr>
            <w:r>
              <w:rPr>
                <w:rFonts w:hint="eastAsia" w:cs="宋体"/>
                <w:b/>
                <w:bCs/>
                <w:sz w:val="21"/>
                <w:szCs w:val="21"/>
              </w:rPr>
              <w:t>表 3-2   土壤监测结果表</w:t>
            </w:r>
          </w:p>
          <w:tbl>
            <w:tblPr>
              <w:tblStyle w:val="26"/>
              <w:tblW w:w="46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04"/>
              <w:gridCol w:w="1371"/>
              <w:gridCol w:w="1475"/>
              <w:gridCol w:w="1658"/>
              <w:gridCol w:w="1394"/>
            </w:tblGrid>
            <w:tr w14:paraId="5580D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2240" w:type="pct"/>
                  <w:gridSpan w:val="2"/>
                  <w:tcBorders>
                    <w:tl2br w:val="nil"/>
                    <w:tr2bl w:val="nil"/>
                  </w:tcBorders>
                  <w:vAlign w:val="center"/>
                </w:tcPr>
                <w:p w14:paraId="60BDBAF4">
                  <w:pPr>
                    <w:spacing w:line="240" w:lineRule="auto"/>
                    <w:ind w:firstLine="0" w:firstLineChars="0"/>
                    <w:jc w:val="center"/>
                    <w:rPr>
                      <w:sz w:val="21"/>
                      <w:szCs w:val="21"/>
                    </w:rPr>
                  </w:pPr>
                  <w:r>
                    <w:rPr>
                      <w:rFonts w:hint="eastAsia"/>
                      <w:sz w:val="21"/>
                      <w:szCs w:val="21"/>
                    </w:rPr>
                    <w:t>采样</w:t>
                  </w:r>
                  <w:r>
                    <w:rPr>
                      <w:sz w:val="21"/>
                      <w:szCs w:val="21"/>
                    </w:rPr>
                    <w:t>点位</w:t>
                  </w:r>
                </w:p>
              </w:tc>
              <w:tc>
                <w:tcPr>
                  <w:tcW w:w="2759" w:type="pct"/>
                  <w:gridSpan w:val="3"/>
                  <w:tcBorders>
                    <w:tl2br w:val="nil"/>
                    <w:tr2bl w:val="nil"/>
                  </w:tcBorders>
                  <w:vAlign w:val="center"/>
                </w:tcPr>
                <w:p w14:paraId="6B7CAFEB">
                  <w:pPr>
                    <w:spacing w:line="240" w:lineRule="auto"/>
                    <w:ind w:firstLine="0" w:firstLineChars="0"/>
                    <w:jc w:val="center"/>
                    <w:rPr>
                      <w:sz w:val="21"/>
                      <w:szCs w:val="21"/>
                    </w:rPr>
                  </w:pPr>
                  <w:r>
                    <w:rPr>
                      <w:rFonts w:hint="eastAsia"/>
                      <w:sz w:val="21"/>
                      <w:szCs w:val="21"/>
                    </w:rPr>
                    <w:t>项目用地中心</w:t>
                  </w:r>
                </w:p>
              </w:tc>
            </w:tr>
            <w:tr w14:paraId="009F6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2240" w:type="pct"/>
                  <w:gridSpan w:val="2"/>
                  <w:tcBorders>
                    <w:tl2br w:val="nil"/>
                    <w:tr2bl w:val="nil"/>
                  </w:tcBorders>
                  <w:vAlign w:val="center"/>
                </w:tcPr>
                <w:p w14:paraId="5E481BAD">
                  <w:pPr>
                    <w:spacing w:line="240" w:lineRule="auto"/>
                    <w:ind w:firstLine="0" w:firstLineChars="0"/>
                    <w:jc w:val="center"/>
                    <w:rPr>
                      <w:sz w:val="21"/>
                      <w:szCs w:val="21"/>
                    </w:rPr>
                  </w:pPr>
                  <w:r>
                    <w:rPr>
                      <w:sz w:val="21"/>
                      <w:szCs w:val="21"/>
                    </w:rPr>
                    <w:t>日期</w:t>
                  </w:r>
                </w:p>
              </w:tc>
              <w:tc>
                <w:tcPr>
                  <w:tcW w:w="2759" w:type="pct"/>
                  <w:gridSpan w:val="3"/>
                  <w:tcBorders>
                    <w:tl2br w:val="nil"/>
                    <w:tr2bl w:val="nil"/>
                  </w:tcBorders>
                  <w:vAlign w:val="center"/>
                </w:tcPr>
                <w:p w14:paraId="0DA9FDD2">
                  <w:pPr>
                    <w:spacing w:line="240" w:lineRule="auto"/>
                    <w:ind w:firstLine="0" w:firstLineChars="0"/>
                    <w:jc w:val="center"/>
                    <w:rPr>
                      <w:sz w:val="21"/>
                      <w:szCs w:val="21"/>
                    </w:rPr>
                  </w:pPr>
                  <w:r>
                    <w:rPr>
                      <w:sz w:val="21"/>
                      <w:szCs w:val="21"/>
                    </w:rPr>
                    <w:t>202</w:t>
                  </w:r>
                  <w:r>
                    <w:rPr>
                      <w:rFonts w:hint="eastAsia"/>
                      <w:sz w:val="21"/>
                      <w:szCs w:val="21"/>
                    </w:rPr>
                    <w:t>6</w:t>
                  </w:r>
                  <w:r>
                    <w:rPr>
                      <w:sz w:val="21"/>
                      <w:szCs w:val="21"/>
                    </w:rPr>
                    <w:t>/</w:t>
                  </w:r>
                  <w:r>
                    <w:rPr>
                      <w:rFonts w:hint="eastAsia"/>
                      <w:sz w:val="21"/>
                      <w:szCs w:val="21"/>
                    </w:rPr>
                    <w:t>5</w:t>
                  </w:r>
                  <w:r>
                    <w:rPr>
                      <w:sz w:val="21"/>
                      <w:szCs w:val="21"/>
                    </w:rPr>
                    <w:t>/</w:t>
                  </w:r>
                  <w:r>
                    <w:rPr>
                      <w:rFonts w:hint="eastAsia"/>
                      <w:sz w:val="21"/>
                      <w:szCs w:val="21"/>
                    </w:rPr>
                    <w:t xml:space="preserve">1    </w:t>
                  </w:r>
                </w:p>
              </w:tc>
            </w:tr>
            <w:tr w14:paraId="1CA0A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240" w:type="pct"/>
                  <w:gridSpan w:val="2"/>
                  <w:tcBorders>
                    <w:tl2br w:val="nil"/>
                    <w:tr2bl w:val="nil"/>
                  </w:tcBorders>
                  <w:vAlign w:val="center"/>
                </w:tcPr>
                <w:p w14:paraId="71169C30">
                  <w:pPr>
                    <w:spacing w:line="240" w:lineRule="auto"/>
                    <w:ind w:firstLine="0" w:firstLineChars="0"/>
                    <w:jc w:val="center"/>
                    <w:rPr>
                      <w:sz w:val="21"/>
                      <w:szCs w:val="21"/>
                    </w:rPr>
                  </w:pPr>
                  <w:r>
                    <w:rPr>
                      <w:sz w:val="21"/>
                      <w:szCs w:val="21"/>
                    </w:rPr>
                    <w:t>样品状态</w:t>
                  </w:r>
                </w:p>
              </w:tc>
              <w:tc>
                <w:tcPr>
                  <w:tcW w:w="2759" w:type="pct"/>
                  <w:gridSpan w:val="3"/>
                  <w:tcBorders>
                    <w:tl2br w:val="nil"/>
                    <w:tr2bl w:val="nil"/>
                  </w:tcBorders>
                  <w:vAlign w:val="center"/>
                </w:tcPr>
                <w:p w14:paraId="5C774C75">
                  <w:pPr>
                    <w:spacing w:line="240" w:lineRule="auto"/>
                    <w:ind w:firstLine="0" w:firstLineChars="0"/>
                    <w:jc w:val="center"/>
                    <w:rPr>
                      <w:sz w:val="21"/>
                      <w:szCs w:val="21"/>
                    </w:rPr>
                  </w:pPr>
                  <w:r>
                    <w:rPr>
                      <w:rFonts w:hint="eastAsia"/>
                      <w:sz w:val="21"/>
                      <w:szCs w:val="21"/>
                    </w:rPr>
                    <w:t>壤土、颗粒结构、黄色</w:t>
                  </w:r>
                </w:p>
              </w:tc>
            </w:tr>
            <w:tr w14:paraId="2F919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2240" w:type="pct"/>
                  <w:gridSpan w:val="2"/>
                  <w:tcBorders>
                    <w:tl2br w:val="nil"/>
                    <w:tr2bl w:val="nil"/>
                  </w:tcBorders>
                  <w:vAlign w:val="center"/>
                </w:tcPr>
                <w:p w14:paraId="3D960C6B">
                  <w:pPr>
                    <w:spacing w:line="240" w:lineRule="auto"/>
                    <w:ind w:firstLine="0" w:firstLineChars="0"/>
                    <w:jc w:val="center"/>
                    <w:rPr>
                      <w:sz w:val="21"/>
                      <w:szCs w:val="21"/>
                    </w:rPr>
                  </w:pPr>
                  <w:r>
                    <w:rPr>
                      <w:sz w:val="21"/>
                      <w:szCs w:val="21"/>
                    </w:rPr>
                    <w:t>样品编号</w:t>
                  </w:r>
                </w:p>
              </w:tc>
              <w:tc>
                <w:tcPr>
                  <w:tcW w:w="2759" w:type="pct"/>
                  <w:gridSpan w:val="3"/>
                  <w:tcBorders>
                    <w:tl2br w:val="nil"/>
                    <w:tr2bl w:val="nil"/>
                  </w:tcBorders>
                  <w:vAlign w:val="center"/>
                </w:tcPr>
                <w:p w14:paraId="1AB735F1">
                  <w:pPr>
                    <w:spacing w:line="240" w:lineRule="auto"/>
                    <w:ind w:firstLine="0" w:firstLineChars="0"/>
                    <w:jc w:val="center"/>
                    <w:rPr>
                      <w:sz w:val="21"/>
                      <w:szCs w:val="21"/>
                    </w:rPr>
                  </w:pPr>
                  <w:r>
                    <w:rPr>
                      <w:rFonts w:hint="eastAsia"/>
                      <w:sz w:val="21"/>
                      <w:szCs w:val="21"/>
                    </w:rPr>
                    <w:t>K1-1-1</w:t>
                  </w:r>
                </w:p>
              </w:tc>
            </w:tr>
            <w:tr w14:paraId="4754D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04" w:type="pct"/>
                  <w:tcBorders>
                    <w:tl2br w:val="nil"/>
                    <w:tr2bl w:val="nil"/>
                  </w:tcBorders>
                  <w:vAlign w:val="center"/>
                </w:tcPr>
                <w:p w14:paraId="44022EDA">
                  <w:pPr>
                    <w:spacing w:line="240" w:lineRule="auto"/>
                    <w:ind w:firstLine="0" w:firstLineChars="0"/>
                    <w:jc w:val="center"/>
                    <w:rPr>
                      <w:sz w:val="21"/>
                      <w:szCs w:val="21"/>
                    </w:rPr>
                  </w:pPr>
                  <w:r>
                    <w:rPr>
                      <w:sz w:val="21"/>
                      <w:szCs w:val="21"/>
                    </w:rPr>
                    <w:t>分析项目</w:t>
                  </w:r>
                </w:p>
              </w:tc>
              <w:tc>
                <w:tcPr>
                  <w:tcW w:w="836" w:type="pct"/>
                  <w:tcBorders>
                    <w:tl2br w:val="nil"/>
                    <w:tr2bl w:val="nil"/>
                  </w:tcBorders>
                  <w:vAlign w:val="center"/>
                </w:tcPr>
                <w:p w14:paraId="0E5497F3">
                  <w:pPr>
                    <w:spacing w:line="240" w:lineRule="auto"/>
                    <w:ind w:firstLine="0" w:firstLineChars="0"/>
                    <w:jc w:val="center"/>
                    <w:rPr>
                      <w:sz w:val="21"/>
                      <w:szCs w:val="21"/>
                    </w:rPr>
                  </w:pPr>
                  <w:r>
                    <w:rPr>
                      <w:sz w:val="21"/>
                      <w:szCs w:val="21"/>
                    </w:rPr>
                    <w:t>单位</w:t>
                  </w:r>
                </w:p>
              </w:tc>
              <w:tc>
                <w:tcPr>
                  <w:tcW w:w="899" w:type="pct"/>
                  <w:tcBorders>
                    <w:tl2br w:val="nil"/>
                    <w:tr2bl w:val="nil"/>
                  </w:tcBorders>
                  <w:vAlign w:val="center"/>
                </w:tcPr>
                <w:p w14:paraId="44890A41">
                  <w:pPr>
                    <w:spacing w:line="240" w:lineRule="auto"/>
                    <w:ind w:firstLine="0" w:firstLineChars="0"/>
                    <w:jc w:val="center"/>
                    <w:rPr>
                      <w:sz w:val="21"/>
                      <w:szCs w:val="21"/>
                    </w:rPr>
                  </w:pPr>
                  <w:r>
                    <w:rPr>
                      <w:rFonts w:hint="eastAsia"/>
                      <w:sz w:val="21"/>
                      <w:szCs w:val="21"/>
                    </w:rPr>
                    <w:t>监测</w:t>
                  </w:r>
                  <w:r>
                    <w:rPr>
                      <w:sz w:val="21"/>
                      <w:szCs w:val="21"/>
                    </w:rPr>
                    <w:t>结果</w:t>
                  </w:r>
                </w:p>
              </w:tc>
              <w:tc>
                <w:tcPr>
                  <w:tcW w:w="1011" w:type="pct"/>
                  <w:tcBorders>
                    <w:tl2br w:val="nil"/>
                    <w:tr2bl w:val="nil"/>
                  </w:tcBorders>
                  <w:vAlign w:val="center"/>
                </w:tcPr>
                <w:p w14:paraId="6E04F620">
                  <w:pPr>
                    <w:spacing w:line="240" w:lineRule="auto"/>
                    <w:ind w:firstLine="0" w:firstLineChars="0"/>
                    <w:jc w:val="center"/>
                    <w:rPr>
                      <w:sz w:val="21"/>
                      <w:szCs w:val="21"/>
                    </w:rPr>
                  </w:pPr>
                  <w:r>
                    <w:rPr>
                      <w:sz w:val="21"/>
                      <w:szCs w:val="21"/>
                    </w:rPr>
                    <w:t>标准限值</w:t>
                  </w:r>
                </w:p>
              </w:tc>
              <w:tc>
                <w:tcPr>
                  <w:tcW w:w="847" w:type="pct"/>
                  <w:tcBorders>
                    <w:tl2br w:val="nil"/>
                    <w:tr2bl w:val="nil"/>
                  </w:tcBorders>
                  <w:vAlign w:val="center"/>
                </w:tcPr>
                <w:p w14:paraId="3BF6A480">
                  <w:pPr>
                    <w:spacing w:line="240" w:lineRule="auto"/>
                    <w:ind w:firstLine="0" w:firstLineChars="0"/>
                    <w:jc w:val="center"/>
                    <w:rPr>
                      <w:sz w:val="21"/>
                      <w:szCs w:val="21"/>
                    </w:rPr>
                  </w:pPr>
                  <w:r>
                    <w:rPr>
                      <w:sz w:val="21"/>
                      <w:szCs w:val="21"/>
                    </w:rPr>
                    <w:t>达标</w:t>
                  </w:r>
                  <w:r>
                    <w:rPr>
                      <w:rFonts w:hint="eastAsia"/>
                      <w:sz w:val="21"/>
                      <w:szCs w:val="21"/>
                    </w:rPr>
                    <w:t>情况</w:t>
                  </w:r>
                </w:p>
              </w:tc>
            </w:tr>
            <w:tr w14:paraId="0C2F3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04" w:type="pct"/>
                  <w:tcBorders>
                    <w:tl2br w:val="nil"/>
                    <w:tr2bl w:val="nil"/>
                  </w:tcBorders>
                  <w:vAlign w:val="center"/>
                </w:tcPr>
                <w:p w14:paraId="5DE97B15">
                  <w:pPr>
                    <w:spacing w:line="240" w:lineRule="auto"/>
                    <w:ind w:firstLine="0" w:firstLineChars="0"/>
                    <w:jc w:val="center"/>
                    <w:rPr>
                      <w:sz w:val="21"/>
                      <w:szCs w:val="21"/>
                    </w:rPr>
                  </w:pPr>
                  <w:r>
                    <w:rPr>
                      <w:sz w:val="21"/>
                      <w:szCs w:val="21"/>
                    </w:rPr>
                    <w:t>pH值</w:t>
                  </w:r>
                </w:p>
              </w:tc>
              <w:tc>
                <w:tcPr>
                  <w:tcW w:w="836" w:type="pct"/>
                  <w:tcBorders>
                    <w:tl2br w:val="nil"/>
                    <w:tr2bl w:val="nil"/>
                  </w:tcBorders>
                  <w:vAlign w:val="center"/>
                </w:tcPr>
                <w:p w14:paraId="7D363497">
                  <w:pPr>
                    <w:spacing w:line="240" w:lineRule="auto"/>
                    <w:ind w:firstLine="0" w:firstLineChars="0"/>
                    <w:jc w:val="center"/>
                    <w:rPr>
                      <w:sz w:val="21"/>
                      <w:szCs w:val="21"/>
                    </w:rPr>
                  </w:pPr>
                  <w:r>
                    <w:rPr>
                      <w:sz w:val="21"/>
                      <w:szCs w:val="21"/>
                    </w:rPr>
                    <w:t>无量纲</w:t>
                  </w:r>
                </w:p>
              </w:tc>
              <w:tc>
                <w:tcPr>
                  <w:tcW w:w="899" w:type="pct"/>
                  <w:tcBorders>
                    <w:tl2br w:val="nil"/>
                    <w:tr2bl w:val="nil"/>
                  </w:tcBorders>
                  <w:vAlign w:val="center"/>
                </w:tcPr>
                <w:p w14:paraId="22816759">
                  <w:pPr>
                    <w:spacing w:line="240" w:lineRule="auto"/>
                    <w:ind w:firstLine="0" w:firstLineChars="0"/>
                    <w:jc w:val="center"/>
                    <w:rPr>
                      <w:sz w:val="21"/>
                      <w:szCs w:val="21"/>
                    </w:rPr>
                  </w:pPr>
                  <w:r>
                    <w:rPr>
                      <w:rFonts w:hint="eastAsia"/>
                      <w:sz w:val="21"/>
                      <w:szCs w:val="21"/>
                    </w:rPr>
                    <w:t>6.68</w:t>
                  </w:r>
                </w:p>
              </w:tc>
              <w:tc>
                <w:tcPr>
                  <w:tcW w:w="1011" w:type="pct"/>
                  <w:tcBorders>
                    <w:tl2br w:val="nil"/>
                    <w:tr2bl w:val="nil"/>
                  </w:tcBorders>
                  <w:vAlign w:val="center"/>
                </w:tcPr>
                <w:p w14:paraId="12275A70">
                  <w:pPr>
                    <w:spacing w:line="240" w:lineRule="auto"/>
                    <w:ind w:firstLine="0" w:firstLineChars="0"/>
                    <w:jc w:val="center"/>
                    <w:rPr>
                      <w:sz w:val="21"/>
                      <w:szCs w:val="21"/>
                    </w:rPr>
                  </w:pPr>
                  <w:r>
                    <w:rPr>
                      <w:sz w:val="21"/>
                      <w:szCs w:val="21"/>
                    </w:rPr>
                    <w:t>——</w:t>
                  </w:r>
                </w:p>
              </w:tc>
              <w:tc>
                <w:tcPr>
                  <w:tcW w:w="847" w:type="pct"/>
                  <w:tcBorders>
                    <w:tl2br w:val="nil"/>
                    <w:tr2bl w:val="nil"/>
                  </w:tcBorders>
                  <w:vAlign w:val="center"/>
                </w:tcPr>
                <w:p w14:paraId="1CE3E923">
                  <w:pPr>
                    <w:spacing w:line="240" w:lineRule="auto"/>
                    <w:ind w:firstLine="0" w:firstLineChars="0"/>
                    <w:jc w:val="center"/>
                    <w:rPr>
                      <w:sz w:val="21"/>
                      <w:szCs w:val="21"/>
                    </w:rPr>
                  </w:pPr>
                  <w:r>
                    <w:rPr>
                      <w:sz w:val="21"/>
                      <w:szCs w:val="21"/>
                    </w:rPr>
                    <w:t>——</w:t>
                  </w:r>
                </w:p>
              </w:tc>
            </w:tr>
            <w:tr w14:paraId="28ACB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04" w:type="pct"/>
                  <w:tcBorders>
                    <w:tl2br w:val="nil"/>
                    <w:tr2bl w:val="nil"/>
                  </w:tcBorders>
                  <w:vAlign w:val="center"/>
                </w:tcPr>
                <w:p w14:paraId="5B886966">
                  <w:pPr>
                    <w:spacing w:line="240" w:lineRule="auto"/>
                    <w:ind w:firstLine="0" w:firstLineChars="0"/>
                    <w:jc w:val="center"/>
                    <w:rPr>
                      <w:sz w:val="21"/>
                      <w:szCs w:val="21"/>
                    </w:rPr>
                  </w:pPr>
                  <w:r>
                    <w:rPr>
                      <w:sz w:val="21"/>
                      <w:szCs w:val="21"/>
                    </w:rPr>
                    <w:t>砷</w:t>
                  </w:r>
                </w:p>
              </w:tc>
              <w:tc>
                <w:tcPr>
                  <w:tcW w:w="836" w:type="pct"/>
                  <w:tcBorders>
                    <w:tl2br w:val="nil"/>
                    <w:tr2bl w:val="nil"/>
                  </w:tcBorders>
                  <w:vAlign w:val="center"/>
                </w:tcPr>
                <w:p w14:paraId="395EF536">
                  <w:pPr>
                    <w:spacing w:line="240" w:lineRule="auto"/>
                    <w:ind w:firstLine="0" w:firstLineChars="0"/>
                    <w:jc w:val="center"/>
                    <w:rPr>
                      <w:sz w:val="21"/>
                      <w:szCs w:val="21"/>
                    </w:rPr>
                  </w:pPr>
                  <w:r>
                    <w:rPr>
                      <w:sz w:val="21"/>
                      <w:szCs w:val="21"/>
                    </w:rPr>
                    <w:t>mg/kg</w:t>
                  </w:r>
                </w:p>
              </w:tc>
              <w:tc>
                <w:tcPr>
                  <w:tcW w:w="899" w:type="pct"/>
                  <w:tcBorders>
                    <w:tl2br w:val="nil"/>
                    <w:tr2bl w:val="nil"/>
                  </w:tcBorders>
                  <w:vAlign w:val="center"/>
                </w:tcPr>
                <w:p w14:paraId="1C1C3FB6">
                  <w:pPr>
                    <w:spacing w:line="240" w:lineRule="auto"/>
                    <w:ind w:firstLine="0" w:firstLineChars="0"/>
                    <w:jc w:val="center"/>
                    <w:rPr>
                      <w:sz w:val="21"/>
                      <w:szCs w:val="21"/>
                    </w:rPr>
                  </w:pPr>
                  <w:r>
                    <w:rPr>
                      <w:rFonts w:hint="eastAsia"/>
                      <w:sz w:val="21"/>
                      <w:szCs w:val="21"/>
                    </w:rPr>
                    <w:t>19.6</w:t>
                  </w:r>
                </w:p>
              </w:tc>
              <w:tc>
                <w:tcPr>
                  <w:tcW w:w="1011" w:type="pct"/>
                  <w:tcBorders>
                    <w:tl2br w:val="nil"/>
                    <w:tr2bl w:val="nil"/>
                  </w:tcBorders>
                  <w:shd w:val="clear" w:color="auto" w:fill="auto"/>
                  <w:vAlign w:val="center"/>
                </w:tcPr>
                <w:p w14:paraId="6B49F794">
                  <w:pPr>
                    <w:spacing w:line="240" w:lineRule="auto"/>
                    <w:ind w:firstLine="0" w:firstLineChars="0"/>
                    <w:jc w:val="center"/>
                    <w:rPr>
                      <w:sz w:val="21"/>
                      <w:szCs w:val="21"/>
                    </w:rPr>
                  </w:pPr>
                  <w:r>
                    <w:rPr>
                      <w:sz w:val="21"/>
                      <w:szCs w:val="21"/>
                    </w:rPr>
                    <w:t>60a</w:t>
                  </w:r>
                </w:p>
              </w:tc>
              <w:tc>
                <w:tcPr>
                  <w:tcW w:w="847" w:type="pct"/>
                  <w:tcBorders>
                    <w:tl2br w:val="nil"/>
                    <w:tr2bl w:val="nil"/>
                  </w:tcBorders>
                  <w:vAlign w:val="center"/>
                </w:tcPr>
                <w:p w14:paraId="0B8C85D2">
                  <w:pPr>
                    <w:spacing w:line="240" w:lineRule="auto"/>
                    <w:ind w:firstLine="0" w:firstLineChars="0"/>
                    <w:jc w:val="center"/>
                    <w:rPr>
                      <w:sz w:val="21"/>
                      <w:szCs w:val="21"/>
                    </w:rPr>
                  </w:pPr>
                  <w:r>
                    <w:rPr>
                      <w:sz w:val="21"/>
                      <w:szCs w:val="21"/>
                    </w:rPr>
                    <w:t>达标</w:t>
                  </w:r>
                </w:p>
              </w:tc>
            </w:tr>
            <w:tr w14:paraId="70924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04" w:type="pct"/>
                  <w:tcBorders>
                    <w:tl2br w:val="nil"/>
                    <w:tr2bl w:val="nil"/>
                  </w:tcBorders>
                  <w:vAlign w:val="center"/>
                </w:tcPr>
                <w:p w14:paraId="3C92BA6F">
                  <w:pPr>
                    <w:spacing w:line="240" w:lineRule="auto"/>
                    <w:ind w:firstLine="0" w:firstLineChars="0"/>
                    <w:jc w:val="center"/>
                    <w:rPr>
                      <w:sz w:val="21"/>
                      <w:szCs w:val="21"/>
                    </w:rPr>
                  </w:pPr>
                  <w:r>
                    <w:rPr>
                      <w:sz w:val="21"/>
                      <w:szCs w:val="21"/>
                    </w:rPr>
                    <w:t>镉</w:t>
                  </w:r>
                </w:p>
              </w:tc>
              <w:tc>
                <w:tcPr>
                  <w:tcW w:w="836" w:type="pct"/>
                  <w:tcBorders>
                    <w:tl2br w:val="nil"/>
                    <w:tr2bl w:val="nil"/>
                  </w:tcBorders>
                  <w:vAlign w:val="center"/>
                </w:tcPr>
                <w:p w14:paraId="28B39B9A">
                  <w:pPr>
                    <w:spacing w:line="240" w:lineRule="auto"/>
                    <w:ind w:firstLine="0" w:firstLineChars="0"/>
                    <w:jc w:val="center"/>
                    <w:rPr>
                      <w:sz w:val="21"/>
                      <w:szCs w:val="21"/>
                    </w:rPr>
                  </w:pPr>
                  <w:r>
                    <w:rPr>
                      <w:sz w:val="21"/>
                      <w:szCs w:val="21"/>
                    </w:rPr>
                    <w:t>mg/kg</w:t>
                  </w:r>
                </w:p>
              </w:tc>
              <w:tc>
                <w:tcPr>
                  <w:tcW w:w="899" w:type="pct"/>
                  <w:tcBorders>
                    <w:tl2br w:val="nil"/>
                    <w:tr2bl w:val="nil"/>
                  </w:tcBorders>
                  <w:vAlign w:val="center"/>
                </w:tcPr>
                <w:p w14:paraId="00041D23">
                  <w:pPr>
                    <w:spacing w:line="240" w:lineRule="auto"/>
                    <w:ind w:firstLine="0" w:firstLineChars="0"/>
                    <w:jc w:val="center"/>
                    <w:rPr>
                      <w:sz w:val="21"/>
                      <w:szCs w:val="21"/>
                    </w:rPr>
                  </w:pPr>
                  <w:r>
                    <w:rPr>
                      <w:rFonts w:hint="eastAsia"/>
                      <w:sz w:val="21"/>
                      <w:szCs w:val="21"/>
                    </w:rPr>
                    <w:t>0.64</w:t>
                  </w:r>
                </w:p>
              </w:tc>
              <w:tc>
                <w:tcPr>
                  <w:tcW w:w="1011" w:type="pct"/>
                  <w:tcBorders>
                    <w:tl2br w:val="nil"/>
                    <w:tr2bl w:val="nil"/>
                  </w:tcBorders>
                  <w:shd w:val="clear" w:color="auto" w:fill="auto"/>
                  <w:vAlign w:val="center"/>
                </w:tcPr>
                <w:p w14:paraId="78D396E2">
                  <w:pPr>
                    <w:spacing w:line="240" w:lineRule="auto"/>
                    <w:ind w:firstLine="0" w:firstLineChars="0"/>
                    <w:jc w:val="center"/>
                    <w:rPr>
                      <w:sz w:val="21"/>
                      <w:szCs w:val="21"/>
                    </w:rPr>
                  </w:pPr>
                  <w:r>
                    <w:rPr>
                      <w:sz w:val="21"/>
                      <w:szCs w:val="21"/>
                    </w:rPr>
                    <w:t>65</w:t>
                  </w:r>
                </w:p>
              </w:tc>
              <w:tc>
                <w:tcPr>
                  <w:tcW w:w="847" w:type="pct"/>
                  <w:tcBorders>
                    <w:tl2br w:val="nil"/>
                    <w:tr2bl w:val="nil"/>
                  </w:tcBorders>
                  <w:vAlign w:val="center"/>
                </w:tcPr>
                <w:p w14:paraId="7E8766D1">
                  <w:pPr>
                    <w:spacing w:line="240" w:lineRule="auto"/>
                    <w:ind w:firstLine="0" w:firstLineChars="0"/>
                    <w:jc w:val="center"/>
                    <w:rPr>
                      <w:sz w:val="21"/>
                      <w:szCs w:val="21"/>
                    </w:rPr>
                  </w:pPr>
                  <w:r>
                    <w:rPr>
                      <w:sz w:val="21"/>
                      <w:szCs w:val="21"/>
                    </w:rPr>
                    <w:t>达标</w:t>
                  </w:r>
                </w:p>
              </w:tc>
            </w:tr>
            <w:tr w14:paraId="2D89F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04" w:type="pct"/>
                  <w:tcBorders>
                    <w:tl2br w:val="nil"/>
                    <w:tr2bl w:val="nil"/>
                  </w:tcBorders>
                  <w:vAlign w:val="center"/>
                </w:tcPr>
                <w:p w14:paraId="1FE90BC7">
                  <w:pPr>
                    <w:spacing w:line="240" w:lineRule="auto"/>
                    <w:ind w:firstLine="0" w:firstLineChars="0"/>
                    <w:jc w:val="center"/>
                    <w:rPr>
                      <w:sz w:val="21"/>
                      <w:szCs w:val="21"/>
                    </w:rPr>
                  </w:pPr>
                  <w:r>
                    <w:rPr>
                      <w:sz w:val="21"/>
                      <w:szCs w:val="21"/>
                    </w:rPr>
                    <w:t>六价铬</w:t>
                  </w:r>
                </w:p>
              </w:tc>
              <w:tc>
                <w:tcPr>
                  <w:tcW w:w="836" w:type="pct"/>
                  <w:tcBorders>
                    <w:tl2br w:val="nil"/>
                    <w:tr2bl w:val="nil"/>
                  </w:tcBorders>
                  <w:vAlign w:val="center"/>
                </w:tcPr>
                <w:p w14:paraId="52B324A8">
                  <w:pPr>
                    <w:spacing w:line="240" w:lineRule="auto"/>
                    <w:ind w:firstLine="0" w:firstLineChars="0"/>
                    <w:jc w:val="center"/>
                    <w:rPr>
                      <w:sz w:val="21"/>
                      <w:szCs w:val="21"/>
                    </w:rPr>
                  </w:pPr>
                  <w:r>
                    <w:rPr>
                      <w:sz w:val="21"/>
                      <w:szCs w:val="21"/>
                    </w:rPr>
                    <w:t>mg/kg</w:t>
                  </w:r>
                </w:p>
              </w:tc>
              <w:tc>
                <w:tcPr>
                  <w:tcW w:w="899" w:type="pct"/>
                  <w:tcBorders>
                    <w:tl2br w:val="nil"/>
                    <w:tr2bl w:val="nil"/>
                  </w:tcBorders>
                  <w:vAlign w:val="center"/>
                </w:tcPr>
                <w:p w14:paraId="0497322B">
                  <w:pPr>
                    <w:spacing w:line="240" w:lineRule="auto"/>
                    <w:ind w:firstLine="0" w:firstLineChars="0"/>
                    <w:jc w:val="center"/>
                    <w:rPr>
                      <w:sz w:val="21"/>
                      <w:szCs w:val="21"/>
                    </w:rPr>
                  </w:pPr>
                  <w:r>
                    <w:rPr>
                      <w:rFonts w:hint="eastAsia"/>
                      <w:sz w:val="21"/>
                      <w:szCs w:val="21"/>
                    </w:rPr>
                    <w:t>0.5L</w:t>
                  </w:r>
                </w:p>
              </w:tc>
              <w:tc>
                <w:tcPr>
                  <w:tcW w:w="1011" w:type="pct"/>
                  <w:tcBorders>
                    <w:tl2br w:val="nil"/>
                    <w:tr2bl w:val="nil"/>
                  </w:tcBorders>
                  <w:shd w:val="clear" w:color="auto" w:fill="auto"/>
                  <w:vAlign w:val="center"/>
                </w:tcPr>
                <w:p w14:paraId="504A3314">
                  <w:pPr>
                    <w:spacing w:line="240" w:lineRule="auto"/>
                    <w:ind w:firstLine="0" w:firstLineChars="0"/>
                    <w:jc w:val="center"/>
                    <w:rPr>
                      <w:sz w:val="21"/>
                      <w:szCs w:val="21"/>
                    </w:rPr>
                  </w:pPr>
                  <w:r>
                    <w:rPr>
                      <w:sz w:val="21"/>
                      <w:szCs w:val="21"/>
                    </w:rPr>
                    <w:t>5.7</w:t>
                  </w:r>
                </w:p>
              </w:tc>
              <w:tc>
                <w:tcPr>
                  <w:tcW w:w="847" w:type="pct"/>
                  <w:tcBorders>
                    <w:tl2br w:val="nil"/>
                    <w:tr2bl w:val="nil"/>
                  </w:tcBorders>
                  <w:vAlign w:val="center"/>
                </w:tcPr>
                <w:p w14:paraId="384A1B0D">
                  <w:pPr>
                    <w:spacing w:line="240" w:lineRule="auto"/>
                    <w:ind w:firstLine="0" w:firstLineChars="0"/>
                    <w:jc w:val="center"/>
                    <w:rPr>
                      <w:sz w:val="21"/>
                      <w:szCs w:val="21"/>
                    </w:rPr>
                  </w:pPr>
                  <w:r>
                    <w:rPr>
                      <w:sz w:val="21"/>
                      <w:szCs w:val="21"/>
                    </w:rPr>
                    <w:t>达标</w:t>
                  </w:r>
                </w:p>
              </w:tc>
            </w:tr>
            <w:tr w14:paraId="189B6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04" w:type="pct"/>
                  <w:tcBorders>
                    <w:tl2br w:val="nil"/>
                    <w:tr2bl w:val="nil"/>
                  </w:tcBorders>
                  <w:vAlign w:val="center"/>
                </w:tcPr>
                <w:p w14:paraId="7818B54C">
                  <w:pPr>
                    <w:spacing w:line="240" w:lineRule="auto"/>
                    <w:ind w:firstLine="0" w:firstLineChars="0"/>
                    <w:jc w:val="center"/>
                    <w:rPr>
                      <w:sz w:val="21"/>
                      <w:szCs w:val="21"/>
                    </w:rPr>
                  </w:pPr>
                  <w:r>
                    <w:rPr>
                      <w:sz w:val="21"/>
                      <w:szCs w:val="21"/>
                    </w:rPr>
                    <w:t>铜</w:t>
                  </w:r>
                </w:p>
              </w:tc>
              <w:tc>
                <w:tcPr>
                  <w:tcW w:w="836" w:type="pct"/>
                  <w:tcBorders>
                    <w:tl2br w:val="nil"/>
                    <w:tr2bl w:val="nil"/>
                  </w:tcBorders>
                  <w:vAlign w:val="center"/>
                </w:tcPr>
                <w:p w14:paraId="51FB459F">
                  <w:pPr>
                    <w:spacing w:line="240" w:lineRule="auto"/>
                    <w:ind w:firstLine="0" w:firstLineChars="0"/>
                    <w:jc w:val="center"/>
                    <w:rPr>
                      <w:sz w:val="21"/>
                      <w:szCs w:val="21"/>
                    </w:rPr>
                  </w:pPr>
                  <w:r>
                    <w:rPr>
                      <w:sz w:val="21"/>
                      <w:szCs w:val="21"/>
                    </w:rPr>
                    <w:t>mg/kg</w:t>
                  </w:r>
                </w:p>
              </w:tc>
              <w:tc>
                <w:tcPr>
                  <w:tcW w:w="899" w:type="pct"/>
                  <w:tcBorders>
                    <w:tl2br w:val="nil"/>
                    <w:tr2bl w:val="nil"/>
                  </w:tcBorders>
                  <w:vAlign w:val="center"/>
                </w:tcPr>
                <w:p w14:paraId="0711D42B">
                  <w:pPr>
                    <w:spacing w:line="240" w:lineRule="auto"/>
                    <w:ind w:firstLine="0" w:firstLineChars="0"/>
                    <w:jc w:val="center"/>
                    <w:rPr>
                      <w:sz w:val="21"/>
                      <w:szCs w:val="21"/>
                    </w:rPr>
                  </w:pPr>
                  <w:r>
                    <w:rPr>
                      <w:rFonts w:hint="eastAsia"/>
                      <w:sz w:val="21"/>
                      <w:szCs w:val="21"/>
                    </w:rPr>
                    <w:t>50</w:t>
                  </w:r>
                </w:p>
              </w:tc>
              <w:tc>
                <w:tcPr>
                  <w:tcW w:w="1011" w:type="pct"/>
                  <w:tcBorders>
                    <w:tl2br w:val="nil"/>
                    <w:tr2bl w:val="nil"/>
                  </w:tcBorders>
                  <w:shd w:val="clear" w:color="auto" w:fill="auto"/>
                  <w:vAlign w:val="center"/>
                </w:tcPr>
                <w:p w14:paraId="5E747653">
                  <w:pPr>
                    <w:spacing w:line="240" w:lineRule="auto"/>
                    <w:ind w:firstLine="0" w:firstLineChars="0"/>
                    <w:jc w:val="center"/>
                    <w:rPr>
                      <w:sz w:val="21"/>
                      <w:szCs w:val="21"/>
                    </w:rPr>
                  </w:pPr>
                  <w:r>
                    <w:rPr>
                      <w:sz w:val="21"/>
                      <w:szCs w:val="21"/>
                    </w:rPr>
                    <w:t>18000</w:t>
                  </w:r>
                </w:p>
              </w:tc>
              <w:tc>
                <w:tcPr>
                  <w:tcW w:w="847" w:type="pct"/>
                  <w:tcBorders>
                    <w:tl2br w:val="nil"/>
                    <w:tr2bl w:val="nil"/>
                  </w:tcBorders>
                  <w:vAlign w:val="center"/>
                </w:tcPr>
                <w:p w14:paraId="78BB1131">
                  <w:pPr>
                    <w:spacing w:line="240" w:lineRule="auto"/>
                    <w:ind w:firstLine="0" w:firstLineChars="0"/>
                    <w:jc w:val="center"/>
                    <w:rPr>
                      <w:sz w:val="21"/>
                      <w:szCs w:val="21"/>
                    </w:rPr>
                  </w:pPr>
                  <w:r>
                    <w:rPr>
                      <w:sz w:val="21"/>
                      <w:szCs w:val="21"/>
                    </w:rPr>
                    <w:t>达标</w:t>
                  </w:r>
                </w:p>
              </w:tc>
            </w:tr>
            <w:tr w14:paraId="250E2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04" w:type="pct"/>
                  <w:tcBorders>
                    <w:tl2br w:val="nil"/>
                    <w:tr2bl w:val="nil"/>
                  </w:tcBorders>
                  <w:vAlign w:val="center"/>
                </w:tcPr>
                <w:p w14:paraId="4D7B186F">
                  <w:pPr>
                    <w:spacing w:line="240" w:lineRule="auto"/>
                    <w:ind w:firstLine="0" w:firstLineChars="0"/>
                    <w:jc w:val="center"/>
                    <w:rPr>
                      <w:sz w:val="21"/>
                      <w:szCs w:val="21"/>
                    </w:rPr>
                  </w:pPr>
                  <w:r>
                    <w:rPr>
                      <w:sz w:val="21"/>
                      <w:szCs w:val="21"/>
                    </w:rPr>
                    <w:t>铅</w:t>
                  </w:r>
                </w:p>
              </w:tc>
              <w:tc>
                <w:tcPr>
                  <w:tcW w:w="836" w:type="pct"/>
                  <w:tcBorders>
                    <w:tl2br w:val="nil"/>
                    <w:tr2bl w:val="nil"/>
                  </w:tcBorders>
                  <w:vAlign w:val="center"/>
                </w:tcPr>
                <w:p w14:paraId="3F1A9C30">
                  <w:pPr>
                    <w:spacing w:line="240" w:lineRule="auto"/>
                    <w:ind w:firstLine="0" w:firstLineChars="0"/>
                    <w:jc w:val="center"/>
                    <w:rPr>
                      <w:sz w:val="21"/>
                      <w:szCs w:val="21"/>
                    </w:rPr>
                  </w:pPr>
                  <w:r>
                    <w:rPr>
                      <w:sz w:val="21"/>
                      <w:szCs w:val="21"/>
                    </w:rPr>
                    <w:t>mg/kg</w:t>
                  </w:r>
                </w:p>
              </w:tc>
              <w:tc>
                <w:tcPr>
                  <w:tcW w:w="899" w:type="pct"/>
                  <w:tcBorders>
                    <w:tl2br w:val="nil"/>
                    <w:tr2bl w:val="nil"/>
                  </w:tcBorders>
                  <w:vAlign w:val="center"/>
                </w:tcPr>
                <w:p w14:paraId="14E0B554">
                  <w:pPr>
                    <w:spacing w:line="240" w:lineRule="auto"/>
                    <w:ind w:firstLine="0" w:firstLineChars="0"/>
                    <w:jc w:val="center"/>
                    <w:rPr>
                      <w:sz w:val="21"/>
                      <w:szCs w:val="21"/>
                    </w:rPr>
                  </w:pPr>
                  <w:r>
                    <w:rPr>
                      <w:rFonts w:hint="eastAsia"/>
                      <w:sz w:val="21"/>
                      <w:szCs w:val="21"/>
                    </w:rPr>
                    <w:t>28</w:t>
                  </w:r>
                </w:p>
              </w:tc>
              <w:tc>
                <w:tcPr>
                  <w:tcW w:w="1011" w:type="pct"/>
                  <w:tcBorders>
                    <w:tl2br w:val="nil"/>
                    <w:tr2bl w:val="nil"/>
                  </w:tcBorders>
                  <w:shd w:val="clear" w:color="auto" w:fill="auto"/>
                  <w:vAlign w:val="center"/>
                </w:tcPr>
                <w:p w14:paraId="5730981C">
                  <w:pPr>
                    <w:spacing w:line="240" w:lineRule="auto"/>
                    <w:ind w:firstLine="0" w:firstLineChars="0"/>
                    <w:jc w:val="center"/>
                    <w:rPr>
                      <w:sz w:val="21"/>
                      <w:szCs w:val="21"/>
                    </w:rPr>
                  </w:pPr>
                  <w:r>
                    <w:rPr>
                      <w:sz w:val="21"/>
                      <w:szCs w:val="21"/>
                    </w:rPr>
                    <w:t>800</w:t>
                  </w:r>
                </w:p>
              </w:tc>
              <w:tc>
                <w:tcPr>
                  <w:tcW w:w="847" w:type="pct"/>
                  <w:tcBorders>
                    <w:tl2br w:val="nil"/>
                    <w:tr2bl w:val="nil"/>
                  </w:tcBorders>
                  <w:vAlign w:val="center"/>
                </w:tcPr>
                <w:p w14:paraId="227C044B">
                  <w:pPr>
                    <w:spacing w:line="240" w:lineRule="auto"/>
                    <w:ind w:firstLine="0" w:firstLineChars="0"/>
                    <w:jc w:val="center"/>
                    <w:rPr>
                      <w:sz w:val="21"/>
                      <w:szCs w:val="21"/>
                    </w:rPr>
                  </w:pPr>
                  <w:r>
                    <w:rPr>
                      <w:sz w:val="21"/>
                      <w:szCs w:val="21"/>
                    </w:rPr>
                    <w:t>达标</w:t>
                  </w:r>
                </w:p>
              </w:tc>
            </w:tr>
            <w:tr w14:paraId="556EF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04" w:type="pct"/>
                  <w:tcBorders>
                    <w:tl2br w:val="nil"/>
                    <w:tr2bl w:val="nil"/>
                  </w:tcBorders>
                  <w:vAlign w:val="center"/>
                </w:tcPr>
                <w:p w14:paraId="0C524D14">
                  <w:pPr>
                    <w:spacing w:line="240" w:lineRule="auto"/>
                    <w:ind w:firstLine="0" w:firstLineChars="0"/>
                    <w:jc w:val="center"/>
                    <w:rPr>
                      <w:sz w:val="21"/>
                      <w:szCs w:val="21"/>
                    </w:rPr>
                  </w:pPr>
                  <w:r>
                    <w:rPr>
                      <w:sz w:val="21"/>
                      <w:szCs w:val="21"/>
                    </w:rPr>
                    <w:t>汞</w:t>
                  </w:r>
                </w:p>
              </w:tc>
              <w:tc>
                <w:tcPr>
                  <w:tcW w:w="836" w:type="pct"/>
                  <w:tcBorders>
                    <w:tl2br w:val="nil"/>
                    <w:tr2bl w:val="nil"/>
                  </w:tcBorders>
                  <w:vAlign w:val="center"/>
                </w:tcPr>
                <w:p w14:paraId="79185D87">
                  <w:pPr>
                    <w:spacing w:line="240" w:lineRule="auto"/>
                    <w:ind w:firstLine="0" w:firstLineChars="0"/>
                    <w:jc w:val="center"/>
                    <w:rPr>
                      <w:sz w:val="21"/>
                      <w:szCs w:val="21"/>
                    </w:rPr>
                  </w:pPr>
                  <w:r>
                    <w:rPr>
                      <w:sz w:val="21"/>
                      <w:szCs w:val="21"/>
                    </w:rPr>
                    <w:t>mg/kg</w:t>
                  </w:r>
                </w:p>
              </w:tc>
              <w:tc>
                <w:tcPr>
                  <w:tcW w:w="899" w:type="pct"/>
                  <w:tcBorders>
                    <w:tl2br w:val="nil"/>
                    <w:tr2bl w:val="nil"/>
                  </w:tcBorders>
                  <w:vAlign w:val="center"/>
                </w:tcPr>
                <w:p w14:paraId="5891D29A">
                  <w:pPr>
                    <w:spacing w:line="240" w:lineRule="auto"/>
                    <w:ind w:firstLine="0" w:firstLineChars="0"/>
                    <w:jc w:val="center"/>
                    <w:rPr>
                      <w:sz w:val="21"/>
                      <w:szCs w:val="21"/>
                    </w:rPr>
                  </w:pPr>
                  <w:r>
                    <w:rPr>
                      <w:rFonts w:hint="eastAsia"/>
                      <w:sz w:val="21"/>
                      <w:szCs w:val="21"/>
                    </w:rPr>
                    <w:t>0.482</w:t>
                  </w:r>
                </w:p>
              </w:tc>
              <w:tc>
                <w:tcPr>
                  <w:tcW w:w="1011" w:type="pct"/>
                  <w:tcBorders>
                    <w:tl2br w:val="nil"/>
                    <w:tr2bl w:val="nil"/>
                  </w:tcBorders>
                  <w:shd w:val="clear" w:color="auto" w:fill="auto"/>
                  <w:vAlign w:val="center"/>
                </w:tcPr>
                <w:p w14:paraId="50CD415D">
                  <w:pPr>
                    <w:spacing w:line="240" w:lineRule="auto"/>
                    <w:ind w:firstLine="0" w:firstLineChars="0"/>
                    <w:jc w:val="center"/>
                    <w:rPr>
                      <w:sz w:val="21"/>
                      <w:szCs w:val="21"/>
                    </w:rPr>
                  </w:pPr>
                  <w:r>
                    <w:rPr>
                      <w:sz w:val="21"/>
                      <w:szCs w:val="21"/>
                    </w:rPr>
                    <w:t>38</w:t>
                  </w:r>
                </w:p>
              </w:tc>
              <w:tc>
                <w:tcPr>
                  <w:tcW w:w="847" w:type="pct"/>
                  <w:tcBorders>
                    <w:tl2br w:val="nil"/>
                    <w:tr2bl w:val="nil"/>
                  </w:tcBorders>
                  <w:vAlign w:val="center"/>
                </w:tcPr>
                <w:p w14:paraId="2A1813AE">
                  <w:pPr>
                    <w:spacing w:line="240" w:lineRule="auto"/>
                    <w:ind w:firstLine="0" w:firstLineChars="0"/>
                    <w:jc w:val="center"/>
                    <w:rPr>
                      <w:sz w:val="21"/>
                      <w:szCs w:val="21"/>
                    </w:rPr>
                  </w:pPr>
                  <w:r>
                    <w:rPr>
                      <w:sz w:val="21"/>
                      <w:szCs w:val="21"/>
                    </w:rPr>
                    <w:t>达标</w:t>
                  </w:r>
                </w:p>
              </w:tc>
            </w:tr>
            <w:tr w14:paraId="73963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04" w:type="pct"/>
                  <w:tcBorders>
                    <w:tl2br w:val="nil"/>
                    <w:tr2bl w:val="nil"/>
                  </w:tcBorders>
                  <w:vAlign w:val="center"/>
                </w:tcPr>
                <w:p w14:paraId="602E1555">
                  <w:pPr>
                    <w:spacing w:line="240" w:lineRule="auto"/>
                    <w:ind w:firstLine="0" w:firstLineChars="0"/>
                    <w:jc w:val="center"/>
                    <w:rPr>
                      <w:sz w:val="21"/>
                      <w:szCs w:val="21"/>
                    </w:rPr>
                  </w:pPr>
                  <w:r>
                    <w:rPr>
                      <w:sz w:val="21"/>
                      <w:szCs w:val="21"/>
                    </w:rPr>
                    <w:t>镍</w:t>
                  </w:r>
                </w:p>
              </w:tc>
              <w:tc>
                <w:tcPr>
                  <w:tcW w:w="836" w:type="pct"/>
                  <w:tcBorders>
                    <w:tl2br w:val="nil"/>
                    <w:tr2bl w:val="nil"/>
                  </w:tcBorders>
                  <w:vAlign w:val="center"/>
                </w:tcPr>
                <w:p w14:paraId="3650E232">
                  <w:pPr>
                    <w:spacing w:line="240" w:lineRule="auto"/>
                    <w:ind w:firstLine="0" w:firstLineChars="0"/>
                    <w:jc w:val="center"/>
                    <w:rPr>
                      <w:sz w:val="21"/>
                      <w:szCs w:val="21"/>
                    </w:rPr>
                  </w:pPr>
                  <w:r>
                    <w:rPr>
                      <w:sz w:val="21"/>
                      <w:szCs w:val="21"/>
                    </w:rPr>
                    <w:t>mg/kg</w:t>
                  </w:r>
                </w:p>
              </w:tc>
              <w:tc>
                <w:tcPr>
                  <w:tcW w:w="899" w:type="pct"/>
                  <w:tcBorders>
                    <w:tl2br w:val="nil"/>
                    <w:tr2bl w:val="nil"/>
                  </w:tcBorders>
                  <w:vAlign w:val="center"/>
                </w:tcPr>
                <w:p w14:paraId="77A6614F">
                  <w:pPr>
                    <w:spacing w:line="240" w:lineRule="auto"/>
                    <w:ind w:firstLine="0" w:firstLineChars="0"/>
                    <w:jc w:val="center"/>
                    <w:rPr>
                      <w:sz w:val="21"/>
                      <w:szCs w:val="21"/>
                    </w:rPr>
                  </w:pPr>
                  <w:r>
                    <w:rPr>
                      <w:rFonts w:hint="eastAsia"/>
                      <w:sz w:val="21"/>
                      <w:szCs w:val="21"/>
                    </w:rPr>
                    <w:t>22</w:t>
                  </w:r>
                </w:p>
              </w:tc>
              <w:tc>
                <w:tcPr>
                  <w:tcW w:w="1011" w:type="pct"/>
                  <w:tcBorders>
                    <w:tl2br w:val="nil"/>
                    <w:tr2bl w:val="nil"/>
                  </w:tcBorders>
                  <w:shd w:val="clear" w:color="auto" w:fill="auto"/>
                  <w:vAlign w:val="center"/>
                </w:tcPr>
                <w:p w14:paraId="7C03FE91">
                  <w:pPr>
                    <w:spacing w:line="240" w:lineRule="auto"/>
                    <w:ind w:firstLine="0" w:firstLineChars="0"/>
                    <w:jc w:val="center"/>
                    <w:rPr>
                      <w:sz w:val="21"/>
                      <w:szCs w:val="21"/>
                    </w:rPr>
                  </w:pPr>
                  <w:r>
                    <w:rPr>
                      <w:sz w:val="21"/>
                      <w:szCs w:val="21"/>
                    </w:rPr>
                    <w:t>900</w:t>
                  </w:r>
                </w:p>
              </w:tc>
              <w:tc>
                <w:tcPr>
                  <w:tcW w:w="847" w:type="pct"/>
                  <w:tcBorders>
                    <w:tl2br w:val="nil"/>
                    <w:tr2bl w:val="nil"/>
                  </w:tcBorders>
                  <w:vAlign w:val="center"/>
                </w:tcPr>
                <w:p w14:paraId="6C6F7011">
                  <w:pPr>
                    <w:spacing w:line="240" w:lineRule="auto"/>
                    <w:ind w:firstLine="0" w:firstLineChars="0"/>
                    <w:jc w:val="center"/>
                    <w:rPr>
                      <w:sz w:val="21"/>
                      <w:szCs w:val="21"/>
                    </w:rPr>
                  </w:pPr>
                  <w:r>
                    <w:rPr>
                      <w:sz w:val="21"/>
                      <w:szCs w:val="21"/>
                    </w:rPr>
                    <w:t>达标</w:t>
                  </w:r>
                </w:p>
              </w:tc>
            </w:tr>
            <w:tr w14:paraId="509D1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04" w:type="pct"/>
                  <w:tcBorders>
                    <w:tl2br w:val="nil"/>
                    <w:tr2bl w:val="nil"/>
                  </w:tcBorders>
                  <w:vAlign w:val="center"/>
                </w:tcPr>
                <w:p w14:paraId="1368FF85">
                  <w:pPr>
                    <w:spacing w:line="240" w:lineRule="auto"/>
                    <w:ind w:firstLine="0" w:firstLineChars="0"/>
                    <w:jc w:val="center"/>
                    <w:rPr>
                      <w:sz w:val="21"/>
                      <w:szCs w:val="21"/>
                    </w:rPr>
                  </w:pPr>
                  <w:r>
                    <w:rPr>
                      <w:rFonts w:hint="eastAsia"/>
                      <w:sz w:val="21"/>
                      <w:szCs w:val="21"/>
                    </w:rPr>
                    <w:t>石油烃（C10-C40）</w:t>
                  </w:r>
                </w:p>
              </w:tc>
              <w:tc>
                <w:tcPr>
                  <w:tcW w:w="836" w:type="pct"/>
                  <w:tcBorders>
                    <w:tl2br w:val="nil"/>
                    <w:tr2bl w:val="nil"/>
                  </w:tcBorders>
                  <w:vAlign w:val="center"/>
                </w:tcPr>
                <w:p w14:paraId="4A85AABA">
                  <w:pPr>
                    <w:spacing w:line="240" w:lineRule="auto"/>
                    <w:ind w:firstLine="0" w:firstLineChars="0"/>
                    <w:jc w:val="center"/>
                    <w:rPr>
                      <w:sz w:val="21"/>
                      <w:szCs w:val="21"/>
                    </w:rPr>
                  </w:pPr>
                  <w:r>
                    <w:rPr>
                      <w:rFonts w:hint="eastAsia"/>
                      <w:sz w:val="21"/>
                      <w:szCs w:val="21"/>
                    </w:rPr>
                    <w:t>mg/kg</w:t>
                  </w:r>
                </w:p>
              </w:tc>
              <w:tc>
                <w:tcPr>
                  <w:tcW w:w="899" w:type="pct"/>
                  <w:tcBorders>
                    <w:tl2br w:val="nil"/>
                    <w:tr2bl w:val="nil"/>
                  </w:tcBorders>
                  <w:vAlign w:val="center"/>
                </w:tcPr>
                <w:p w14:paraId="70CA9980">
                  <w:pPr>
                    <w:spacing w:line="240" w:lineRule="auto"/>
                    <w:ind w:firstLine="0" w:firstLineChars="0"/>
                    <w:jc w:val="center"/>
                    <w:rPr>
                      <w:sz w:val="21"/>
                      <w:szCs w:val="21"/>
                    </w:rPr>
                  </w:pPr>
                  <w:r>
                    <w:rPr>
                      <w:rFonts w:hint="eastAsia"/>
                      <w:sz w:val="21"/>
                      <w:szCs w:val="21"/>
                    </w:rPr>
                    <w:t>68</w:t>
                  </w:r>
                </w:p>
              </w:tc>
              <w:tc>
                <w:tcPr>
                  <w:tcW w:w="1011" w:type="pct"/>
                  <w:tcBorders>
                    <w:tl2br w:val="nil"/>
                    <w:tr2bl w:val="nil"/>
                  </w:tcBorders>
                  <w:vAlign w:val="center"/>
                </w:tcPr>
                <w:p w14:paraId="65ACA696">
                  <w:pPr>
                    <w:spacing w:line="240" w:lineRule="auto"/>
                    <w:ind w:firstLine="0" w:firstLineChars="0"/>
                    <w:jc w:val="center"/>
                    <w:rPr>
                      <w:sz w:val="21"/>
                      <w:szCs w:val="21"/>
                    </w:rPr>
                  </w:pPr>
                  <w:r>
                    <w:rPr>
                      <w:rFonts w:hint="eastAsia"/>
                      <w:sz w:val="21"/>
                      <w:szCs w:val="21"/>
                    </w:rPr>
                    <w:t>4500</w:t>
                  </w:r>
                </w:p>
              </w:tc>
              <w:tc>
                <w:tcPr>
                  <w:tcW w:w="847" w:type="pct"/>
                  <w:tcBorders>
                    <w:tl2br w:val="nil"/>
                    <w:tr2bl w:val="nil"/>
                  </w:tcBorders>
                  <w:vAlign w:val="center"/>
                </w:tcPr>
                <w:p w14:paraId="4FAA40E7">
                  <w:pPr>
                    <w:spacing w:line="240" w:lineRule="auto"/>
                    <w:ind w:firstLine="0" w:firstLineChars="0"/>
                    <w:jc w:val="center"/>
                    <w:rPr>
                      <w:sz w:val="21"/>
                      <w:szCs w:val="21"/>
                    </w:rPr>
                  </w:pPr>
                  <w:r>
                    <w:rPr>
                      <w:sz w:val="21"/>
                      <w:szCs w:val="21"/>
                    </w:rPr>
                    <w:t>达标</w:t>
                  </w:r>
                </w:p>
              </w:tc>
            </w:tr>
            <w:tr w14:paraId="0D439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04" w:type="pct"/>
                  <w:tcBorders>
                    <w:tl2br w:val="nil"/>
                    <w:tr2bl w:val="nil"/>
                  </w:tcBorders>
                  <w:shd w:val="clear" w:color="auto" w:fill="auto"/>
                  <w:vAlign w:val="center"/>
                </w:tcPr>
                <w:p w14:paraId="5E40CA66">
                  <w:pPr>
                    <w:spacing w:line="240" w:lineRule="auto"/>
                    <w:ind w:firstLine="0" w:firstLineChars="0"/>
                    <w:jc w:val="center"/>
                    <w:rPr>
                      <w:sz w:val="21"/>
                      <w:szCs w:val="21"/>
                    </w:rPr>
                  </w:pPr>
                  <w:r>
                    <w:rPr>
                      <w:sz w:val="21"/>
                      <w:szCs w:val="21"/>
                    </w:rPr>
                    <w:t>四氯化碳</w:t>
                  </w:r>
                </w:p>
              </w:tc>
              <w:tc>
                <w:tcPr>
                  <w:tcW w:w="836" w:type="pct"/>
                  <w:tcBorders>
                    <w:tl2br w:val="nil"/>
                    <w:tr2bl w:val="nil"/>
                  </w:tcBorders>
                  <w:shd w:val="clear" w:color="auto" w:fill="auto"/>
                  <w:vAlign w:val="center"/>
                </w:tcPr>
                <w:p w14:paraId="2EDEC2EA">
                  <w:pPr>
                    <w:spacing w:line="240" w:lineRule="auto"/>
                    <w:ind w:firstLine="0" w:firstLineChars="0"/>
                    <w:jc w:val="center"/>
                    <w:rPr>
                      <w:sz w:val="21"/>
                      <w:szCs w:val="21"/>
                    </w:rPr>
                  </w:pPr>
                  <w:r>
                    <w:rPr>
                      <w:sz w:val="21"/>
                      <w:szCs w:val="21"/>
                    </w:rPr>
                    <w:t>µg/kg</w:t>
                  </w:r>
                </w:p>
              </w:tc>
              <w:tc>
                <w:tcPr>
                  <w:tcW w:w="899" w:type="pct"/>
                  <w:tcBorders>
                    <w:tl2br w:val="nil"/>
                    <w:tr2bl w:val="nil"/>
                  </w:tcBorders>
                  <w:shd w:val="clear" w:color="auto" w:fill="auto"/>
                  <w:vAlign w:val="center"/>
                </w:tcPr>
                <w:p w14:paraId="419CADA2">
                  <w:pPr>
                    <w:widowControl/>
                    <w:spacing w:line="240" w:lineRule="exact"/>
                    <w:ind w:firstLine="0" w:firstLineChars="0"/>
                    <w:jc w:val="center"/>
                    <w:rPr>
                      <w:sz w:val="21"/>
                      <w:szCs w:val="21"/>
                    </w:rPr>
                  </w:pPr>
                  <w:r>
                    <w:rPr>
                      <w:rFonts w:hint="eastAsia" w:ascii="Arial" w:hAnsi="Arial"/>
                      <w:sz w:val="20"/>
                      <w:szCs w:val="20"/>
                    </w:rPr>
                    <w:t>1.3L</w:t>
                  </w:r>
                </w:p>
              </w:tc>
              <w:tc>
                <w:tcPr>
                  <w:tcW w:w="1011" w:type="pct"/>
                  <w:tcBorders>
                    <w:tl2br w:val="nil"/>
                    <w:tr2bl w:val="nil"/>
                  </w:tcBorders>
                  <w:shd w:val="clear" w:color="auto" w:fill="auto"/>
                  <w:vAlign w:val="center"/>
                </w:tcPr>
                <w:p w14:paraId="4F84A887">
                  <w:pPr>
                    <w:spacing w:line="240" w:lineRule="auto"/>
                    <w:ind w:firstLine="0" w:firstLineChars="0"/>
                    <w:jc w:val="center"/>
                    <w:rPr>
                      <w:sz w:val="21"/>
                      <w:szCs w:val="21"/>
                    </w:rPr>
                  </w:pPr>
                  <w:r>
                    <w:rPr>
                      <w:sz w:val="21"/>
                      <w:szCs w:val="21"/>
                    </w:rPr>
                    <w:t>2.8</w:t>
                  </w:r>
                </w:p>
              </w:tc>
              <w:tc>
                <w:tcPr>
                  <w:tcW w:w="847" w:type="pct"/>
                  <w:tcBorders>
                    <w:tl2br w:val="nil"/>
                    <w:tr2bl w:val="nil"/>
                  </w:tcBorders>
                  <w:shd w:val="clear" w:color="auto" w:fill="auto"/>
                  <w:vAlign w:val="center"/>
                </w:tcPr>
                <w:p w14:paraId="1BBE3DC8">
                  <w:pPr>
                    <w:spacing w:line="240" w:lineRule="auto"/>
                    <w:ind w:firstLine="0" w:firstLineChars="0"/>
                    <w:jc w:val="center"/>
                    <w:rPr>
                      <w:sz w:val="21"/>
                      <w:szCs w:val="21"/>
                    </w:rPr>
                  </w:pPr>
                  <w:r>
                    <w:rPr>
                      <w:sz w:val="21"/>
                      <w:szCs w:val="21"/>
                    </w:rPr>
                    <w:t>达标</w:t>
                  </w:r>
                </w:p>
              </w:tc>
            </w:tr>
            <w:tr w14:paraId="10F95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04" w:type="pct"/>
                  <w:tcBorders>
                    <w:tl2br w:val="nil"/>
                    <w:tr2bl w:val="nil"/>
                  </w:tcBorders>
                  <w:shd w:val="clear" w:color="auto" w:fill="auto"/>
                  <w:vAlign w:val="center"/>
                </w:tcPr>
                <w:p w14:paraId="529338B8">
                  <w:pPr>
                    <w:spacing w:line="240" w:lineRule="auto"/>
                    <w:ind w:firstLine="0" w:firstLineChars="0"/>
                    <w:jc w:val="center"/>
                    <w:rPr>
                      <w:sz w:val="21"/>
                      <w:szCs w:val="21"/>
                    </w:rPr>
                  </w:pPr>
                  <w:r>
                    <w:rPr>
                      <w:sz w:val="21"/>
                      <w:szCs w:val="21"/>
                    </w:rPr>
                    <w:t>氯仿</w:t>
                  </w:r>
                </w:p>
              </w:tc>
              <w:tc>
                <w:tcPr>
                  <w:tcW w:w="836" w:type="pct"/>
                  <w:tcBorders>
                    <w:tl2br w:val="nil"/>
                    <w:tr2bl w:val="nil"/>
                  </w:tcBorders>
                  <w:shd w:val="clear" w:color="auto" w:fill="auto"/>
                  <w:vAlign w:val="center"/>
                </w:tcPr>
                <w:p w14:paraId="6A1179CB">
                  <w:pPr>
                    <w:spacing w:line="240" w:lineRule="auto"/>
                    <w:ind w:firstLine="0" w:firstLineChars="0"/>
                    <w:jc w:val="center"/>
                    <w:rPr>
                      <w:sz w:val="21"/>
                      <w:szCs w:val="21"/>
                    </w:rPr>
                  </w:pPr>
                  <w:r>
                    <w:rPr>
                      <w:sz w:val="21"/>
                      <w:szCs w:val="21"/>
                    </w:rPr>
                    <w:t>µg/kg</w:t>
                  </w:r>
                </w:p>
              </w:tc>
              <w:tc>
                <w:tcPr>
                  <w:tcW w:w="899" w:type="pct"/>
                  <w:tcBorders>
                    <w:tl2br w:val="nil"/>
                    <w:tr2bl w:val="nil"/>
                  </w:tcBorders>
                  <w:shd w:val="clear" w:color="auto" w:fill="auto"/>
                  <w:vAlign w:val="center"/>
                </w:tcPr>
                <w:p w14:paraId="345251F2">
                  <w:pPr>
                    <w:widowControl/>
                    <w:spacing w:line="240" w:lineRule="exact"/>
                    <w:ind w:firstLine="0" w:firstLineChars="0"/>
                    <w:jc w:val="center"/>
                    <w:rPr>
                      <w:sz w:val="21"/>
                      <w:szCs w:val="21"/>
                    </w:rPr>
                  </w:pPr>
                  <w:r>
                    <w:rPr>
                      <w:rFonts w:hint="eastAsia" w:ascii="Arial" w:hAnsi="Arial"/>
                      <w:sz w:val="20"/>
                      <w:szCs w:val="20"/>
                    </w:rPr>
                    <w:t>1.1L</w:t>
                  </w:r>
                </w:p>
              </w:tc>
              <w:tc>
                <w:tcPr>
                  <w:tcW w:w="1011" w:type="pct"/>
                  <w:tcBorders>
                    <w:tl2br w:val="nil"/>
                    <w:tr2bl w:val="nil"/>
                  </w:tcBorders>
                  <w:shd w:val="clear" w:color="auto" w:fill="auto"/>
                  <w:vAlign w:val="center"/>
                </w:tcPr>
                <w:p w14:paraId="4FD0C785">
                  <w:pPr>
                    <w:spacing w:line="240" w:lineRule="auto"/>
                    <w:ind w:firstLine="0" w:firstLineChars="0"/>
                    <w:jc w:val="center"/>
                    <w:rPr>
                      <w:sz w:val="21"/>
                      <w:szCs w:val="21"/>
                    </w:rPr>
                  </w:pPr>
                  <w:r>
                    <w:rPr>
                      <w:sz w:val="21"/>
                      <w:szCs w:val="21"/>
                    </w:rPr>
                    <w:t>0.9</w:t>
                  </w:r>
                </w:p>
              </w:tc>
              <w:tc>
                <w:tcPr>
                  <w:tcW w:w="847" w:type="pct"/>
                  <w:tcBorders>
                    <w:tl2br w:val="nil"/>
                    <w:tr2bl w:val="nil"/>
                  </w:tcBorders>
                  <w:shd w:val="clear" w:color="auto" w:fill="auto"/>
                  <w:vAlign w:val="center"/>
                </w:tcPr>
                <w:p w14:paraId="1936BD44">
                  <w:pPr>
                    <w:spacing w:line="240" w:lineRule="auto"/>
                    <w:ind w:firstLine="0" w:firstLineChars="0"/>
                    <w:jc w:val="center"/>
                    <w:rPr>
                      <w:sz w:val="21"/>
                      <w:szCs w:val="21"/>
                    </w:rPr>
                  </w:pPr>
                  <w:r>
                    <w:rPr>
                      <w:sz w:val="21"/>
                      <w:szCs w:val="21"/>
                    </w:rPr>
                    <w:t>达标</w:t>
                  </w:r>
                </w:p>
              </w:tc>
            </w:tr>
            <w:tr w14:paraId="1AD27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04" w:type="pct"/>
                  <w:tcBorders>
                    <w:tl2br w:val="nil"/>
                    <w:tr2bl w:val="nil"/>
                  </w:tcBorders>
                  <w:shd w:val="clear" w:color="auto" w:fill="auto"/>
                  <w:vAlign w:val="center"/>
                </w:tcPr>
                <w:p w14:paraId="6F753C22">
                  <w:pPr>
                    <w:spacing w:line="240" w:lineRule="auto"/>
                    <w:ind w:firstLine="0" w:firstLineChars="0"/>
                    <w:jc w:val="center"/>
                    <w:rPr>
                      <w:sz w:val="21"/>
                      <w:szCs w:val="21"/>
                    </w:rPr>
                  </w:pPr>
                  <w:r>
                    <w:rPr>
                      <w:sz w:val="21"/>
                      <w:szCs w:val="21"/>
                    </w:rPr>
                    <w:t>氯甲烷</w:t>
                  </w:r>
                </w:p>
              </w:tc>
              <w:tc>
                <w:tcPr>
                  <w:tcW w:w="836" w:type="pct"/>
                  <w:tcBorders>
                    <w:tl2br w:val="nil"/>
                    <w:tr2bl w:val="nil"/>
                  </w:tcBorders>
                  <w:shd w:val="clear" w:color="auto" w:fill="auto"/>
                  <w:vAlign w:val="center"/>
                </w:tcPr>
                <w:p w14:paraId="24B53230">
                  <w:pPr>
                    <w:spacing w:line="240" w:lineRule="auto"/>
                    <w:ind w:firstLine="0" w:firstLineChars="0"/>
                    <w:jc w:val="center"/>
                    <w:rPr>
                      <w:sz w:val="21"/>
                      <w:szCs w:val="21"/>
                    </w:rPr>
                  </w:pPr>
                  <w:r>
                    <w:rPr>
                      <w:sz w:val="21"/>
                      <w:szCs w:val="21"/>
                    </w:rPr>
                    <w:t>µg/kg</w:t>
                  </w:r>
                </w:p>
              </w:tc>
              <w:tc>
                <w:tcPr>
                  <w:tcW w:w="899" w:type="pct"/>
                  <w:tcBorders>
                    <w:tl2br w:val="nil"/>
                    <w:tr2bl w:val="nil"/>
                  </w:tcBorders>
                  <w:shd w:val="clear" w:color="auto" w:fill="auto"/>
                  <w:vAlign w:val="center"/>
                </w:tcPr>
                <w:p w14:paraId="481556CF">
                  <w:pPr>
                    <w:widowControl/>
                    <w:spacing w:line="240" w:lineRule="exact"/>
                    <w:ind w:firstLine="0" w:firstLineChars="0"/>
                    <w:jc w:val="center"/>
                    <w:rPr>
                      <w:sz w:val="21"/>
                      <w:szCs w:val="21"/>
                    </w:rPr>
                  </w:pPr>
                  <w:r>
                    <w:rPr>
                      <w:rFonts w:hint="eastAsia" w:ascii="Arial" w:hAnsi="Arial"/>
                      <w:sz w:val="20"/>
                      <w:szCs w:val="20"/>
                    </w:rPr>
                    <w:t>1.0L</w:t>
                  </w:r>
                </w:p>
              </w:tc>
              <w:tc>
                <w:tcPr>
                  <w:tcW w:w="1011" w:type="pct"/>
                  <w:tcBorders>
                    <w:tl2br w:val="nil"/>
                    <w:tr2bl w:val="nil"/>
                  </w:tcBorders>
                  <w:shd w:val="clear" w:color="auto" w:fill="auto"/>
                  <w:vAlign w:val="center"/>
                </w:tcPr>
                <w:p w14:paraId="3A47CC09">
                  <w:pPr>
                    <w:spacing w:line="240" w:lineRule="auto"/>
                    <w:ind w:firstLine="0" w:firstLineChars="0"/>
                    <w:jc w:val="center"/>
                    <w:rPr>
                      <w:sz w:val="21"/>
                      <w:szCs w:val="21"/>
                    </w:rPr>
                  </w:pPr>
                  <w:r>
                    <w:rPr>
                      <w:sz w:val="21"/>
                      <w:szCs w:val="21"/>
                    </w:rPr>
                    <w:t>37</w:t>
                  </w:r>
                </w:p>
              </w:tc>
              <w:tc>
                <w:tcPr>
                  <w:tcW w:w="847" w:type="pct"/>
                  <w:tcBorders>
                    <w:tl2br w:val="nil"/>
                    <w:tr2bl w:val="nil"/>
                  </w:tcBorders>
                  <w:shd w:val="clear" w:color="auto" w:fill="auto"/>
                  <w:vAlign w:val="center"/>
                </w:tcPr>
                <w:p w14:paraId="0EE01253">
                  <w:pPr>
                    <w:spacing w:line="240" w:lineRule="auto"/>
                    <w:ind w:firstLine="0" w:firstLineChars="0"/>
                    <w:jc w:val="center"/>
                    <w:rPr>
                      <w:sz w:val="21"/>
                      <w:szCs w:val="21"/>
                    </w:rPr>
                  </w:pPr>
                  <w:r>
                    <w:rPr>
                      <w:sz w:val="21"/>
                      <w:szCs w:val="21"/>
                    </w:rPr>
                    <w:t>达标</w:t>
                  </w:r>
                </w:p>
              </w:tc>
            </w:tr>
            <w:tr w14:paraId="09E1E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04" w:type="pct"/>
                  <w:tcBorders>
                    <w:tl2br w:val="nil"/>
                    <w:tr2bl w:val="nil"/>
                  </w:tcBorders>
                  <w:shd w:val="clear" w:color="auto" w:fill="auto"/>
                  <w:vAlign w:val="center"/>
                </w:tcPr>
                <w:p w14:paraId="675D85D2">
                  <w:pPr>
                    <w:spacing w:line="240" w:lineRule="auto"/>
                    <w:ind w:firstLine="0" w:firstLineChars="0"/>
                    <w:jc w:val="center"/>
                    <w:rPr>
                      <w:sz w:val="21"/>
                      <w:szCs w:val="21"/>
                    </w:rPr>
                  </w:pPr>
                  <w:r>
                    <w:rPr>
                      <w:sz w:val="21"/>
                      <w:szCs w:val="21"/>
                    </w:rPr>
                    <w:t>1,1-二氯乙烷</w:t>
                  </w:r>
                </w:p>
              </w:tc>
              <w:tc>
                <w:tcPr>
                  <w:tcW w:w="836" w:type="pct"/>
                  <w:tcBorders>
                    <w:tl2br w:val="nil"/>
                    <w:tr2bl w:val="nil"/>
                  </w:tcBorders>
                  <w:shd w:val="clear" w:color="auto" w:fill="auto"/>
                  <w:vAlign w:val="center"/>
                </w:tcPr>
                <w:p w14:paraId="78623813">
                  <w:pPr>
                    <w:spacing w:line="240" w:lineRule="auto"/>
                    <w:ind w:firstLine="0" w:firstLineChars="0"/>
                    <w:jc w:val="center"/>
                    <w:rPr>
                      <w:sz w:val="21"/>
                      <w:szCs w:val="21"/>
                    </w:rPr>
                  </w:pPr>
                  <w:r>
                    <w:rPr>
                      <w:sz w:val="21"/>
                      <w:szCs w:val="21"/>
                    </w:rPr>
                    <w:t>µg/kg</w:t>
                  </w:r>
                </w:p>
              </w:tc>
              <w:tc>
                <w:tcPr>
                  <w:tcW w:w="899" w:type="pct"/>
                  <w:tcBorders>
                    <w:tl2br w:val="nil"/>
                    <w:tr2bl w:val="nil"/>
                  </w:tcBorders>
                  <w:shd w:val="clear" w:color="auto" w:fill="auto"/>
                  <w:vAlign w:val="center"/>
                </w:tcPr>
                <w:p w14:paraId="61AB03AB">
                  <w:pPr>
                    <w:widowControl/>
                    <w:spacing w:line="240" w:lineRule="exact"/>
                    <w:ind w:firstLine="0" w:firstLineChars="0"/>
                    <w:jc w:val="center"/>
                    <w:rPr>
                      <w:sz w:val="21"/>
                      <w:szCs w:val="21"/>
                    </w:rPr>
                  </w:pPr>
                  <w:r>
                    <w:rPr>
                      <w:rFonts w:hint="eastAsia" w:ascii="Arial" w:hAnsi="Arial"/>
                      <w:sz w:val="20"/>
                      <w:szCs w:val="20"/>
                    </w:rPr>
                    <w:t>1.2L</w:t>
                  </w:r>
                </w:p>
              </w:tc>
              <w:tc>
                <w:tcPr>
                  <w:tcW w:w="1011" w:type="pct"/>
                  <w:tcBorders>
                    <w:tl2br w:val="nil"/>
                    <w:tr2bl w:val="nil"/>
                  </w:tcBorders>
                  <w:shd w:val="clear" w:color="auto" w:fill="auto"/>
                  <w:vAlign w:val="center"/>
                </w:tcPr>
                <w:p w14:paraId="2F1CF804">
                  <w:pPr>
                    <w:spacing w:line="240" w:lineRule="auto"/>
                    <w:ind w:firstLine="0" w:firstLineChars="0"/>
                    <w:jc w:val="center"/>
                    <w:rPr>
                      <w:sz w:val="21"/>
                      <w:szCs w:val="21"/>
                    </w:rPr>
                  </w:pPr>
                  <w:r>
                    <w:rPr>
                      <w:sz w:val="21"/>
                      <w:szCs w:val="21"/>
                    </w:rPr>
                    <w:t>9</w:t>
                  </w:r>
                </w:p>
              </w:tc>
              <w:tc>
                <w:tcPr>
                  <w:tcW w:w="847" w:type="pct"/>
                  <w:tcBorders>
                    <w:tl2br w:val="nil"/>
                    <w:tr2bl w:val="nil"/>
                  </w:tcBorders>
                  <w:shd w:val="clear" w:color="auto" w:fill="auto"/>
                  <w:vAlign w:val="center"/>
                </w:tcPr>
                <w:p w14:paraId="46CF723C">
                  <w:pPr>
                    <w:spacing w:line="240" w:lineRule="auto"/>
                    <w:ind w:firstLine="0" w:firstLineChars="0"/>
                    <w:jc w:val="center"/>
                    <w:rPr>
                      <w:sz w:val="21"/>
                      <w:szCs w:val="21"/>
                    </w:rPr>
                  </w:pPr>
                  <w:r>
                    <w:rPr>
                      <w:sz w:val="21"/>
                      <w:szCs w:val="21"/>
                    </w:rPr>
                    <w:t>达标</w:t>
                  </w:r>
                </w:p>
              </w:tc>
            </w:tr>
            <w:tr w14:paraId="5D831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04" w:type="pct"/>
                  <w:tcBorders>
                    <w:tl2br w:val="nil"/>
                    <w:tr2bl w:val="nil"/>
                  </w:tcBorders>
                  <w:shd w:val="clear" w:color="auto" w:fill="auto"/>
                  <w:vAlign w:val="center"/>
                </w:tcPr>
                <w:p w14:paraId="14F3A658">
                  <w:pPr>
                    <w:spacing w:line="240" w:lineRule="auto"/>
                    <w:ind w:firstLine="0" w:firstLineChars="0"/>
                    <w:jc w:val="center"/>
                    <w:rPr>
                      <w:sz w:val="21"/>
                      <w:szCs w:val="21"/>
                    </w:rPr>
                  </w:pPr>
                  <w:r>
                    <w:rPr>
                      <w:sz w:val="21"/>
                      <w:szCs w:val="21"/>
                    </w:rPr>
                    <w:t>1,2-二氯乙烷</w:t>
                  </w:r>
                </w:p>
              </w:tc>
              <w:tc>
                <w:tcPr>
                  <w:tcW w:w="836" w:type="pct"/>
                  <w:tcBorders>
                    <w:tl2br w:val="nil"/>
                    <w:tr2bl w:val="nil"/>
                  </w:tcBorders>
                  <w:shd w:val="clear" w:color="auto" w:fill="auto"/>
                  <w:vAlign w:val="center"/>
                </w:tcPr>
                <w:p w14:paraId="5152366E">
                  <w:pPr>
                    <w:spacing w:line="240" w:lineRule="auto"/>
                    <w:ind w:firstLine="0" w:firstLineChars="0"/>
                    <w:jc w:val="center"/>
                    <w:rPr>
                      <w:sz w:val="21"/>
                      <w:szCs w:val="21"/>
                    </w:rPr>
                  </w:pPr>
                  <w:r>
                    <w:rPr>
                      <w:sz w:val="21"/>
                      <w:szCs w:val="21"/>
                    </w:rPr>
                    <w:t>µg/kg</w:t>
                  </w:r>
                </w:p>
              </w:tc>
              <w:tc>
                <w:tcPr>
                  <w:tcW w:w="899" w:type="pct"/>
                  <w:tcBorders>
                    <w:tl2br w:val="nil"/>
                    <w:tr2bl w:val="nil"/>
                  </w:tcBorders>
                  <w:shd w:val="clear" w:color="auto" w:fill="auto"/>
                  <w:vAlign w:val="center"/>
                </w:tcPr>
                <w:p w14:paraId="30D4EDF0">
                  <w:pPr>
                    <w:widowControl/>
                    <w:spacing w:line="240" w:lineRule="exact"/>
                    <w:ind w:firstLine="0" w:firstLineChars="0"/>
                    <w:jc w:val="center"/>
                    <w:rPr>
                      <w:sz w:val="21"/>
                      <w:szCs w:val="21"/>
                    </w:rPr>
                  </w:pPr>
                  <w:r>
                    <w:rPr>
                      <w:rFonts w:hint="eastAsia" w:ascii="Arial" w:hAnsi="Arial"/>
                      <w:sz w:val="20"/>
                      <w:szCs w:val="20"/>
                    </w:rPr>
                    <w:t>1.3L</w:t>
                  </w:r>
                </w:p>
              </w:tc>
              <w:tc>
                <w:tcPr>
                  <w:tcW w:w="1011" w:type="pct"/>
                  <w:tcBorders>
                    <w:tl2br w:val="nil"/>
                    <w:tr2bl w:val="nil"/>
                  </w:tcBorders>
                  <w:shd w:val="clear" w:color="auto" w:fill="auto"/>
                  <w:vAlign w:val="center"/>
                </w:tcPr>
                <w:p w14:paraId="3B51C438">
                  <w:pPr>
                    <w:spacing w:line="240" w:lineRule="auto"/>
                    <w:ind w:firstLine="0" w:firstLineChars="0"/>
                    <w:jc w:val="center"/>
                    <w:rPr>
                      <w:sz w:val="21"/>
                      <w:szCs w:val="21"/>
                    </w:rPr>
                  </w:pPr>
                  <w:r>
                    <w:rPr>
                      <w:sz w:val="21"/>
                      <w:szCs w:val="21"/>
                    </w:rPr>
                    <w:t>5</w:t>
                  </w:r>
                </w:p>
              </w:tc>
              <w:tc>
                <w:tcPr>
                  <w:tcW w:w="847" w:type="pct"/>
                  <w:tcBorders>
                    <w:tl2br w:val="nil"/>
                    <w:tr2bl w:val="nil"/>
                  </w:tcBorders>
                  <w:shd w:val="clear" w:color="auto" w:fill="auto"/>
                  <w:vAlign w:val="center"/>
                </w:tcPr>
                <w:p w14:paraId="39AD25FB">
                  <w:pPr>
                    <w:spacing w:line="240" w:lineRule="auto"/>
                    <w:ind w:firstLine="0" w:firstLineChars="0"/>
                    <w:jc w:val="center"/>
                    <w:rPr>
                      <w:sz w:val="21"/>
                      <w:szCs w:val="21"/>
                    </w:rPr>
                  </w:pPr>
                  <w:r>
                    <w:rPr>
                      <w:sz w:val="21"/>
                      <w:szCs w:val="21"/>
                    </w:rPr>
                    <w:t>达标</w:t>
                  </w:r>
                </w:p>
              </w:tc>
            </w:tr>
            <w:tr w14:paraId="4BCD0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04" w:type="pct"/>
                  <w:tcBorders>
                    <w:tl2br w:val="nil"/>
                    <w:tr2bl w:val="nil"/>
                  </w:tcBorders>
                  <w:shd w:val="clear" w:color="auto" w:fill="auto"/>
                  <w:vAlign w:val="center"/>
                </w:tcPr>
                <w:p w14:paraId="231FEF40">
                  <w:pPr>
                    <w:spacing w:line="240" w:lineRule="auto"/>
                    <w:ind w:firstLine="0" w:firstLineChars="0"/>
                    <w:jc w:val="center"/>
                    <w:rPr>
                      <w:sz w:val="21"/>
                      <w:szCs w:val="21"/>
                    </w:rPr>
                  </w:pPr>
                  <w:r>
                    <w:rPr>
                      <w:sz w:val="21"/>
                      <w:szCs w:val="21"/>
                    </w:rPr>
                    <w:t>1,1-二氯乙烯</w:t>
                  </w:r>
                </w:p>
              </w:tc>
              <w:tc>
                <w:tcPr>
                  <w:tcW w:w="836" w:type="pct"/>
                  <w:tcBorders>
                    <w:tl2br w:val="nil"/>
                    <w:tr2bl w:val="nil"/>
                  </w:tcBorders>
                  <w:shd w:val="clear" w:color="auto" w:fill="auto"/>
                  <w:vAlign w:val="center"/>
                </w:tcPr>
                <w:p w14:paraId="119B19F0">
                  <w:pPr>
                    <w:spacing w:line="240" w:lineRule="auto"/>
                    <w:ind w:firstLine="0" w:firstLineChars="0"/>
                    <w:jc w:val="center"/>
                    <w:rPr>
                      <w:sz w:val="21"/>
                      <w:szCs w:val="21"/>
                    </w:rPr>
                  </w:pPr>
                  <w:r>
                    <w:rPr>
                      <w:sz w:val="21"/>
                      <w:szCs w:val="21"/>
                    </w:rPr>
                    <w:t>µg/kg</w:t>
                  </w:r>
                </w:p>
              </w:tc>
              <w:tc>
                <w:tcPr>
                  <w:tcW w:w="899" w:type="pct"/>
                  <w:tcBorders>
                    <w:tl2br w:val="nil"/>
                    <w:tr2bl w:val="nil"/>
                  </w:tcBorders>
                  <w:shd w:val="clear" w:color="auto" w:fill="auto"/>
                  <w:vAlign w:val="center"/>
                </w:tcPr>
                <w:p w14:paraId="5D404AE6">
                  <w:pPr>
                    <w:widowControl/>
                    <w:spacing w:line="240" w:lineRule="exact"/>
                    <w:ind w:firstLine="0" w:firstLineChars="0"/>
                    <w:jc w:val="center"/>
                    <w:rPr>
                      <w:sz w:val="21"/>
                      <w:szCs w:val="21"/>
                    </w:rPr>
                  </w:pPr>
                  <w:r>
                    <w:rPr>
                      <w:rFonts w:hint="eastAsia" w:ascii="Arial" w:hAnsi="Arial"/>
                      <w:sz w:val="20"/>
                      <w:szCs w:val="20"/>
                    </w:rPr>
                    <w:t>1.0L</w:t>
                  </w:r>
                </w:p>
              </w:tc>
              <w:tc>
                <w:tcPr>
                  <w:tcW w:w="1011" w:type="pct"/>
                  <w:tcBorders>
                    <w:tl2br w:val="nil"/>
                    <w:tr2bl w:val="nil"/>
                  </w:tcBorders>
                  <w:shd w:val="clear" w:color="auto" w:fill="auto"/>
                  <w:vAlign w:val="center"/>
                </w:tcPr>
                <w:p w14:paraId="5A441BDE">
                  <w:pPr>
                    <w:spacing w:line="240" w:lineRule="auto"/>
                    <w:ind w:firstLine="0" w:firstLineChars="0"/>
                    <w:jc w:val="center"/>
                    <w:rPr>
                      <w:sz w:val="21"/>
                      <w:szCs w:val="21"/>
                    </w:rPr>
                  </w:pPr>
                  <w:r>
                    <w:rPr>
                      <w:sz w:val="21"/>
                      <w:szCs w:val="21"/>
                    </w:rPr>
                    <w:t>66</w:t>
                  </w:r>
                </w:p>
              </w:tc>
              <w:tc>
                <w:tcPr>
                  <w:tcW w:w="847" w:type="pct"/>
                  <w:tcBorders>
                    <w:tl2br w:val="nil"/>
                    <w:tr2bl w:val="nil"/>
                  </w:tcBorders>
                  <w:shd w:val="clear" w:color="auto" w:fill="auto"/>
                  <w:vAlign w:val="center"/>
                </w:tcPr>
                <w:p w14:paraId="7FA84347">
                  <w:pPr>
                    <w:spacing w:line="240" w:lineRule="auto"/>
                    <w:ind w:firstLine="0" w:firstLineChars="0"/>
                    <w:jc w:val="center"/>
                    <w:rPr>
                      <w:sz w:val="21"/>
                      <w:szCs w:val="21"/>
                    </w:rPr>
                  </w:pPr>
                  <w:r>
                    <w:rPr>
                      <w:sz w:val="21"/>
                      <w:szCs w:val="21"/>
                    </w:rPr>
                    <w:t>达标</w:t>
                  </w:r>
                </w:p>
              </w:tc>
            </w:tr>
            <w:tr w14:paraId="49E04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04" w:type="pct"/>
                  <w:tcBorders>
                    <w:tl2br w:val="nil"/>
                    <w:tr2bl w:val="nil"/>
                  </w:tcBorders>
                  <w:shd w:val="clear" w:color="auto" w:fill="auto"/>
                  <w:vAlign w:val="center"/>
                </w:tcPr>
                <w:p w14:paraId="565F8C8E">
                  <w:pPr>
                    <w:spacing w:line="240" w:lineRule="auto"/>
                    <w:ind w:firstLine="0" w:firstLineChars="0"/>
                    <w:jc w:val="center"/>
                    <w:rPr>
                      <w:sz w:val="21"/>
                      <w:szCs w:val="21"/>
                    </w:rPr>
                  </w:pPr>
                  <w:r>
                    <w:rPr>
                      <w:sz w:val="21"/>
                      <w:szCs w:val="21"/>
                    </w:rPr>
                    <w:t>顺式-1,2-二氯乙烯</w:t>
                  </w:r>
                </w:p>
              </w:tc>
              <w:tc>
                <w:tcPr>
                  <w:tcW w:w="836" w:type="pct"/>
                  <w:tcBorders>
                    <w:tl2br w:val="nil"/>
                    <w:tr2bl w:val="nil"/>
                  </w:tcBorders>
                  <w:shd w:val="clear" w:color="auto" w:fill="auto"/>
                  <w:vAlign w:val="center"/>
                </w:tcPr>
                <w:p w14:paraId="6ACAE533">
                  <w:pPr>
                    <w:spacing w:line="240" w:lineRule="auto"/>
                    <w:ind w:firstLine="0" w:firstLineChars="0"/>
                    <w:jc w:val="center"/>
                    <w:rPr>
                      <w:sz w:val="21"/>
                      <w:szCs w:val="21"/>
                    </w:rPr>
                  </w:pPr>
                  <w:r>
                    <w:rPr>
                      <w:sz w:val="21"/>
                      <w:szCs w:val="21"/>
                    </w:rPr>
                    <w:t>µg/kg</w:t>
                  </w:r>
                </w:p>
              </w:tc>
              <w:tc>
                <w:tcPr>
                  <w:tcW w:w="899" w:type="pct"/>
                  <w:tcBorders>
                    <w:tl2br w:val="nil"/>
                    <w:tr2bl w:val="nil"/>
                  </w:tcBorders>
                  <w:shd w:val="clear" w:color="auto" w:fill="auto"/>
                  <w:vAlign w:val="center"/>
                </w:tcPr>
                <w:p w14:paraId="71CBD10F">
                  <w:pPr>
                    <w:widowControl/>
                    <w:spacing w:line="240" w:lineRule="exact"/>
                    <w:ind w:firstLine="0" w:firstLineChars="0"/>
                    <w:jc w:val="center"/>
                    <w:rPr>
                      <w:sz w:val="21"/>
                      <w:szCs w:val="21"/>
                    </w:rPr>
                  </w:pPr>
                  <w:r>
                    <w:rPr>
                      <w:rFonts w:hint="eastAsia" w:ascii="Arial" w:hAnsi="Arial"/>
                      <w:sz w:val="20"/>
                      <w:szCs w:val="20"/>
                    </w:rPr>
                    <w:t>1.3L</w:t>
                  </w:r>
                </w:p>
              </w:tc>
              <w:tc>
                <w:tcPr>
                  <w:tcW w:w="1011" w:type="pct"/>
                  <w:tcBorders>
                    <w:tl2br w:val="nil"/>
                    <w:tr2bl w:val="nil"/>
                  </w:tcBorders>
                  <w:shd w:val="clear" w:color="auto" w:fill="auto"/>
                  <w:vAlign w:val="center"/>
                </w:tcPr>
                <w:p w14:paraId="2F875133">
                  <w:pPr>
                    <w:spacing w:line="240" w:lineRule="auto"/>
                    <w:ind w:firstLine="0" w:firstLineChars="0"/>
                    <w:jc w:val="center"/>
                    <w:rPr>
                      <w:sz w:val="21"/>
                      <w:szCs w:val="21"/>
                    </w:rPr>
                  </w:pPr>
                  <w:r>
                    <w:rPr>
                      <w:sz w:val="21"/>
                      <w:szCs w:val="21"/>
                    </w:rPr>
                    <w:t>596</w:t>
                  </w:r>
                </w:p>
              </w:tc>
              <w:tc>
                <w:tcPr>
                  <w:tcW w:w="847" w:type="pct"/>
                  <w:tcBorders>
                    <w:tl2br w:val="nil"/>
                    <w:tr2bl w:val="nil"/>
                  </w:tcBorders>
                  <w:shd w:val="clear" w:color="auto" w:fill="auto"/>
                  <w:vAlign w:val="center"/>
                </w:tcPr>
                <w:p w14:paraId="26AD4592">
                  <w:pPr>
                    <w:spacing w:line="240" w:lineRule="auto"/>
                    <w:ind w:firstLine="0" w:firstLineChars="0"/>
                    <w:jc w:val="center"/>
                    <w:rPr>
                      <w:sz w:val="21"/>
                      <w:szCs w:val="21"/>
                    </w:rPr>
                  </w:pPr>
                  <w:r>
                    <w:rPr>
                      <w:sz w:val="21"/>
                      <w:szCs w:val="21"/>
                    </w:rPr>
                    <w:t>达标</w:t>
                  </w:r>
                </w:p>
              </w:tc>
            </w:tr>
            <w:tr w14:paraId="5E661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04" w:type="pct"/>
                  <w:tcBorders>
                    <w:tl2br w:val="nil"/>
                    <w:tr2bl w:val="nil"/>
                  </w:tcBorders>
                  <w:shd w:val="clear" w:color="auto" w:fill="auto"/>
                  <w:vAlign w:val="center"/>
                </w:tcPr>
                <w:p w14:paraId="122D1897">
                  <w:pPr>
                    <w:spacing w:line="240" w:lineRule="auto"/>
                    <w:ind w:firstLine="0" w:firstLineChars="0"/>
                    <w:jc w:val="center"/>
                    <w:rPr>
                      <w:sz w:val="21"/>
                      <w:szCs w:val="21"/>
                    </w:rPr>
                  </w:pPr>
                  <w:r>
                    <w:rPr>
                      <w:sz w:val="21"/>
                      <w:szCs w:val="21"/>
                    </w:rPr>
                    <w:t>反式-1,2-二氯乙烯</w:t>
                  </w:r>
                </w:p>
              </w:tc>
              <w:tc>
                <w:tcPr>
                  <w:tcW w:w="836" w:type="pct"/>
                  <w:tcBorders>
                    <w:tl2br w:val="nil"/>
                    <w:tr2bl w:val="nil"/>
                  </w:tcBorders>
                  <w:shd w:val="clear" w:color="auto" w:fill="auto"/>
                  <w:vAlign w:val="center"/>
                </w:tcPr>
                <w:p w14:paraId="42ACFE22">
                  <w:pPr>
                    <w:spacing w:line="240" w:lineRule="auto"/>
                    <w:ind w:firstLine="0" w:firstLineChars="0"/>
                    <w:jc w:val="center"/>
                    <w:rPr>
                      <w:sz w:val="21"/>
                      <w:szCs w:val="21"/>
                    </w:rPr>
                  </w:pPr>
                  <w:r>
                    <w:rPr>
                      <w:sz w:val="21"/>
                      <w:szCs w:val="21"/>
                    </w:rPr>
                    <w:t>µg/kg</w:t>
                  </w:r>
                </w:p>
              </w:tc>
              <w:tc>
                <w:tcPr>
                  <w:tcW w:w="899" w:type="pct"/>
                  <w:tcBorders>
                    <w:tl2br w:val="nil"/>
                    <w:tr2bl w:val="nil"/>
                  </w:tcBorders>
                  <w:shd w:val="clear" w:color="auto" w:fill="auto"/>
                  <w:vAlign w:val="center"/>
                </w:tcPr>
                <w:p w14:paraId="63F9936D">
                  <w:pPr>
                    <w:widowControl/>
                    <w:spacing w:line="240" w:lineRule="exact"/>
                    <w:ind w:firstLine="0" w:firstLineChars="0"/>
                    <w:jc w:val="center"/>
                    <w:rPr>
                      <w:sz w:val="21"/>
                      <w:szCs w:val="21"/>
                    </w:rPr>
                  </w:pPr>
                  <w:r>
                    <w:rPr>
                      <w:rFonts w:hint="eastAsia" w:ascii="Arial" w:hAnsi="Arial"/>
                      <w:sz w:val="20"/>
                      <w:szCs w:val="20"/>
                    </w:rPr>
                    <w:t>1.4L</w:t>
                  </w:r>
                </w:p>
              </w:tc>
              <w:tc>
                <w:tcPr>
                  <w:tcW w:w="1011" w:type="pct"/>
                  <w:tcBorders>
                    <w:tl2br w:val="nil"/>
                    <w:tr2bl w:val="nil"/>
                  </w:tcBorders>
                  <w:shd w:val="clear" w:color="auto" w:fill="auto"/>
                  <w:vAlign w:val="center"/>
                </w:tcPr>
                <w:p w14:paraId="1D0A8A21">
                  <w:pPr>
                    <w:spacing w:line="240" w:lineRule="auto"/>
                    <w:ind w:firstLine="0" w:firstLineChars="0"/>
                    <w:jc w:val="center"/>
                    <w:rPr>
                      <w:sz w:val="21"/>
                      <w:szCs w:val="21"/>
                    </w:rPr>
                  </w:pPr>
                  <w:r>
                    <w:rPr>
                      <w:sz w:val="21"/>
                      <w:szCs w:val="21"/>
                    </w:rPr>
                    <w:t>54</w:t>
                  </w:r>
                </w:p>
              </w:tc>
              <w:tc>
                <w:tcPr>
                  <w:tcW w:w="847" w:type="pct"/>
                  <w:tcBorders>
                    <w:tl2br w:val="nil"/>
                    <w:tr2bl w:val="nil"/>
                  </w:tcBorders>
                  <w:shd w:val="clear" w:color="auto" w:fill="auto"/>
                  <w:vAlign w:val="center"/>
                </w:tcPr>
                <w:p w14:paraId="3EF543F0">
                  <w:pPr>
                    <w:spacing w:line="240" w:lineRule="auto"/>
                    <w:ind w:firstLine="0" w:firstLineChars="0"/>
                    <w:jc w:val="center"/>
                    <w:rPr>
                      <w:sz w:val="21"/>
                      <w:szCs w:val="21"/>
                    </w:rPr>
                  </w:pPr>
                  <w:r>
                    <w:rPr>
                      <w:sz w:val="21"/>
                      <w:szCs w:val="21"/>
                    </w:rPr>
                    <w:t>达标</w:t>
                  </w:r>
                </w:p>
              </w:tc>
            </w:tr>
            <w:tr w14:paraId="225BF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04" w:type="pct"/>
                  <w:tcBorders>
                    <w:tl2br w:val="nil"/>
                    <w:tr2bl w:val="nil"/>
                  </w:tcBorders>
                  <w:shd w:val="clear" w:color="auto" w:fill="auto"/>
                  <w:vAlign w:val="center"/>
                </w:tcPr>
                <w:p w14:paraId="3EC83425">
                  <w:pPr>
                    <w:spacing w:line="240" w:lineRule="auto"/>
                    <w:ind w:firstLine="0" w:firstLineChars="0"/>
                    <w:jc w:val="center"/>
                    <w:rPr>
                      <w:sz w:val="21"/>
                      <w:szCs w:val="21"/>
                    </w:rPr>
                  </w:pPr>
                  <w:r>
                    <w:rPr>
                      <w:sz w:val="21"/>
                      <w:szCs w:val="21"/>
                    </w:rPr>
                    <w:t>二氯甲烷</w:t>
                  </w:r>
                </w:p>
              </w:tc>
              <w:tc>
                <w:tcPr>
                  <w:tcW w:w="836" w:type="pct"/>
                  <w:tcBorders>
                    <w:tl2br w:val="nil"/>
                    <w:tr2bl w:val="nil"/>
                  </w:tcBorders>
                  <w:shd w:val="clear" w:color="auto" w:fill="auto"/>
                  <w:vAlign w:val="center"/>
                </w:tcPr>
                <w:p w14:paraId="42622D93">
                  <w:pPr>
                    <w:spacing w:line="240" w:lineRule="auto"/>
                    <w:ind w:firstLine="0" w:firstLineChars="0"/>
                    <w:jc w:val="center"/>
                    <w:rPr>
                      <w:sz w:val="21"/>
                      <w:szCs w:val="21"/>
                    </w:rPr>
                  </w:pPr>
                  <w:r>
                    <w:rPr>
                      <w:sz w:val="21"/>
                      <w:szCs w:val="21"/>
                    </w:rPr>
                    <w:t>µg/kg</w:t>
                  </w:r>
                </w:p>
              </w:tc>
              <w:tc>
                <w:tcPr>
                  <w:tcW w:w="899" w:type="pct"/>
                  <w:tcBorders>
                    <w:tl2br w:val="nil"/>
                    <w:tr2bl w:val="nil"/>
                  </w:tcBorders>
                  <w:shd w:val="clear" w:color="auto" w:fill="auto"/>
                  <w:vAlign w:val="center"/>
                </w:tcPr>
                <w:p w14:paraId="6CDEBC37">
                  <w:pPr>
                    <w:widowControl/>
                    <w:spacing w:line="240" w:lineRule="exact"/>
                    <w:ind w:firstLine="0" w:firstLineChars="0"/>
                    <w:jc w:val="center"/>
                    <w:rPr>
                      <w:sz w:val="21"/>
                      <w:szCs w:val="21"/>
                    </w:rPr>
                  </w:pPr>
                  <w:r>
                    <w:rPr>
                      <w:rFonts w:hint="eastAsia" w:ascii="Arial" w:hAnsi="Arial"/>
                      <w:sz w:val="20"/>
                      <w:szCs w:val="20"/>
                    </w:rPr>
                    <w:t>1.5L</w:t>
                  </w:r>
                </w:p>
              </w:tc>
              <w:tc>
                <w:tcPr>
                  <w:tcW w:w="1011" w:type="pct"/>
                  <w:tcBorders>
                    <w:tl2br w:val="nil"/>
                    <w:tr2bl w:val="nil"/>
                  </w:tcBorders>
                  <w:shd w:val="clear" w:color="auto" w:fill="auto"/>
                  <w:vAlign w:val="center"/>
                </w:tcPr>
                <w:p w14:paraId="0F3101BD">
                  <w:pPr>
                    <w:spacing w:line="240" w:lineRule="auto"/>
                    <w:ind w:firstLine="0" w:firstLineChars="0"/>
                    <w:jc w:val="center"/>
                    <w:rPr>
                      <w:sz w:val="21"/>
                      <w:szCs w:val="21"/>
                    </w:rPr>
                  </w:pPr>
                  <w:r>
                    <w:rPr>
                      <w:sz w:val="21"/>
                      <w:szCs w:val="21"/>
                    </w:rPr>
                    <w:t>616</w:t>
                  </w:r>
                </w:p>
              </w:tc>
              <w:tc>
                <w:tcPr>
                  <w:tcW w:w="847" w:type="pct"/>
                  <w:tcBorders>
                    <w:tl2br w:val="nil"/>
                    <w:tr2bl w:val="nil"/>
                  </w:tcBorders>
                  <w:shd w:val="clear" w:color="auto" w:fill="auto"/>
                  <w:vAlign w:val="center"/>
                </w:tcPr>
                <w:p w14:paraId="59B1B5D5">
                  <w:pPr>
                    <w:spacing w:line="240" w:lineRule="auto"/>
                    <w:ind w:firstLine="0" w:firstLineChars="0"/>
                    <w:jc w:val="center"/>
                    <w:rPr>
                      <w:sz w:val="21"/>
                      <w:szCs w:val="21"/>
                    </w:rPr>
                  </w:pPr>
                  <w:r>
                    <w:rPr>
                      <w:sz w:val="21"/>
                      <w:szCs w:val="21"/>
                    </w:rPr>
                    <w:t>达标</w:t>
                  </w:r>
                </w:p>
              </w:tc>
            </w:tr>
            <w:tr w14:paraId="3935C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04" w:type="pct"/>
                  <w:tcBorders>
                    <w:tl2br w:val="nil"/>
                    <w:tr2bl w:val="nil"/>
                  </w:tcBorders>
                  <w:shd w:val="clear" w:color="auto" w:fill="auto"/>
                  <w:vAlign w:val="center"/>
                </w:tcPr>
                <w:p w14:paraId="19F535EA">
                  <w:pPr>
                    <w:spacing w:line="240" w:lineRule="auto"/>
                    <w:ind w:firstLine="0" w:firstLineChars="0"/>
                    <w:jc w:val="center"/>
                    <w:rPr>
                      <w:sz w:val="21"/>
                      <w:szCs w:val="21"/>
                    </w:rPr>
                  </w:pPr>
                  <w:r>
                    <w:rPr>
                      <w:sz w:val="21"/>
                      <w:szCs w:val="21"/>
                    </w:rPr>
                    <w:t>1,2-二氯丙烷</w:t>
                  </w:r>
                </w:p>
              </w:tc>
              <w:tc>
                <w:tcPr>
                  <w:tcW w:w="836" w:type="pct"/>
                  <w:tcBorders>
                    <w:tl2br w:val="nil"/>
                    <w:tr2bl w:val="nil"/>
                  </w:tcBorders>
                  <w:shd w:val="clear" w:color="auto" w:fill="auto"/>
                  <w:vAlign w:val="center"/>
                </w:tcPr>
                <w:p w14:paraId="6533325A">
                  <w:pPr>
                    <w:spacing w:line="240" w:lineRule="auto"/>
                    <w:ind w:firstLine="0" w:firstLineChars="0"/>
                    <w:jc w:val="center"/>
                    <w:rPr>
                      <w:sz w:val="21"/>
                      <w:szCs w:val="21"/>
                    </w:rPr>
                  </w:pPr>
                  <w:r>
                    <w:rPr>
                      <w:sz w:val="21"/>
                      <w:szCs w:val="21"/>
                    </w:rPr>
                    <w:t>µg/kg</w:t>
                  </w:r>
                </w:p>
              </w:tc>
              <w:tc>
                <w:tcPr>
                  <w:tcW w:w="899" w:type="pct"/>
                  <w:tcBorders>
                    <w:tl2br w:val="nil"/>
                    <w:tr2bl w:val="nil"/>
                  </w:tcBorders>
                  <w:shd w:val="clear" w:color="auto" w:fill="auto"/>
                  <w:vAlign w:val="center"/>
                </w:tcPr>
                <w:p w14:paraId="5CFA3046">
                  <w:pPr>
                    <w:widowControl/>
                    <w:spacing w:line="240" w:lineRule="exact"/>
                    <w:ind w:firstLine="0" w:firstLineChars="0"/>
                    <w:jc w:val="center"/>
                    <w:rPr>
                      <w:sz w:val="21"/>
                      <w:szCs w:val="21"/>
                    </w:rPr>
                  </w:pPr>
                  <w:r>
                    <w:rPr>
                      <w:rFonts w:hint="eastAsia" w:ascii="Arial" w:hAnsi="Arial"/>
                      <w:sz w:val="20"/>
                      <w:szCs w:val="20"/>
                    </w:rPr>
                    <w:t>1.1L</w:t>
                  </w:r>
                </w:p>
              </w:tc>
              <w:tc>
                <w:tcPr>
                  <w:tcW w:w="1011" w:type="pct"/>
                  <w:tcBorders>
                    <w:tl2br w:val="nil"/>
                    <w:tr2bl w:val="nil"/>
                  </w:tcBorders>
                  <w:shd w:val="clear" w:color="auto" w:fill="auto"/>
                  <w:vAlign w:val="center"/>
                </w:tcPr>
                <w:p w14:paraId="0D828720">
                  <w:pPr>
                    <w:spacing w:line="240" w:lineRule="auto"/>
                    <w:ind w:firstLine="0" w:firstLineChars="0"/>
                    <w:jc w:val="center"/>
                    <w:rPr>
                      <w:sz w:val="21"/>
                      <w:szCs w:val="21"/>
                    </w:rPr>
                  </w:pPr>
                  <w:r>
                    <w:rPr>
                      <w:sz w:val="21"/>
                      <w:szCs w:val="21"/>
                    </w:rPr>
                    <w:t>5</w:t>
                  </w:r>
                </w:p>
              </w:tc>
              <w:tc>
                <w:tcPr>
                  <w:tcW w:w="847" w:type="pct"/>
                  <w:tcBorders>
                    <w:tl2br w:val="nil"/>
                    <w:tr2bl w:val="nil"/>
                  </w:tcBorders>
                  <w:shd w:val="clear" w:color="auto" w:fill="auto"/>
                  <w:vAlign w:val="center"/>
                </w:tcPr>
                <w:p w14:paraId="44C455B7">
                  <w:pPr>
                    <w:spacing w:line="240" w:lineRule="auto"/>
                    <w:ind w:firstLine="0" w:firstLineChars="0"/>
                    <w:jc w:val="center"/>
                    <w:rPr>
                      <w:sz w:val="21"/>
                      <w:szCs w:val="21"/>
                    </w:rPr>
                  </w:pPr>
                  <w:r>
                    <w:rPr>
                      <w:sz w:val="21"/>
                      <w:szCs w:val="21"/>
                    </w:rPr>
                    <w:t>达标</w:t>
                  </w:r>
                </w:p>
              </w:tc>
            </w:tr>
            <w:tr w14:paraId="7B83E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04" w:type="pct"/>
                  <w:tcBorders>
                    <w:tl2br w:val="nil"/>
                    <w:tr2bl w:val="nil"/>
                  </w:tcBorders>
                  <w:shd w:val="clear" w:color="auto" w:fill="auto"/>
                  <w:vAlign w:val="center"/>
                </w:tcPr>
                <w:p w14:paraId="511B7FF5">
                  <w:pPr>
                    <w:spacing w:line="240" w:lineRule="auto"/>
                    <w:ind w:firstLine="0" w:firstLineChars="0"/>
                    <w:jc w:val="center"/>
                    <w:rPr>
                      <w:sz w:val="21"/>
                      <w:szCs w:val="21"/>
                    </w:rPr>
                  </w:pPr>
                  <w:r>
                    <w:rPr>
                      <w:sz w:val="21"/>
                      <w:szCs w:val="21"/>
                    </w:rPr>
                    <w:t>1,1,1,2-四氯乙烷</w:t>
                  </w:r>
                </w:p>
              </w:tc>
              <w:tc>
                <w:tcPr>
                  <w:tcW w:w="836" w:type="pct"/>
                  <w:tcBorders>
                    <w:tl2br w:val="nil"/>
                    <w:tr2bl w:val="nil"/>
                  </w:tcBorders>
                  <w:shd w:val="clear" w:color="auto" w:fill="auto"/>
                  <w:vAlign w:val="center"/>
                </w:tcPr>
                <w:p w14:paraId="586CD4AC">
                  <w:pPr>
                    <w:spacing w:line="240" w:lineRule="auto"/>
                    <w:ind w:firstLine="0" w:firstLineChars="0"/>
                    <w:jc w:val="center"/>
                    <w:rPr>
                      <w:sz w:val="21"/>
                      <w:szCs w:val="21"/>
                    </w:rPr>
                  </w:pPr>
                  <w:r>
                    <w:rPr>
                      <w:sz w:val="21"/>
                      <w:szCs w:val="21"/>
                    </w:rPr>
                    <w:t>µg/kg</w:t>
                  </w:r>
                </w:p>
              </w:tc>
              <w:tc>
                <w:tcPr>
                  <w:tcW w:w="899" w:type="pct"/>
                  <w:tcBorders>
                    <w:tl2br w:val="nil"/>
                    <w:tr2bl w:val="nil"/>
                  </w:tcBorders>
                  <w:shd w:val="clear" w:color="auto" w:fill="auto"/>
                  <w:vAlign w:val="center"/>
                </w:tcPr>
                <w:p w14:paraId="038CD89E">
                  <w:pPr>
                    <w:widowControl/>
                    <w:spacing w:line="240" w:lineRule="exact"/>
                    <w:ind w:firstLine="0" w:firstLineChars="0"/>
                    <w:jc w:val="center"/>
                    <w:rPr>
                      <w:sz w:val="21"/>
                      <w:szCs w:val="21"/>
                    </w:rPr>
                  </w:pPr>
                  <w:r>
                    <w:rPr>
                      <w:rFonts w:hint="eastAsia" w:ascii="Arial" w:hAnsi="Arial"/>
                      <w:sz w:val="20"/>
                      <w:szCs w:val="20"/>
                    </w:rPr>
                    <w:t>1.2L</w:t>
                  </w:r>
                </w:p>
              </w:tc>
              <w:tc>
                <w:tcPr>
                  <w:tcW w:w="1011" w:type="pct"/>
                  <w:tcBorders>
                    <w:tl2br w:val="nil"/>
                    <w:tr2bl w:val="nil"/>
                  </w:tcBorders>
                  <w:shd w:val="clear" w:color="auto" w:fill="auto"/>
                  <w:vAlign w:val="center"/>
                </w:tcPr>
                <w:p w14:paraId="51A2591F">
                  <w:pPr>
                    <w:spacing w:line="240" w:lineRule="auto"/>
                    <w:ind w:firstLine="0" w:firstLineChars="0"/>
                    <w:jc w:val="center"/>
                    <w:rPr>
                      <w:sz w:val="21"/>
                      <w:szCs w:val="21"/>
                    </w:rPr>
                  </w:pPr>
                  <w:r>
                    <w:rPr>
                      <w:sz w:val="21"/>
                      <w:szCs w:val="21"/>
                    </w:rPr>
                    <w:t>10</w:t>
                  </w:r>
                </w:p>
              </w:tc>
              <w:tc>
                <w:tcPr>
                  <w:tcW w:w="847" w:type="pct"/>
                  <w:tcBorders>
                    <w:tl2br w:val="nil"/>
                    <w:tr2bl w:val="nil"/>
                  </w:tcBorders>
                  <w:shd w:val="clear" w:color="auto" w:fill="auto"/>
                  <w:vAlign w:val="center"/>
                </w:tcPr>
                <w:p w14:paraId="49F10CD5">
                  <w:pPr>
                    <w:spacing w:line="240" w:lineRule="auto"/>
                    <w:ind w:firstLine="0" w:firstLineChars="0"/>
                    <w:jc w:val="center"/>
                    <w:rPr>
                      <w:sz w:val="21"/>
                      <w:szCs w:val="21"/>
                    </w:rPr>
                  </w:pPr>
                  <w:r>
                    <w:rPr>
                      <w:sz w:val="21"/>
                      <w:szCs w:val="21"/>
                    </w:rPr>
                    <w:t>达标</w:t>
                  </w:r>
                </w:p>
              </w:tc>
            </w:tr>
            <w:tr w14:paraId="6817C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04" w:type="pct"/>
                  <w:tcBorders>
                    <w:tl2br w:val="nil"/>
                    <w:tr2bl w:val="nil"/>
                  </w:tcBorders>
                  <w:shd w:val="clear" w:color="auto" w:fill="auto"/>
                  <w:vAlign w:val="center"/>
                </w:tcPr>
                <w:p w14:paraId="0D1F7452">
                  <w:pPr>
                    <w:spacing w:line="240" w:lineRule="auto"/>
                    <w:ind w:firstLine="0" w:firstLineChars="0"/>
                    <w:jc w:val="center"/>
                    <w:rPr>
                      <w:sz w:val="21"/>
                      <w:szCs w:val="21"/>
                    </w:rPr>
                  </w:pPr>
                  <w:r>
                    <w:rPr>
                      <w:sz w:val="21"/>
                      <w:szCs w:val="21"/>
                    </w:rPr>
                    <w:t>1,1,2,2-四氯乙烷</w:t>
                  </w:r>
                </w:p>
              </w:tc>
              <w:tc>
                <w:tcPr>
                  <w:tcW w:w="836" w:type="pct"/>
                  <w:tcBorders>
                    <w:tl2br w:val="nil"/>
                    <w:tr2bl w:val="nil"/>
                  </w:tcBorders>
                  <w:shd w:val="clear" w:color="auto" w:fill="auto"/>
                  <w:vAlign w:val="center"/>
                </w:tcPr>
                <w:p w14:paraId="02FF231C">
                  <w:pPr>
                    <w:spacing w:line="240" w:lineRule="auto"/>
                    <w:ind w:firstLine="0" w:firstLineChars="0"/>
                    <w:jc w:val="center"/>
                    <w:rPr>
                      <w:sz w:val="21"/>
                      <w:szCs w:val="21"/>
                    </w:rPr>
                  </w:pPr>
                  <w:r>
                    <w:rPr>
                      <w:sz w:val="21"/>
                      <w:szCs w:val="21"/>
                    </w:rPr>
                    <w:t>µg/kg</w:t>
                  </w:r>
                </w:p>
              </w:tc>
              <w:tc>
                <w:tcPr>
                  <w:tcW w:w="899" w:type="pct"/>
                  <w:tcBorders>
                    <w:tl2br w:val="nil"/>
                    <w:tr2bl w:val="nil"/>
                  </w:tcBorders>
                  <w:shd w:val="clear" w:color="auto" w:fill="auto"/>
                  <w:vAlign w:val="center"/>
                </w:tcPr>
                <w:p w14:paraId="0F38D81A">
                  <w:pPr>
                    <w:widowControl/>
                    <w:spacing w:line="240" w:lineRule="exact"/>
                    <w:ind w:firstLine="0" w:firstLineChars="0"/>
                    <w:jc w:val="center"/>
                    <w:rPr>
                      <w:sz w:val="21"/>
                      <w:szCs w:val="21"/>
                    </w:rPr>
                  </w:pPr>
                  <w:r>
                    <w:rPr>
                      <w:rFonts w:hint="eastAsia" w:ascii="Arial" w:hAnsi="Arial"/>
                      <w:sz w:val="20"/>
                      <w:szCs w:val="20"/>
                    </w:rPr>
                    <w:t>1.2L</w:t>
                  </w:r>
                </w:p>
              </w:tc>
              <w:tc>
                <w:tcPr>
                  <w:tcW w:w="1011" w:type="pct"/>
                  <w:tcBorders>
                    <w:tl2br w:val="nil"/>
                    <w:tr2bl w:val="nil"/>
                  </w:tcBorders>
                  <w:shd w:val="clear" w:color="auto" w:fill="auto"/>
                  <w:vAlign w:val="center"/>
                </w:tcPr>
                <w:p w14:paraId="5FE47B11">
                  <w:pPr>
                    <w:spacing w:line="240" w:lineRule="auto"/>
                    <w:ind w:firstLine="0" w:firstLineChars="0"/>
                    <w:jc w:val="center"/>
                    <w:rPr>
                      <w:sz w:val="21"/>
                      <w:szCs w:val="21"/>
                    </w:rPr>
                  </w:pPr>
                  <w:r>
                    <w:rPr>
                      <w:sz w:val="21"/>
                      <w:szCs w:val="21"/>
                    </w:rPr>
                    <w:t>6.8</w:t>
                  </w:r>
                </w:p>
              </w:tc>
              <w:tc>
                <w:tcPr>
                  <w:tcW w:w="847" w:type="pct"/>
                  <w:tcBorders>
                    <w:tl2br w:val="nil"/>
                    <w:tr2bl w:val="nil"/>
                  </w:tcBorders>
                  <w:shd w:val="clear" w:color="auto" w:fill="auto"/>
                  <w:vAlign w:val="center"/>
                </w:tcPr>
                <w:p w14:paraId="3F52BB39">
                  <w:pPr>
                    <w:spacing w:line="240" w:lineRule="auto"/>
                    <w:ind w:firstLine="0" w:firstLineChars="0"/>
                    <w:jc w:val="center"/>
                    <w:rPr>
                      <w:sz w:val="21"/>
                      <w:szCs w:val="21"/>
                    </w:rPr>
                  </w:pPr>
                  <w:r>
                    <w:rPr>
                      <w:sz w:val="21"/>
                      <w:szCs w:val="21"/>
                    </w:rPr>
                    <w:t>达标</w:t>
                  </w:r>
                </w:p>
              </w:tc>
            </w:tr>
            <w:tr w14:paraId="38120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04" w:type="pct"/>
                  <w:tcBorders>
                    <w:tl2br w:val="nil"/>
                    <w:tr2bl w:val="nil"/>
                  </w:tcBorders>
                  <w:shd w:val="clear" w:color="auto" w:fill="auto"/>
                  <w:vAlign w:val="center"/>
                </w:tcPr>
                <w:p w14:paraId="4C8297B0">
                  <w:pPr>
                    <w:spacing w:line="240" w:lineRule="auto"/>
                    <w:ind w:firstLine="0" w:firstLineChars="0"/>
                    <w:jc w:val="center"/>
                    <w:rPr>
                      <w:sz w:val="21"/>
                      <w:szCs w:val="21"/>
                    </w:rPr>
                  </w:pPr>
                  <w:r>
                    <w:rPr>
                      <w:sz w:val="21"/>
                      <w:szCs w:val="21"/>
                    </w:rPr>
                    <w:t>四氯乙烯</w:t>
                  </w:r>
                </w:p>
              </w:tc>
              <w:tc>
                <w:tcPr>
                  <w:tcW w:w="836" w:type="pct"/>
                  <w:tcBorders>
                    <w:tl2br w:val="nil"/>
                    <w:tr2bl w:val="nil"/>
                  </w:tcBorders>
                  <w:shd w:val="clear" w:color="auto" w:fill="auto"/>
                  <w:vAlign w:val="center"/>
                </w:tcPr>
                <w:p w14:paraId="3E65ECD2">
                  <w:pPr>
                    <w:spacing w:line="240" w:lineRule="auto"/>
                    <w:ind w:firstLine="0" w:firstLineChars="0"/>
                    <w:jc w:val="center"/>
                    <w:rPr>
                      <w:sz w:val="21"/>
                      <w:szCs w:val="21"/>
                    </w:rPr>
                  </w:pPr>
                  <w:r>
                    <w:rPr>
                      <w:sz w:val="21"/>
                      <w:szCs w:val="21"/>
                    </w:rPr>
                    <w:t>µg/kg</w:t>
                  </w:r>
                </w:p>
              </w:tc>
              <w:tc>
                <w:tcPr>
                  <w:tcW w:w="899" w:type="pct"/>
                  <w:tcBorders>
                    <w:tl2br w:val="nil"/>
                    <w:tr2bl w:val="nil"/>
                  </w:tcBorders>
                  <w:shd w:val="clear" w:color="auto" w:fill="auto"/>
                  <w:vAlign w:val="center"/>
                </w:tcPr>
                <w:p w14:paraId="5B0A063D">
                  <w:pPr>
                    <w:widowControl/>
                    <w:spacing w:line="240" w:lineRule="exact"/>
                    <w:ind w:firstLine="0" w:firstLineChars="0"/>
                    <w:jc w:val="center"/>
                    <w:rPr>
                      <w:sz w:val="21"/>
                      <w:szCs w:val="21"/>
                    </w:rPr>
                  </w:pPr>
                  <w:r>
                    <w:rPr>
                      <w:rFonts w:hint="eastAsia" w:ascii="Arial" w:hAnsi="Arial"/>
                      <w:sz w:val="20"/>
                      <w:szCs w:val="20"/>
                    </w:rPr>
                    <w:t>1.4L</w:t>
                  </w:r>
                </w:p>
              </w:tc>
              <w:tc>
                <w:tcPr>
                  <w:tcW w:w="1011" w:type="pct"/>
                  <w:tcBorders>
                    <w:tl2br w:val="nil"/>
                    <w:tr2bl w:val="nil"/>
                  </w:tcBorders>
                  <w:shd w:val="clear" w:color="auto" w:fill="auto"/>
                  <w:vAlign w:val="center"/>
                </w:tcPr>
                <w:p w14:paraId="5562F827">
                  <w:pPr>
                    <w:spacing w:line="240" w:lineRule="auto"/>
                    <w:ind w:firstLine="0" w:firstLineChars="0"/>
                    <w:jc w:val="center"/>
                    <w:rPr>
                      <w:sz w:val="21"/>
                      <w:szCs w:val="21"/>
                    </w:rPr>
                  </w:pPr>
                  <w:r>
                    <w:rPr>
                      <w:sz w:val="21"/>
                      <w:szCs w:val="21"/>
                    </w:rPr>
                    <w:t>53</w:t>
                  </w:r>
                </w:p>
              </w:tc>
              <w:tc>
                <w:tcPr>
                  <w:tcW w:w="847" w:type="pct"/>
                  <w:tcBorders>
                    <w:tl2br w:val="nil"/>
                    <w:tr2bl w:val="nil"/>
                  </w:tcBorders>
                  <w:shd w:val="clear" w:color="auto" w:fill="auto"/>
                  <w:vAlign w:val="center"/>
                </w:tcPr>
                <w:p w14:paraId="087CE007">
                  <w:pPr>
                    <w:spacing w:line="240" w:lineRule="auto"/>
                    <w:ind w:firstLine="0" w:firstLineChars="0"/>
                    <w:jc w:val="center"/>
                    <w:rPr>
                      <w:sz w:val="21"/>
                      <w:szCs w:val="21"/>
                    </w:rPr>
                  </w:pPr>
                  <w:r>
                    <w:rPr>
                      <w:sz w:val="21"/>
                      <w:szCs w:val="21"/>
                    </w:rPr>
                    <w:t>达标</w:t>
                  </w:r>
                </w:p>
              </w:tc>
            </w:tr>
            <w:tr w14:paraId="1BAE9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04" w:type="pct"/>
                  <w:tcBorders>
                    <w:tl2br w:val="nil"/>
                    <w:tr2bl w:val="nil"/>
                  </w:tcBorders>
                  <w:shd w:val="clear" w:color="auto" w:fill="auto"/>
                  <w:vAlign w:val="center"/>
                </w:tcPr>
                <w:p w14:paraId="3B7AA290">
                  <w:pPr>
                    <w:spacing w:line="240" w:lineRule="auto"/>
                    <w:ind w:firstLine="0" w:firstLineChars="0"/>
                    <w:jc w:val="center"/>
                    <w:rPr>
                      <w:sz w:val="21"/>
                      <w:szCs w:val="21"/>
                    </w:rPr>
                  </w:pPr>
                  <w:r>
                    <w:rPr>
                      <w:sz w:val="21"/>
                      <w:szCs w:val="21"/>
                    </w:rPr>
                    <w:t>1,1,1-三氯乙烷</w:t>
                  </w:r>
                </w:p>
              </w:tc>
              <w:tc>
                <w:tcPr>
                  <w:tcW w:w="836" w:type="pct"/>
                  <w:tcBorders>
                    <w:tl2br w:val="nil"/>
                    <w:tr2bl w:val="nil"/>
                  </w:tcBorders>
                  <w:shd w:val="clear" w:color="auto" w:fill="auto"/>
                  <w:vAlign w:val="center"/>
                </w:tcPr>
                <w:p w14:paraId="722B68E3">
                  <w:pPr>
                    <w:spacing w:line="240" w:lineRule="auto"/>
                    <w:ind w:firstLine="0" w:firstLineChars="0"/>
                    <w:jc w:val="center"/>
                    <w:rPr>
                      <w:sz w:val="21"/>
                      <w:szCs w:val="21"/>
                    </w:rPr>
                  </w:pPr>
                  <w:r>
                    <w:rPr>
                      <w:sz w:val="21"/>
                      <w:szCs w:val="21"/>
                    </w:rPr>
                    <w:t>µg/kg</w:t>
                  </w:r>
                </w:p>
              </w:tc>
              <w:tc>
                <w:tcPr>
                  <w:tcW w:w="899" w:type="pct"/>
                  <w:tcBorders>
                    <w:tl2br w:val="nil"/>
                    <w:tr2bl w:val="nil"/>
                  </w:tcBorders>
                  <w:shd w:val="clear" w:color="auto" w:fill="auto"/>
                  <w:vAlign w:val="center"/>
                </w:tcPr>
                <w:p w14:paraId="7FDA50B7">
                  <w:pPr>
                    <w:widowControl/>
                    <w:spacing w:line="240" w:lineRule="exact"/>
                    <w:ind w:firstLine="0" w:firstLineChars="0"/>
                    <w:jc w:val="center"/>
                    <w:rPr>
                      <w:sz w:val="21"/>
                      <w:szCs w:val="21"/>
                    </w:rPr>
                  </w:pPr>
                  <w:r>
                    <w:rPr>
                      <w:rFonts w:hint="eastAsia" w:ascii="Arial" w:hAnsi="Arial"/>
                      <w:sz w:val="20"/>
                      <w:szCs w:val="20"/>
                    </w:rPr>
                    <w:t>1.3L</w:t>
                  </w:r>
                </w:p>
              </w:tc>
              <w:tc>
                <w:tcPr>
                  <w:tcW w:w="1011" w:type="pct"/>
                  <w:tcBorders>
                    <w:tl2br w:val="nil"/>
                    <w:tr2bl w:val="nil"/>
                  </w:tcBorders>
                  <w:shd w:val="clear" w:color="auto" w:fill="auto"/>
                  <w:vAlign w:val="center"/>
                </w:tcPr>
                <w:p w14:paraId="79F08129">
                  <w:pPr>
                    <w:spacing w:line="240" w:lineRule="auto"/>
                    <w:ind w:firstLine="0" w:firstLineChars="0"/>
                    <w:jc w:val="center"/>
                    <w:rPr>
                      <w:sz w:val="21"/>
                      <w:szCs w:val="21"/>
                    </w:rPr>
                  </w:pPr>
                  <w:r>
                    <w:rPr>
                      <w:sz w:val="21"/>
                      <w:szCs w:val="21"/>
                    </w:rPr>
                    <w:t>840</w:t>
                  </w:r>
                </w:p>
              </w:tc>
              <w:tc>
                <w:tcPr>
                  <w:tcW w:w="847" w:type="pct"/>
                  <w:tcBorders>
                    <w:tl2br w:val="nil"/>
                    <w:tr2bl w:val="nil"/>
                  </w:tcBorders>
                  <w:shd w:val="clear" w:color="auto" w:fill="auto"/>
                  <w:vAlign w:val="center"/>
                </w:tcPr>
                <w:p w14:paraId="1B69DCFB">
                  <w:pPr>
                    <w:spacing w:line="240" w:lineRule="auto"/>
                    <w:ind w:firstLine="0" w:firstLineChars="0"/>
                    <w:jc w:val="center"/>
                    <w:rPr>
                      <w:sz w:val="21"/>
                      <w:szCs w:val="21"/>
                    </w:rPr>
                  </w:pPr>
                  <w:r>
                    <w:rPr>
                      <w:sz w:val="21"/>
                      <w:szCs w:val="21"/>
                    </w:rPr>
                    <w:t>达标</w:t>
                  </w:r>
                </w:p>
              </w:tc>
            </w:tr>
            <w:tr w14:paraId="5DED0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04" w:type="pct"/>
                  <w:tcBorders>
                    <w:tl2br w:val="nil"/>
                    <w:tr2bl w:val="nil"/>
                  </w:tcBorders>
                  <w:shd w:val="clear" w:color="auto" w:fill="auto"/>
                  <w:vAlign w:val="center"/>
                </w:tcPr>
                <w:p w14:paraId="75869EC5">
                  <w:pPr>
                    <w:spacing w:line="240" w:lineRule="auto"/>
                    <w:ind w:firstLine="0" w:firstLineChars="0"/>
                    <w:jc w:val="center"/>
                    <w:rPr>
                      <w:sz w:val="21"/>
                      <w:szCs w:val="21"/>
                    </w:rPr>
                  </w:pPr>
                  <w:r>
                    <w:rPr>
                      <w:sz w:val="21"/>
                      <w:szCs w:val="21"/>
                    </w:rPr>
                    <w:t>1,1,2-三氯乙烷</w:t>
                  </w:r>
                </w:p>
              </w:tc>
              <w:tc>
                <w:tcPr>
                  <w:tcW w:w="836" w:type="pct"/>
                  <w:tcBorders>
                    <w:tl2br w:val="nil"/>
                    <w:tr2bl w:val="nil"/>
                  </w:tcBorders>
                  <w:shd w:val="clear" w:color="auto" w:fill="auto"/>
                  <w:vAlign w:val="center"/>
                </w:tcPr>
                <w:p w14:paraId="7DAB28A7">
                  <w:pPr>
                    <w:spacing w:line="240" w:lineRule="auto"/>
                    <w:ind w:firstLine="0" w:firstLineChars="0"/>
                    <w:jc w:val="center"/>
                    <w:rPr>
                      <w:sz w:val="21"/>
                      <w:szCs w:val="21"/>
                    </w:rPr>
                  </w:pPr>
                  <w:r>
                    <w:rPr>
                      <w:sz w:val="21"/>
                      <w:szCs w:val="21"/>
                    </w:rPr>
                    <w:t>µg/kg</w:t>
                  </w:r>
                </w:p>
              </w:tc>
              <w:tc>
                <w:tcPr>
                  <w:tcW w:w="899" w:type="pct"/>
                  <w:tcBorders>
                    <w:tl2br w:val="nil"/>
                    <w:tr2bl w:val="nil"/>
                  </w:tcBorders>
                  <w:shd w:val="clear" w:color="auto" w:fill="auto"/>
                  <w:vAlign w:val="center"/>
                </w:tcPr>
                <w:p w14:paraId="4E193426">
                  <w:pPr>
                    <w:widowControl/>
                    <w:spacing w:line="240" w:lineRule="exact"/>
                    <w:ind w:firstLine="0" w:firstLineChars="0"/>
                    <w:jc w:val="center"/>
                    <w:rPr>
                      <w:sz w:val="21"/>
                      <w:szCs w:val="21"/>
                    </w:rPr>
                  </w:pPr>
                  <w:r>
                    <w:rPr>
                      <w:rFonts w:hint="eastAsia" w:ascii="Arial" w:hAnsi="Arial"/>
                      <w:sz w:val="20"/>
                      <w:szCs w:val="20"/>
                    </w:rPr>
                    <w:t>1.2L</w:t>
                  </w:r>
                </w:p>
              </w:tc>
              <w:tc>
                <w:tcPr>
                  <w:tcW w:w="1011" w:type="pct"/>
                  <w:tcBorders>
                    <w:tl2br w:val="nil"/>
                    <w:tr2bl w:val="nil"/>
                  </w:tcBorders>
                  <w:shd w:val="clear" w:color="auto" w:fill="auto"/>
                  <w:vAlign w:val="center"/>
                </w:tcPr>
                <w:p w14:paraId="51093F82">
                  <w:pPr>
                    <w:spacing w:line="240" w:lineRule="auto"/>
                    <w:ind w:firstLine="0" w:firstLineChars="0"/>
                    <w:jc w:val="center"/>
                    <w:rPr>
                      <w:sz w:val="21"/>
                      <w:szCs w:val="21"/>
                    </w:rPr>
                  </w:pPr>
                  <w:r>
                    <w:rPr>
                      <w:sz w:val="21"/>
                      <w:szCs w:val="21"/>
                    </w:rPr>
                    <w:t>2.8</w:t>
                  </w:r>
                </w:p>
              </w:tc>
              <w:tc>
                <w:tcPr>
                  <w:tcW w:w="847" w:type="pct"/>
                  <w:tcBorders>
                    <w:tl2br w:val="nil"/>
                    <w:tr2bl w:val="nil"/>
                  </w:tcBorders>
                  <w:shd w:val="clear" w:color="auto" w:fill="auto"/>
                  <w:vAlign w:val="center"/>
                </w:tcPr>
                <w:p w14:paraId="73AB7C17">
                  <w:pPr>
                    <w:spacing w:line="240" w:lineRule="auto"/>
                    <w:ind w:firstLine="0" w:firstLineChars="0"/>
                    <w:jc w:val="center"/>
                    <w:rPr>
                      <w:sz w:val="21"/>
                      <w:szCs w:val="21"/>
                    </w:rPr>
                  </w:pPr>
                  <w:r>
                    <w:rPr>
                      <w:sz w:val="21"/>
                      <w:szCs w:val="21"/>
                    </w:rPr>
                    <w:t>达标</w:t>
                  </w:r>
                </w:p>
              </w:tc>
            </w:tr>
            <w:tr w14:paraId="03E2F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04" w:type="pct"/>
                  <w:tcBorders>
                    <w:tl2br w:val="nil"/>
                    <w:tr2bl w:val="nil"/>
                  </w:tcBorders>
                  <w:shd w:val="clear" w:color="auto" w:fill="auto"/>
                  <w:vAlign w:val="center"/>
                </w:tcPr>
                <w:p w14:paraId="72592781">
                  <w:pPr>
                    <w:spacing w:line="240" w:lineRule="auto"/>
                    <w:ind w:firstLine="0" w:firstLineChars="0"/>
                    <w:jc w:val="center"/>
                    <w:rPr>
                      <w:sz w:val="21"/>
                      <w:szCs w:val="21"/>
                    </w:rPr>
                  </w:pPr>
                  <w:r>
                    <w:rPr>
                      <w:sz w:val="21"/>
                      <w:szCs w:val="21"/>
                    </w:rPr>
                    <w:t>三氯乙烯</w:t>
                  </w:r>
                </w:p>
              </w:tc>
              <w:tc>
                <w:tcPr>
                  <w:tcW w:w="836" w:type="pct"/>
                  <w:tcBorders>
                    <w:tl2br w:val="nil"/>
                    <w:tr2bl w:val="nil"/>
                  </w:tcBorders>
                  <w:shd w:val="clear" w:color="auto" w:fill="auto"/>
                  <w:vAlign w:val="center"/>
                </w:tcPr>
                <w:p w14:paraId="5704D755">
                  <w:pPr>
                    <w:spacing w:line="240" w:lineRule="auto"/>
                    <w:ind w:firstLine="0" w:firstLineChars="0"/>
                    <w:jc w:val="center"/>
                    <w:rPr>
                      <w:sz w:val="21"/>
                      <w:szCs w:val="21"/>
                    </w:rPr>
                  </w:pPr>
                  <w:r>
                    <w:rPr>
                      <w:sz w:val="21"/>
                      <w:szCs w:val="21"/>
                    </w:rPr>
                    <w:t>µg/kg</w:t>
                  </w:r>
                </w:p>
              </w:tc>
              <w:tc>
                <w:tcPr>
                  <w:tcW w:w="899" w:type="pct"/>
                  <w:tcBorders>
                    <w:tl2br w:val="nil"/>
                    <w:tr2bl w:val="nil"/>
                  </w:tcBorders>
                  <w:shd w:val="clear" w:color="auto" w:fill="auto"/>
                  <w:vAlign w:val="center"/>
                </w:tcPr>
                <w:p w14:paraId="346BA1B8">
                  <w:pPr>
                    <w:widowControl/>
                    <w:spacing w:line="240" w:lineRule="exact"/>
                    <w:ind w:firstLine="0" w:firstLineChars="0"/>
                    <w:jc w:val="center"/>
                    <w:rPr>
                      <w:sz w:val="21"/>
                      <w:szCs w:val="21"/>
                    </w:rPr>
                  </w:pPr>
                  <w:r>
                    <w:rPr>
                      <w:rFonts w:hint="eastAsia" w:ascii="Arial" w:hAnsi="Arial"/>
                      <w:sz w:val="20"/>
                      <w:szCs w:val="20"/>
                    </w:rPr>
                    <w:t>1.2L</w:t>
                  </w:r>
                </w:p>
              </w:tc>
              <w:tc>
                <w:tcPr>
                  <w:tcW w:w="1011" w:type="pct"/>
                  <w:tcBorders>
                    <w:tl2br w:val="nil"/>
                    <w:tr2bl w:val="nil"/>
                  </w:tcBorders>
                  <w:shd w:val="clear" w:color="auto" w:fill="auto"/>
                  <w:vAlign w:val="center"/>
                </w:tcPr>
                <w:p w14:paraId="312AE8E0">
                  <w:pPr>
                    <w:spacing w:line="240" w:lineRule="auto"/>
                    <w:ind w:firstLine="0" w:firstLineChars="0"/>
                    <w:jc w:val="center"/>
                    <w:rPr>
                      <w:sz w:val="21"/>
                      <w:szCs w:val="21"/>
                    </w:rPr>
                  </w:pPr>
                  <w:r>
                    <w:rPr>
                      <w:sz w:val="21"/>
                      <w:szCs w:val="21"/>
                    </w:rPr>
                    <w:t>2.8</w:t>
                  </w:r>
                </w:p>
              </w:tc>
              <w:tc>
                <w:tcPr>
                  <w:tcW w:w="847" w:type="pct"/>
                  <w:tcBorders>
                    <w:tl2br w:val="nil"/>
                    <w:tr2bl w:val="nil"/>
                  </w:tcBorders>
                  <w:shd w:val="clear" w:color="auto" w:fill="auto"/>
                  <w:vAlign w:val="center"/>
                </w:tcPr>
                <w:p w14:paraId="2340A6F6">
                  <w:pPr>
                    <w:spacing w:line="240" w:lineRule="auto"/>
                    <w:ind w:firstLine="0" w:firstLineChars="0"/>
                    <w:jc w:val="center"/>
                    <w:rPr>
                      <w:sz w:val="21"/>
                      <w:szCs w:val="21"/>
                    </w:rPr>
                  </w:pPr>
                  <w:r>
                    <w:rPr>
                      <w:sz w:val="21"/>
                      <w:szCs w:val="21"/>
                    </w:rPr>
                    <w:t>达标</w:t>
                  </w:r>
                </w:p>
              </w:tc>
            </w:tr>
            <w:tr w14:paraId="4731F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04" w:type="pct"/>
                  <w:tcBorders>
                    <w:tl2br w:val="nil"/>
                    <w:tr2bl w:val="nil"/>
                  </w:tcBorders>
                  <w:shd w:val="clear" w:color="auto" w:fill="auto"/>
                  <w:vAlign w:val="center"/>
                </w:tcPr>
                <w:p w14:paraId="0C5C86C8">
                  <w:pPr>
                    <w:spacing w:line="240" w:lineRule="auto"/>
                    <w:ind w:firstLine="0" w:firstLineChars="0"/>
                    <w:jc w:val="center"/>
                    <w:rPr>
                      <w:sz w:val="21"/>
                      <w:szCs w:val="21"/>
                    </w:rPr>
                  </w:pPr>
                  <w:r>
                    <w:rPr>
                      <w:sz w:val="21"/>
                      <w:szCs w:val="21"/>
                    </w:rPr>
                    <w:t>1,2,3-三氯丙烷</w:t>
                  </w:r>
                </w:p>
              </w:tc>
              <w:tc>
                <w:tcPr>
                  <w:tcW w:w="836" w:type="pct"/>
                  <w:tcBorders>
                    <w:tl2br w:val="nil"/>
                    <w:tr2bl w:val="nil"/>
                  </w:tcBorders>
                  <w:shd w:val="clear" w:color="auto" w:fill="auto"/>
                  <w:vAlign w:val="center"/>
                </w:tcPr>
                <w:p w14:paraId="24619CDF">
                  <w:pPr>
                    <w:spacing w:line="240" w:lineRule="auto"/>
                    <w:ind w:firstLine="0" w:firstLineChars="0"/>
                    <w:jc w:val="center"/>
                    <w:rPr>
                      <w:sz w:val="21"/>
                      <w:szCs w:val="21"/>
                    </w:rPr>
                  </w:pPr>
                  <w:r>
                    <w:rPr>
                      <w:sz w:val="21"/>
                      <w:szCs w:val="21"/>
                    </w:rPr>
                    <w:t>µg/kg</w:t>
                  </w:r>
                </w:p>
              </w:tc>
              <w:tc>
                <w:tcPr>
                  <w:tcW w:w="899" w:type="pct"/>
                  <w:tcBorders>
                    <w:tl2br w:val="nil"/>
                    <w:tr2bl w:val="nil"/>
                  </w:tcBorders>
                  <w:shd w:val="clear" w:color="auto" w:fill="auto"/>
                  <w:vAlign w:val="center"/>
                </w:tcPr>
                <w:p w14:paraId="311D3BBF">
                  <w:pPr>
                    <w:widowControl/>
                    <w:spacing w:line="240" w:lineRule="exact"/>
                    <w:ind w:firstLine="0" w:firstLineChars="0"/>
                    <w:jc w:val="center"/>
                    <w:rPr>
                      <w:sz w:val="21"/>
                      <w:szCs w:val="21"/>
                    </w:rPr>
                  </w:pPr>
                  <w:r>
                    <w:rPr>
                      <w:rFonts w:hint="eastAsia" w:ascii="Arial" w:hAnsi="Arial"/>
                      <w:sz w:val="20"/>
                      <w:szCs w:val="20"/>
                    </w:rPr>
                    <w:t>1.2L</w:t>
                  </w:r>
                </w:p>
              </w:tc>
              <w:tc>
                <w:tcPr>
                  <w:tcW w:w="1011" w:type="pct"/>
                  <w:tcBorders>
                    <w:tl2br w:val="nil"/>
                    <w:tr2bl w:val="nil"/>
                  </w:tcBorders>
                  <w:shd w:val="clear" w:color="auto" w:fill="auto"/>
                  <w:vAlign w:val="center"/>
                </w:tcPr>
                <w:p w14:paraId="2F86465B">
                  <w:pPr>
                    <w:spacing w:line="240" w:lineRule="auto"/>
                    <w:ind w:firstLine="0" w:firstLineChars="0"/>
                    <w:jc w:val="center"/>
                    <w:rPr>
                      <w:sz w:val="21"/>
                      <w:szCs w:val="21"/>
                    </w:rPr>
                  </w:pPr>
                  <w:r>
                    <w:rPr>
                      <w:sz w:val="21"/>
                      <w:szCs w:val="21"/>
                    </w:rPr>
                    <w:t>0.5</w:t>
                  </w:r>
                </w:p>
              </w:tc>
              <w:tc>
                <w:tcPr>
                  <w:tcW w:w="847" w:type="pct"/>
                  <w:tcBorders>
                    <w:tl2br w:val="nil"/>
                    <w:tr2bl w:val="nil"/>
                  </w:tcBorders>
                  <w:shd w:val="clear" w:color="auto" w:fill="auto"/>
                  <w:vAlign w:val="center"/>
                </w:tcPr>
                <w:p w14:paraId="3A726A6E">
                  <w:pPr>
                    <w:spacing w:line="240" w:lineRule="auto"/>
                    <w:ind w:firstLine="0" w:firstLineChars="0"/>
                    <w:jc w:val="center"/>
                    <w:rPr>
                      <w:sz w:val="21"/>
                      <w:szCs w:val="21"/>
                    </w:rPr>
                  </w:pPr>
                  <w:r>
                    <w:rPr>
                      <w:sz w:val="21"/>
                      <w:szCs w:val="21"/>
                    </w:rPr>
                    <w:t>达标</w:t>
                  </w:r>
                </w:p>
              </w:tc>
            </w:tr>
            <w:tr w14:paraId="3B6C0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04" w:type="pct"/>
                  <w:tcBorders>
                    <w:tl2br w:val="nil"/>
                    <w:tr2bl w:val="nil"/>
                  </w:tcBorders>
                  <w:shd w:val="clear" w:color="auto" w:fill="auto"/>
                  <w:vAlign w:val="center"/>
                </w:tcPr>
                <w:p w14:paraId="18B926DF">
                  <w:pPr>
                    <w:spacing w:line="240" w:lineRule="auto"/>
                    <w:ind w:firstLine="0" w:firstLineChars="0"/>
                    <w:jc w:val="center"/>
                    <w:rPr>
                      <w:sz w:val="21"/>
                      <w:szCs w:val="21"/>
                    </w:rPr>
                  </w:pPr>
                  <w:r>
                    <w:rPr>
                      <w:sz w:val="21"/>
                      <w:szCs w:val="21"/>
                    </w:rPr>
                    <w:t>氯乙烯</w:t>
                  </w:r>
                </w:p>
              </w:tc>
              <w:tc>
                <w:tcPr>
                  <w:tcW w:w="836" w:type="pct"/>
                  <w:tcBorders>
                    <w:tl2br w:val="nil"/>
                    <w:tr2bl w:val="nil"/>
                  </w:tcBorders>
                  <w:shd w:val="clear" w:color="auto" w:fill="auto"/>
                  <w:vAlign w:val="center"/>
                </w:tcPr>
                <w:p w14:paraId="29A3B164">
                  <w:pPr>
                    <w:spacing w:line="240" w:lineRule="auto"/>
                    <w:ind w:firstLine="0" w:firstLineChars="0"/>
                    <w:jc w:val="center"/>
                    <w:rPr>
                      <w:sz w:val="21"/>
                      <w:szCs w:val="21"/>
                    </w:rPr>
                  </w:pPr>
                  <w:r>
                    <w:rPr>
                      <w:sz w:val="21"/>
                      <w:szCs w:val="21"/>
                    </w:rPr>
                    <w:t>µg/kg</w:t>
                  </w:r>
                </w:p>
              </w:tc>
              <w:tc>
                <w:tcPr>
                  <w:tcW w:w="899" w:type="pct"/>
                  <w:tcBorders>
                    <w:tl2br w:val="nil"/>
                    <w:tr2bl w:val="nil"/>
                  </w:tcBorders>
                  <w:shd w:val="clear" w:color="auto" w:fill="auto"/>
                  <w:vAlign w:val="center"/>
                </w:tcPr>
                <w:p w14:paraId="3A874496">
                  <w:pPr>
                    <w:widowControl/>
                    <w:spacing w:line="240" w:lineRule="exact"/>
                    <w:ind w:firstLine="0" w:firstLineChars="0"/>
                    <w:jc w:val="center"/>
                    <w:rPr>
                      <w:sz w:val="21"/>
                      <w:szCs w:val="21"/>
                    </w:rPr>
                  </w:pPr>
                  <w:r>
                    <w:rPr>
                      <w:rFonts w:hint="eastAsia" w:ascii="Arial" w:hAnsi="Arial"/>
                      <w:sz w:val="20"/>
                      <w:szCs w:val="20"/>
                    </w:rPr>
                    <w:t>1.0L</w:t>
                  </w:r>
                </w:p>
              </w:tc>
              <w:tc>
                <w:tcPr>
                  <w:tcW w:w="1011" w:type="pct"/>
                  <w:tcBorders>
                    <w:tl2br w:val="nil"/>
                    <w:tr2bl w:val="nil"/>
                  </w:tcBorders>
                  <w:shd w:val="clear" w:color="auto" w:fill="auto"/>
                  <w:vAlign w:val="center"/>
                </w:tcPr>
                <w:p w14:paraId="439FE193">
                  <w:pPr>
                    <w:spacing w:line="240" w:lineRule="auto"/>
                    <w:ind w:firstLine="0" w:firstLineChars="0"/>
                    <w:jc w:val="center"/>
                    <w:rPr>
                      <w:sz w:val="21"/>
                      <w:szCs w:val="21"/>
                    </w:rPr>
                  </w:pPr>
                  <w:r>
                    <w:rPr>
                      <w:sz w:val="21"/>
                      <w:szCs w:val="21"/>
                    </w:rPr>
                    <w:t>0.43</w:t>
                  </w:r>
                </w:p>
              </w:tc>
              <w:tc>
                <w:tcPr>
                  <w:tcW w:w="847" w:type="pct"/>
                  <w:tcBorders>
                    <w:tl2br w:val="nil"/>
                    <w:tr2bl w:val="nil"/>
                  </w:tcBorders>
                  <w:shd w:val="clear" w:color="auto" w:fill="auto"/>
                  <w:vAlign w:val="center"/>
                </w:tcPr>
                <w:p w14:paraId="04218967">
                  <w:pPr>
                    <w:spacing w:line="240" w:lineRule="auto"/>
                    <w:ind w:firstLine="0" w:firstLineChars="0"/>
                    <w:jc w:val="center"/>
                    <w:rPr>
                      <w:sz w:val="21"/>
                      <w:szCs w:val="21"/>
                    </w:rPr>
                  </w:pPr>
                  <w:r>
                    <w:rPr>
                      <w:sz w:val="21"/>
                      <w:szCs w:val="21"/>
                    </w:rPr>
                    <w:t>达标</w:t>
                  </w:r>
                </w:p>
              </w:tc>
            </w:tr>
            <w:tr w14:paraId="0D1AB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04" w:type="pct"/>
                  <w:tcBorders>
                    <w:tl2br w:val="nil"/>
                    <w:tr2bl w:val="nil"/>
                  </w:tcBorders>
                  <w:shd w:val="clear" w:color="auto" w:fill="auto"/>
                  <w:vAlign w:val="center"/>
                </w:tcPr>
                <w:p w14:paraId="3224A668">
                  <w:pPr>
                    <w:spacing w:line="240" w:lineRule="auto"/>
                    <w:ind w:firstLine="0" w:firstLineChars="0"/>
                    <w:jc w:val="center"/>
                    <w:rPr>
                      <w:sz w:val="21"/>
                      <w:szCs w:val="21"/>
                    </w:rPr>
                  </w:pPr>
                  <w:r>
                    <w:rPr>
                      <w:sz w:val="21"/>
                      <w:szCs w:val="21"/>
                    </w:rPr>
                    <w:t>苯</w:t>
                  </w:r>
                </w:p>
              </w:tc>
              <w:tc>
                <w:tcPr>
                  <w:tcW w:w="836" w:type="pct"/>
                  <w:tcBorders>
                    <w:tl2br w:val="nil"/>
                    <w:tr2bl w:val="nil"/>
                  </w:tcBorders>
                  <w:shd w:val="clear" w:color="auto" w:fill="auto"/>
                  <w:vAlign w:val="center"/>
                </w:tcPr>
                <w:p w14:paraId="23AA81F8">
                  <w:pPr>
                    <w:spacing w:line="240" w:lineRule="auto"/>
                    <w:ind w:firstLine="0" w:firstLineChars="0"/>
                    <w:jc w:val="center"/>
                    <w:rPr>
                      <w:sz w:val="21"/>
                      <w:szCs w:val="21"/>
                    </w:rPr>
                  </w:pPr>
                  <w:r>
                    <w:rPr>
                      <w:sz w:val="21"/>
                      <w:szCs w:val="21"/>
                    </w:rPr>
                    <w:t>µg/kg</w:t>
                  </w:r>
                </w:p>
              </w:tc>
              <w:tc>
                <w:tcPr>
                  <w:tcW w:w="899" w:type="pct"/>
                  <w:tcBorders>
                    <w:tl2br w:val="nil"/>
                    <w:tr2bl w:val="nil"/>
                  </w:tcBorders>
                  <w:shd w:val="clear" w:color="auto" w:fill="auto"/>
                  <w:vAlign w:val="center"/>
                </w:tcPr>
                <w:p w14:paraId="7ED7B3AB">
                  <w:pPr>
                    <w:widowControl/>
                    <w:spacing w:line="240" w:lineRule="exact"/>
                    <w:ind w:firstLine="0" w:firstLineChars="0"/>
                    <w:jc w:val="center"/>
                    <w:rPr>
                      <w:sz w:val="21"/>
                      <w:szCs w:val="21"/>
                    </w:rPr>
                  </w:pPr>
                  <w:r>
                    <w:rPr>
                      <w:rFonts w:hint="eastAsia" w:ascii="Arial" w:hAnsi="Arial"/>
                      <w:sz w:val="20"/>
                      <w:szCs w:val="20"/>
                    </w:rPr>
                    <w:t>1.9L</w:t>
                  </w:r>
                </w:p>
              </w:tc>
              <w:tc>
                <w:tcPr>
                  <w:tcW w:w="1011" w:type="pct"/>
                  <w:tcBorders>
                    <w:tl2br w:val="nil"/>
                    <w:tr2bl w:val="nil"/>
                  </w:tcBorders>
                  <w:shd w:val="clear" w:color="auto" w:fill="auto"/>
                  <w:vAlign w:val="center"/>
                </w:tcPr>
                <w:p w14:paraId="1E4A2789">
                  <w:pPr>
                    <w:spacing w:line="240" w:lineRule="auto"/>
                    <w:ind w:firstLine="0" w:firstLineChars="0"/>
                    <w:jc w:val="center"/>
                    <w:rPr>
                      <w:sz w:val="21"/>
                      <w:szCs w:val="21"/>
                    </w:rPr>
                  </w:pPr>
                  <w:r>
                    <w:rPr>
                      <w:sz w:val="21"/>
                      <w:szCs w:val="21"/>
                    </w:rPr>
                    <w:t>4</w:t>
                  </w:r>
                </w:p>
              </w:tc>
              <w:tc>
                <w:tcPr>
                  <w:tcW w:w="847" w:type="pct"/>
                  <w:tcBorders>
                    <w:tl2br w:val="nil"/>
                    <w:tr2bl w:val="nil"/>
                  </w:tcBorders>
                  <w:shd w:val="clear" w:color="auto" w:fill="auto"/>
                  <w:vAlign w:val="center"/>
                </w:tcPr>
                <w:p w14:paraId="1A1CE2CC">
                  <w:pPr>
                    <w:spacing w:line="240" w:lineRule="auto"/>
                    <w:ind w:firstLine="0" w:firstLineChars="0"/>
                    <w:jc w:val="center"/>
                    <w:rPr>
                      <w:sz w:val="21"/>
                      <w:szCs w:val="21"/>
                    </w:rPr>
                  </w:pPr>
                  <w:r>
                    <w:rPr>
                      <w:sz w:val="21"/>
                      <w:szCs w:val="21"/>
                    </w:rPr>
                    <w:t>达标</w:t>
                  </w:r>
                </w:p>
              </w:tc>
            </w:tr>
            <w:tr w14:paraId="7EA28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04" w:type="pct"/>
                  <w:tcBorders>
                    <w:tl2br w:val="nil"/>
                    <w:tr2bl w:val="nil"/>
                  </w:tcBorders>
                  <w:shd w:val="clear" w:color="auto" w:fill="auto"/>
                  <w:vAlign w:val="center"/>
                </w:tcPr>
                <w:p w14:paraId="0C027D45">
                  <w:pPr>
                    <w:spacing w:line="240" w:lineRule="auto"/>
                    <w:ind w:firstLine="0" w:firstLineChars="0"/>
                    <w:jc w:val="center"/>
                    <w:rPr>
                      <w:sz w:val="21"/>
                      <w:szCs w:val="21"/>
                    </w:rPr>
                  </w:pPr>
                  <w:r>
                    <w:rPr>
                      <w:sz w:val="21"/>
                      <w:szCs w:val="21"/>
                    </w:rPr>
                    <w:t>氯苯</w:t>
                  </w:r>
                </w:p>
              </w:tc>
              <w:tc>
                <w:tcPr>
                  <w:tcW w:w="836" w:type="pct"/>
                  <w:tcBorders>
                    <w:tl2br w:val="nil"/>
                    <w:tr2bl w:val="nil"/>
                  </w:tcBorders>
                  <w:shd w:val="clear" w:color="auto" w:fill="auto"/>
                  <w:vAlign w:val="center"/>
                </w:tcPr>
                <w:p w14:paraId="220EEE0A">
                  <w:pPr>
                    <w:spacing w:line="240" w:lineRule="auto"/>
                    <w:ind w:firstLine="0" w:firstLineChars="0"/>
                    <w:jc w:val="center"/>
                    <w:rPr>
                      <w:sz w:val="21"/>
                      <w:szCs w:val="21"/>
                    </w:rPr>
                  </w:pPr>
                  <w:r>
                    <w:rPr>
                      <w:sz w:val="21"/>
                      <w:szCs w:val="21"/>
                    </w:rPr>
                    <w:t>µg/kg</w:t>
                  </w:r>
                </w:p>
              </w:tc>
              <w:tc>
                <w:tcPr>
                  <w:tcW w:w="899" w:type="pct"/>
                  <w:tcBorders>
                    <w:tl2br w:val="nil"/>
                    <w:tr2bl w:val="nil"/>
                  </w:tcBorders>
                  <w:shd w:val="clear" w:color="auto" w:fill="auto"/>
                  <w:vAlign w:val="center"/>
                </w:tcPr>
                <w:p w14:paraId="7C60662D">
                  <w:pPr>
                    <w:widowControl/>
                    <w:spacing w:line="240" w:lineRule="exact"/>
                    <w:ind w:firstLine="0" w:firstLineChars="0"/>
                    <w:jc w:val="center"/>
                    <w:rPr>
                      <w:sz w:val="21"/>
                      <w:szCs w:val="21"/>
                    </w:rPr>
                  </w:pPr>
                  <w:r>
                    <w:rPr>
                      <w:rFonts w:hint="eastAsia" w:ascii="Arial" w:hAnsi="Arial"/>
                      <w:sz w:val="20"/>
                      <w:szCs w:val="20"/>
                    </w:rPr>
                    <w:t>1.2L</w:t>
                  </w:r>
                </w:p>
              </w:tc>
              <w:tc>
                <w:tcPr>
                  <w:tcW w:w="1011" w:type="pct"/>
                  <w:tcBorders>
                    <w:tl2br w:val="nil"/>
                    <w:tr2bl w:val="nil"/>
                  </w:tcBorders>
                  <w:shd w:val="clear" w:color="auto" w:fill="auto"/>
                  <w:vAlign w:val="center"/>
                </w:tcPr>
                <w:p w14:paraId="4868EE48">
                  <w:pPr>
                    <w:spacing w:line="240" w:lineRule="auto"/>
                    <w:ind w:firstLine="0" w:firstLineChars="0"/>
                    <w:jc w:val="center"/>
                    <w:rPr>
                      <w:sz w:val="21"/>
                      <w:szCs w:val="21"/>
                    </w:rPr>
                  </w:pPr>
                  <w:r>
                    <w:rPr>
                      <w:sz w:val="21"/>
                      <w:szCs w:val="21"/>
                    </w:rPr>
                    <w:t>270</w:t>
                  </w:r>
                </w:p>
              </w:tc>
              <w:tc>
                <w:tcPr>
                  <w:tcW w:w="847" w:type="pct"/>
                  <w:tcBorders>
                    <w:tl2br w:val="nil"/>
                    <w:tr2bl w:val="nil"/>
                  </w:tcBorders>
                  <w:shd w:val="clear" w:color="auto" w:fill="auto"/>
                  <w:vAlign w:val="center"/>
                </w:tcPr>
                <w:p w14:paraId="3E8DAF89">
                  <w:pPr>
                    <w:spacing w:line="240" w:lineRule="auto"/>
                    <w:ind w:firstLine="0" w:firstLineChars="0"/>
                    <w:jc w:val="center"/>
                    <w:rPr>
                      <w:sz w:val="21"/>
                      <w:szCs w:val="21"/>
                    </w:rPr>
                  </w:pPr>
                  <w:r>
                    <w:rPr>
                      <w:sz w:val="21"/>
                      <w:szCs w:val="21"/>
                    </w:rPr>
                    <w:t>达标</w:t>
                  </w:r>
                </w:p>
              </w:tc>
            </w:tr>
            <w:tr w14:paraId="20DB4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04" w:type="pct"/>
                  <w:tcBorders>
                    <w:tl2br w:val="nil"/>
                    <w:tr2bl w:val="nil"/>
                  </w:tcBorders>
                  <w:shd w:val="clear" w:color="auto" w:fill="auto"/>
                  <w:vAlign w:val="center"/>
                </w:tcPr>
                <w:p w14:paraId="71A5E889">
                  <w:pPr>
                    <w:spacing w:line="240" w:lineRule="auto"/>
                    <w:ind w:firstLine="0" w:firstLineChars="0"/>
                    <w:jc w:val="center"/>
                    <w:rPr>
                      <w:sz w:val="21"/>
                      <w:szCs w:val="21"/>
                    </w:rPr>
                  </w:pPr>
                  <w:r>
                    <w:rPr>
                      <w:sz w:val="21"/>
                      <w:szCs w:val="21"/>
                    </w:rPr>
                    <w:t>1,2-二氯苯</w:t>
                  </w:r>
                </w:p>
              </w:tc>
              <w:tc>
                <w:tcPr>
                  <w:tcW w:w="836" w:type="pct"/>
                  <w:tcBorders>
                    <w:tl2br w:val="nil"/>
                    <w:tr2bl w:val="nil"/>
                  </w:tcBorders>
                  <w:shd w:val="clear" w:color="auto" w:fill="auto"/>
                  <w:vAlign w:val="center"/>
                </w:tcPr>
                <w:p w14:paraId="303D6900">
                  <w:pPr>
                    <w:spacing w:line="240" w:lineRule="auto"/>
                    <w:ind w:firstLine="0" w:firstLineChars="0"/>
                    <w:jc w:val="center"/>
                    <w:rPr>
                      <w:sz w:val="21"/>
                      <w:szCs w:val="21"/>
                    </w:rPr>
                  </w:pPr>
                  <w:r>
                    <w:rPr>
                      <w:sz w:val="21"/>
                      <w:szCs w:val="21"/>
                    </w:rPr>
                    <w:t>µg/kg</w:t>
                  </w:r>
                </w:p>
              </w:tc>
              <w:tc>
                <w:tcPr>
                  <w:tcW w:w="899" w:type="pct"/>
                  <w:tcBorders>
                    <w:tl2br w:val="nil"/>
                    <w:tr2bl w:val="nil"/>
                  </w:tcBorders>
                  <w:shd w:val="clear" w:color="auto" w:fill="auto"/>
                  <w:vAlign w:val="center"/>
                </w:tcPr>
                <w:p w14:paraId="4CB4E98A">
                  <w:pPr>
                    <w:widowControl/>
                    <w:spacing w:line="240" w:lineRule="exact"/>
                    <w:ind w:firstLine="0" w:firstLineChars="0"/>
                    <w:jc w:val="center"/>
                    <w:rPr>
                      <w:sz w:val="21"/>
                      <w:szCs w:val="21"/>
                    </w:rPr>
                  </w:pPr>
                  <w:r>
                    <w:rPr>
                      <w:rFonts w:hint="eastAsia" w:ascii="Arial" w:hAnsi="Arial"/>
                      <w:sz w:val="20"/>
                      <w:szCs w:val="20"/>
                    </w:rPr>
                    <w:t>1.5L</w:t>
                  </w:r>
                </w:p>
              </w:tc>
              <w:tc>
                <w:tcPr>
                  <w:tcW w:w="1011" w:type="pct"/>
                  <w:tcBorders>
                    <w:tl2br w:val="nil"/>
                    <w:tr2bl w:val="nil"/>
                  </w:tcBorders>
                  <w:shd w:val="clear" w:color="auto" w:fill="auto"/>
                  <w:vAlign w:val="center"/>
                </w:tcPr>
                <w:p w14:paraId="3BB9BA60">
                  <w:pPr>
                    <w:spacing w:line="240" w:lineRule="auto"/>
                    <w:ind w:firstLine="0" w:firstLineChars="0"/>
                    <w:jc w:val="center"/>
                    <w:rPr>
                      <w:sz w:val="21"/>
                      <w:szCs w:val="21"/>
                    </w:rPr>
                  </w:pPr>
                  <w:r>
                    <w:rPr>
                      <w:sz w:val="21"/>
                      <w:szCs w:val="21"/>
                    </w:rPr>
                    <w:t>560</w:t>
                  </w:r>
                </w:p>
              </w:tc>
              <w:tc>
                <w:tcPr>
                  <w:tcW w:w="847" w:type="pct"/>
                  <w:tcBorders>
                    <w:tl2br w:val="nil"/>
                    <w:tr2bl w:val="nil"/>
                  </w:tcBorders>
                  <w:shd w:val="clear" w:color="auto" w:fill="auto"/>
                  <w:vAlign w:val="center"/>
                </w:tcPr>
                <w:p w14:paraId="49963737">
                  <w:pPr>
                    <w:spacing w:line="240" w:lineRule="auto"/>
                    <w:ind w:firstLine="0" w:firstLineChars="0"/>
                    <w:jc w:val="center"/>
                    <w:rPr>
                      <w:sz w:val="21"/>
                      <w:szCs w:val="21"/>
                    </w:rPr>
                  </w:pPr>
                  <w:r>
                    <w:rPr>
                      <w:sz w:val="21"/>
                      <w:szCs w:val="21"/>
                    </w:rPr>
                    <w:t>达标</w:t>
                  </w:r>
                </w:p>
              </w:tc>
            </w:tr>
            <w:tr w14:paraId="0170F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04" w:type="pct"/>
                  <w:tcBorders>
                    <w:tl2br w:val="nil"/>
                    <w:tr2bl w:val="nil"/>
                  </w:tcBorders>
                  <w:shd w:val="clear" w:color="auto" w:fill="auto"/>
                  <w:vAlign w:val="center"/>
                </w:tcPr>
                <w:p w14:paraId="70F35402">
                  <w:pPr>
                    <w:spacing w:line="240" w:lineRule="auto"/>
                    <w:ind w:firstLine="0" w:firstLineChars="0"/>
                    <w:jc w:val="center"/>
                    <w:rPr>
                      <w:sz w:val="21"/>
                      <w:szCs w:val="21"/>
                    </w:rPr>
                  </w:pPr>
                  <w:r>
                    <w:rPr>
                      <w:sz w:val="21"/>
                      <w:szCs w:val="21"/>
                    </w:rPr>
                    <w:t>1,4-二氯苯</w:t>
                  </w:r>
                </w:p>
              </w:tc>
              <w:tc>
                <w:tcPr>
                  <w:tcW w:w="836" w:type="pct"/>
                  <w:tcBorders>
                    <w:tl2br w:val="nil"/>
                    <w:tr2bl w:val="nil"/>
                  </w:tcBorders>
                  <w:shd w:val="clear" w:color="auto" w:fill="auto"/>
                  <w:vAlign w:val="center"/>
                </w:tcPr>
                <w:p w14:paraId="1DB9D232">
                  <w:pPr>
                    <w:spacing w:line="240" w:lineRule="auto"/>
                    <w:ind w:firstLine="0" w:firstLineChars="0"/>
                    <w:jc w:val="center"/>
                    <w:rPr>
                      <w:sz w:val="21"/>
                      <w:szCs w:val="21"/>
                    </w:rPr>
                  </w:pPr>
                  <w:r>
                    <w:rPr>
                      <w:sz w:val="21"/>
                      <w:szCs w:val="21"/>
                    </w:rPr>
                    <w:t>µg/kg</w:t>
                  </w:r>
                </w:p>
              </w:tc>
              <w:tc>
                <w:tcPr>
                  <w:tcW w:w="899" w:type="pct"/>
                  <w:tcBorders>
                    <w:tl2br w:val="nil"/>
                    <w:tr2bl w:val="nil"/>
                  </w:tcBorders>
                  <w:shd w:val="clear" w:color="auto" w:fill="auto"/>
                  <w:vAlign w:val="center"/>
                </w:tcPr>
                <w:p w14:paraId="7B8FB92D">
                  <w:pPr>
                    <w:widowControl/>
                    <w:spacing w:line="240" w:lineRule="exact"/>
                    <w:ind w:firstLine="0" w:firstLineChars="0"/>
                    <w:jc w:val="center"/>
                    <w:rPr>
                      <w:sz w:val="21"/>
                      <w:szCs w:val="21"/>
                    </w:rPr>
                  </w:pPr>
                  <w:r>
                    <w:rPr>
                      <w:rFonts w:hint="eastAsia" w:ascii="Arial" w:hAnsi="Arial"/>
                      <w:sz w:val="20"/>
                      <w:szCs w:val="20"/>
                    </w:rPr>
                    <w:t>1.5L</w:t>
                  </w:r>
                </w:p>
              </w:tc>
              <w:tc>
                <w:tcPr>
                  <w:tcW w:w="1011" w:type="pct"/>
                  <w:tcBorders>
                    <w:tl2br w:val="nil"/>
                    <w:tr2bl w:val="nil"/>
                  </w:tcBorders>
                  <w:shd w:val="clear" w:color="auto" w:fill="auto"/>
                  <w:vAlign w:val="center"/>
                </w:tcPr>
                <w:p w14:paraId="05C0D354">
                  <w:pPr>
                    <w:spacing w:line="240" w:lineRule="auto"/>
                    <w:ind w:firstLine="0" w:firstLineChars="0"/>
                    <w:jc w:val="center"/>
                    <w:rPr>
                      <w:sz w:val="21"/>
                      <w:szCs w:val="21"/>
                    </w:rPr>
                  </w:pPr>
                  <w:r>
                    <w:rPr>
                      <w:sz w:val="21"/>
                      <w:szCs w:val="21"/>
                    </w:rPr>
                    <w:t>20</w:t>
                  </w:r>
                </w:p>
              </w:tc>
              <w:tc>
                <w:tcPr>
                  <w:tcW w:w="847" w:type="pct"/>
                  <w:tcBorders>
                    <w:tl2br w:val="nil"/>
                    <w:tr2bl w:val="nil"/>
                  </w:tcBorders>
                  <w:shd w:val="clear" w:color="auto" w:fill="auto"/>
                  <w:vAlign w:val="center"/>
                </w:tcPr>
                <w:p w14:paraId="22866A9D">
                  <w:pPr>
                    <w:spacing w:line="240" w:lineRule="auto"/>
                    <w:ind w:firstLine="0" w:firstLineChars="0"/>
                    <w:jc w:val="center"/>
                    <w:rPr>
                      <w:sz w:val="21"/>
                      <w:szCs w:val="21"/>
                    </w:rPr>
                  </w:pPr>
                  <w:r>
                    <w:rPr>
                      <w:sz w:val="21"/>
                      <w:szCs w:val="21"/>
                    </w:rPr>
                    <w:t>达标</w:t>
                  </w:r>
                </w:p>
              </w:tc>
            </w:tr>
            <w:tr w14:paraId="07A93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04" w:type="pct"/>
                  <w:tcBorders>
                    <w:tl2br w:val="nil"/>
                    <w:tr2bl w:val="nil"/>
                  </w:tcBorders>
                  <w:shd w:val="clear" w:color="auto" w:fill="auto"/>
                  <w:vAlign w:val="center"/>
                </w:tcPr>
                <w:p w14:paraId="55964A5C">
                  <w:pPr>
                    <w:spacing w:line="240" w:lineRule="auto"/>
                    <w:ind w:firstLine="0" w:firstLineChars="0"/>
                    <w:jc w:val="center"/>
                    <w:rPr>
                      <w:sz w:val="21"/>
                      <w:szCs w:val="21"/>
                    </w:rPr>
                  </w:pPr>
                  <w:r>
                    <w:rPr>
                      <w:sz w:val="21"/>
                      <w:szCs w:val="21"/>
                    </w:rPr>
                    <w:t>乙苯</w:t>
                  </w:r>
                </w:p>
              </w:tc>
              <w:tc>
                <w:tcPr>
                  <w:tcW w:w="836" w:type="pct"/>
                  <w:tcBorders>
                    <w:tl2br w:val="nil"/>
                    <w:tr2bl w:val="nil"/>
                  </w:tcBorders>
                  <w:shd w:val="clear" w:color="auto" w:fill="auto"/>
                  <w:vAlign w:val="center"/>
                </w:tcPr>
                <w:p w14:paraId="21D9D947">
                  <w:pPr>
                    <w:spacing w:line="240" w:lineRule="auto"/>
                    <w:ind w:firstLine="0" w:firstLineChars="0"/>
                    <w:jc w:val="center"/>
                    <w:rPr>
                      <w:sz w:val="21"/>
                      <w:szCs w:val="21"/>
                    </w:rPr>
                  </w:pPr>
                  <w:r>
                    <w:rPr>
                      <w:sz w:val="21"/>
                      <w:szCs w:val="21"/>
                    </w:rPr>
                    <w:t>µg/kg</w:t>
                  </w:r>
                </w:p>
              </w:tc>
              <w:tc>
                <w:tcPr>
                  <w:tcW w:w="899" w:type="pct"/>
                  <w:tcBorders>
                    <w:tl2br w:val="nil"/>
                    <w:tr2bl w:val="nil"/>
                  </w:tcBorders>
                  <w:shd w:val="clear" w:color="auto" w:fill="auto"/>
                  <w:vAlign w:val="center"/>
                </w:tcPr>
                <w:p w14:paraId="71200954">
                  <w:pPr>
                    <w:widowControl/>
                    <w:spacing w:line="240" w:lineRule="exact"/>
                    <w:ind w:firstLine="0" w:firstLineChars="0"/>
                    <w:jc w:val="center"/>
                    <w:rPr>
                      <w:sz w:val="21"/>
                      <w:szCs w:val="21"/>
                    </w:rPr>
                  </w:pPr>
                  <w:r>
                    <w:rPr>
                      <w:rFonts w:hint="eastAsia" w:ascii="Arial" w:hAnsi="Arial"/>
                      <w:sz w:val="20"/>
                      <w:szCs w:val="20"/>
                    </w:rPr>
                    <w:t>1.2L</w:t>
                  </w:r>
                </w:p>
              </w:tc>
              <w:tc>
                <w:tcPr>
                  <w:tcW w:w="1011" w:type="pct"/>
                  <w:tcBorders>
                    <w:tl2br w:val="nil"/>
                    <w:tr2bl w:val="nil"/>
                  </w:tcBorders>
                  <w:shd w:val="clear" w:color="auto" w:fill="auto"/>
                  <w:vAlign w:val="center"/>
                </w:tcPr>
                <w:p w14:paraId="6DC6C60A">
                  <w:pPr>
                    <w:spacing w:line="240" w:lineRule="auto"/>
                    <w:ind w:firstLine="0" w:firstLineChars="0"/>
                    <w:jc w:val="center"/>
                    <w:rPr>
                      <w:sz w:val="21"/>
                      <w:szCs w:val="21"/>
                    </w:rPr>
                  </w:pPr>
                  <w:r>
                    <w:rPr>
                      <w:sz w:val="21"/>
                      <w:szCs w:val="21"/>
                    </w:rPr>
                    <w:t>28</w:t>
                  </w:r>
                </w:p>
              </w:tc>
              <w:tc>
                <w:tcPr>
                  <w:tcW w:w="847" w:type="pct"/>
                  <w:tcBorders>
                    <w:tl2br w:val="nil"/>
                    <w:tr2bl w:val="nil"/>
                  </w:tcBorders>
                  <w:shd w:val="clear" w:color="auto" w:fill="auto"/>
                  <w:vAlign w:val="center"/>
                </w:tcPr>
                <w:p w14:paraId="067474B3">
                  <w:pPr>
                    <w:spacing w:line="240" w:lineRule="auto"/>
                    <w:ind w:firstLine="0" w:firstLineChars="0"/>
                    <w:jc w:val="center"/>
                    <w:rPr>
                      <w:sz w:val="21"/>
                      <w:szCs w:val="21"/>
                    </w:rPr>
                  </w:pPr>
                  <w:r>
                    <w:rPr>
                      <w:sz w:val="21"/>
                      <w:szCs w:val="21"/>
                    </w:rPr>
                    <w:t>达标</w:t>
                  </w:r>
                </w:p>
              </w:tc>
            </w:tr>
            <w:tr w14:paraId="65878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04" w:type="pct"/>
                  <w:tcBorders>
                    <w:tl2br w:val="nil"/>
                    <w:tr2bl w:val="nil"/>
                  </w:tcBorders>
                  <w:shd w:val="clear" w:color="auto" w:fill="auto"/>
                  <w:vAlign w:val="center"/>
                </w:tcPr>
                <w:p w14:paraId="5744E434">
                  <w:pPr>
                    <w:spacing w:line="240" w:lineRule="auto"/>
                    <w:ind w:firstLine="0" w:firstLineChars="0"/>
                    <w:jc w:val="center"/>
                    <w:rPr>
                      <w:sz w:val="21"/>
                      <w:szCs w:val="21"/>
                    </w:rPr>
                  </w:pPr>
                  <w:r>
                    <w:rPr>
                      <w:sz w:val="21"/>
                      <w:szCs w:val="21"/>
                    </w:rPr>
                    <w:t>苯乙烯</w:t>
                  </w:r>
                </w:p>
              </w:tc>
              <w:tc>
                <w:tcPr>
                  <w:tcW w:w="836" w:type="pct"/>
                  <w:tcBorders>
                    <w:tl2br w:val="nil"/>
                    <w:tr2bl w:val="nil"/>
                  </w:tcBorders>
                  <w:shd w:val="clear" w:color="auto" w:fill="auto"/>
                  <w:vAlign w:val="center"/>
                </w:tcPr>
                <w:p w14:paraId="00290A46">
                  <w:pPr>
                    <w:spacing w:line="240" w:lineRule="auto"/>
                    <w:ind w:firstLine="0" w:firstLineChars="0"/>
                    <w:jc w:val="center"/>
                    <w:rPr>
                      <w:sz w:val="21"/>
                      <w:szCs w:val="21"/>
                    </w:rPr>
                  </w:pPr>
                  <w:r>
                    <w:rPr>
                      <w:sz w:val="21"/>
                      <w:szCs w:val="21"/>
                    </w:rPr>
                    <w:t>µg/kg</w:t>
                  </w:r>
                </w:p>
              </w:tc>
              <w:tc>
                <w:tcPr>
                  <w:tcW w:w="899" w:type="pct"/>
                  <w:tcBorders>
                    <w:tl2br w:val="nil"/>
                    <w:tr2bl w:val="nil"/>
                  </w:tcBorders>
                  <w:shd w:val="clear" w:color="auto" w:fill="auto"/>
                  <w:vAlign w:val="center"/>
                </w:tcPr>
                <w:p w14:paraId="08843EA0">
                  <w:pPr>
                    <w:widowControl/>
                    <w:spacing w:line="240" w:lineRule="exact"/>
                    <w:ind w:firstLine="0" w:firstLineChars="0"/>
                    <w:jc w:val="center"/>
                    <w:rPr>
                      <w:sz w:val="21"/>
                      <w:szCs w:val="21"/>
                    </w:rPr>
                  </w:pPr>
                  <w:r>
                    <w:rPr>
                      <w:rFonts w:hint="eastAsia" w:ascii="Arial" w:hAnsi="Arial"/>
                      <w:sz w:val="20"/>
                      <w:szCs w:val="20"/>
                    </w:rPr>
                    <w:t>1.1L</w:t>
                  </w:r>
                </w:p>
              </w:tc>
              <w:tc>
                <w:tcPr>
                  <w:tcW w:w="1011" w:type="pct"/>
                  <w:tcBorders>
                    <w:tl2br w:val="nil"/>
                    <w:tr2bl w:val="nil"/>
                  </w:tcBorders>
                  <w:shd w:val="clear" w:color="auto" w:fill="auto"/>
                  <w:vAlign w:val="center"/>
                </w:tcPr>
                <w:p w14:paraId="7D48C1D2">
                  <w:pPr>
                    <w:spacing w:line="240" w:lineRule="auto"/>
                    <w:ind w:firstLine="0" w:firstLineChars="0"/>
                    <w:jc w:val="center"/>
                    <w:rPr>
                      <w:sz w:val="21"/>
                      <w:szCs w:val="21"/>
                    </w:rPr>
                  </w:pPr>
                  <w:r>
                    <w:rPr>
                      <w:sz w:val="21"/>
                      <w:szCs w:val="21"/>
                    </w:rPr>
                    <w:t>1290</w:t>
                  </w:r>
                </w:p>
              </w:tc>
              <w:tc>
                <w:tcPr>
                  <w:tcW w:w="847" w:type="pct"/>
                  <w:tcBorders>
                    <w:tl2br w:val="nil"/>
                    <w:tr2bl w:val="nil"/>
                  </w:tcBorders>
                  <w:shd w:val="clear" w:color="auto" w:fill="auto"/>
                  <w:vAlign w:val="center"/>
                </w:tcPr>
                <w:p w14:paraId="2F6DEC4E">
                  <w:pPr>
                    <w:spacing w:line="240" w:lineRule="auto"/>
                    <w:ind w:firstLine="0" w:firstLineChars="0"/>
                    <w:jc w:val="center"/>
                    <w:rPr>
                      <w:sz w:val="21"/>
                      <w:szCs w:val="21"/>
                    </w:rPr>
                  </w:pPr>
                  <w:r>
                    <w:rPr>
                      <w:sz w:val="21"/>
                      <w:szCs w:val="21"/>
                    </w:rPr>
                    <w:t>达标</w:t>
                  </w:r>
                </w:p>
              </w:tc>
            </w:tr>
            <w:tr w14:paraId="7BEE5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04" w:type="pct"/>
                  <w:tcBorders>
                    <w:tl2br w:val="nil"/>
                    <w:tr2bl w:val="nil"/>
                  </w:tcBorders>
                  <w:shd w:val="clear" w:color="auto" w:fill="auto"/>
                  <w:vAlign w:val="center"/>
                </w:tcPr>
                <w:p w14:paraId="727EBACD">
                  <w:pPr>
                    <w:spacing w:line="240" w:lineRule="auto"/>
                    <w:ind w:firstLine="0" w:firstLineChars="0"/>
                    <w:jc w:val="center"/>
                    <w:rPr>
                      <w:sz w:val="21"/>
                      <w:szCs w:val="21"/>
                    </w:rPr>
                  </w:pPr>
                  <w:r>
                    <w:rPr>
                      <w:sz w:val="21"/>
                      <w:szCs w:val="21"/>
                    </w:rPr>
                    <w:t>甲苯</w:t>
                  </w:r>
                </w:p>
              </w:tc>
              <w:tc>
                <w:tcPr>
                  <w:tcW w:w="836" w:type="pct"/>
                  <w:tcBorders>
                    <w:tl2br w:val="nil"/>
                    <w:tr2bl w:val="nil"/>
                  </w:tcBorders>
                  <w:shd w:val="clear" w:color="auto" w:fill="auto"/>
                  <w:vAlign w:val="center"/>
                </w:tcPr>
                <w:p w14:paraId="5B9FFA7B">
                  <w:pPr>
                    <w:spacing w:line="240" w:lineRule="auto"/>
                    <w:ind w:firstLine="0" w:firstLineChars="0"/>
                    <w:jc w:val="center"/>
                    <w:rPr>
                      <w:sz w:val="21"/>
                      <w:szCs w:val="21"/>
                    </w:rPr>
                  </w:pPr>
                  <w:r>
                    <w:rPr>
                      <w:sz w:val="21"/>
                      <w:szCs w:val="21"/>
                    </w:rPr>
                    <w:t>µg/kg</w:t>
                  </w:r>
                </w:p>
              </w:tc>
              <w:tc>
                <w:tcPr>
                  <w:tcW w:w="899" w:type="pct"/>
                  <w:tcBorders>
                    <w:tl2br w:val="nil"/>
                    <w:tr2bl w:val="nil"/>
                  </w:tcBorders>
                  <w:shd w:val="clear" w:color="auto" w:fill="auto"/>
                  <w:vAlign w:val="center"/>
                </w:tcPr>
                <w:p w14:paraId="3E474BA6">
                  <w:pPr>
                    <w:widowControl/>
                    <w:spacing w:line="240" w:lineRule="exact"/>
                    <w:ind w:firstLine="0" w:firstLineChars="0"/>
                    <w:jc w:val="center"/>
                    <w:rPr>
                      <w:sz w:val="21"/>
                      <w:szCs w:val="21"/>
                    </w:rPr>
                  </w:pPr>
                  <w:r>
                    <w:rPr>
                      <w:rFonts w:hint="eastAsia" w:ascii="Arial" w:hAnsi="Arial"/>
                      <w:sz w:val="20"/>
                      <w:szCs w:val="20"/>
                    </w:rPr>
                    <w:t>1.3L</w:t>
                  </w:r>
                </w:p>
              </w:tc>
              <w:tc>
                <w:tcPr>
                  <w:tcW w:w="1011" w:type="pct"/>
                  <w:tcBorders>
                    <w:tl2br w:val="nil"/>
                    <w:tr2bl w:val="nil"/>
                  </w:tcBorders>
                  <w:shd w:val="clear" w:color="auto" w:fill="auto"/>
                  <w:vAlign w:val="center"/>
                </w:tcPr>
                <w:p w14:paraId="39C47D71">
                  <w:pPr>
                    <w:spacing w:line="240" w:lineRule="auto"/>
                    <w:ind w:firstLine="0" w:firstLineChars="0"/>
                    <w:jc w:val="center"/>
                    <w:rPr>
                      <w:sz w:val="21"/>
                      <w:szCs w:val="21"/>
                    </w:rPr>
                  </w:pPr>
                  <w:r>
                    <w:rPr>
                      <w:sz w:val="21"/>
                      <w:szCs w:val="21"/>
                    </w:rPr>
                    <w:t>1200</w:t>
                  </w:r>
                </w:p>
              </w:tc>
              <w:tc>
                <w:tcPr>
                  <w:tcW w:w="847" w:type="pct"/>
                  <w:tcBorders>
                    <w:tl2br w:val="nil"/>
                    <w:tr2bl w:val="nil"/>
                  </w:tcBorders>
                  <w:shd w:val="clear" w:color="auto" w:fill="auto"/>
                  <w:vAlign w:val="center"/>
                </w:tcPr>
                <w:p w14:paraId="39AD6F63">
                  <w:pPr>
                    <w:spacing w:line="240" w:lineRule="auto"/>
                    <w:ind w:firstLine="0" w:firstLineChars="0"/>
                    <w:jc w:val="center"/>
                    <w:rPr>
                      <w:sz w:val="21"/>
                      <w:szCs w:val="21"/>
                    </w:rPr>
                  </w:pPr>
                  <w:r>
                    <w:rPr>
                      <w:sz w:val="21"/>
                      <w:szCs w:val="21"/>
                    </w:rPr>
                    <w:t>达标</w:t>
                  </w:r>
                </w:p>
              </w:tc>
            </w:tr>
            <w:tr w14:paraId="5FC5D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04" w:type="pct"/>
                  <w:tcBorders>
                    <w:tl2br w:val="nil"/>
                    <w:tr2bl w:val="nil"/>
                  </w:tcBorders>
                  <w:shd w:val="clear" w:color="auto" w:fill="auto"/>
                  <w:vAlign w:val="center"/>
                </w:tcPr>
                <w:p w14:paraId="1C02882D">
                  <w:pPr>
                    <w:spacing w:line="240" w:lineRule="auto"/>
                    <w:ind w:firstLine="0" w:firstLineChars="0"/>
                    <w:jc w:val="center"/>
                    <w:rPr>
                      <w:sz w:val="21"/>
                      <w:szCs w:val="21"/>
                    </w:rPr>
                  </w:pPr>
                  <w:r>
                    <w:rPr>
                      <w:sz w:val="21"/>
                      <w:szCs w:val="21"/>
                    </w:rPr>
                    <w:t>间，对-二甲苯</w:t>
                  </w:r>
                </w:p>
              </w:tc>
              <w:tc>
                <w:tcPr>
                  <w:tcW w:w="836" w:type="pct"/>
                  <w:tcBorders>
                    <w:tl2br w:val="nil"/>
                    <w:tr2bl w:val="nil"/>
                  </w:tcBorders>
                  <w:shd w:val="clear" w:color="auto" w:fill="auto"/>
                  <w:vAlign w:val="center"/>
                </w:tcPr>
                <w:p w14:paraId="7ECDB85B">
                  <w:pPr>
                    <w:spacing w:line="240" w:lineRule="auto"/>
                    <w:ind w:firstLine="0" w:firstLineChars="0"/>
                    <w:jc w:val="center"/>
                    <w:rPr>
                      <w:sz w:val="21"/>
                      <w:szCs w:val="21"/>
                    </w:rPr>
                  </w:pPr>
                  <w:r>
                    <w:rPr>
                      <w:sz w:val="21"/>
                      <w:szCs w:val="21"/>
                    </w:rPr>
                    <w:t>µg/kg</w:t>
                  </w:r>
                </w:p>
              </w:tc>
              <w:tc>
                <w:tcPr>
                  <w:tcW w:w="899" w:type="pct"/>
                  <w:tcBorders>
                    <w:tl2br w:val="nil"/>
                    <w:tr2bl w:val="nil"/>
                  </w:tcBorders>
                  <w:shd w:val="clear" w:color="auto" w:fill="auto"/>
                  <w:vAlign w:val="center"/>
                </w:tcPr>
                <w:p w14:paraId="5BA58982">
                  <w:pPr>
                    <w:widowControl/>
                    <w:spacing w:line="240" w:lineRule="exact"/>
                    <w:ind w:firstLine="0" w:firstLineChars="0"/>
                    <w:jc w:val="center"/>
                    <w:rPr>
                      <w:sz w:val="21"/>
                      <w:szCs w:val="21"/>
                    </w:rPr>
                  </w:pPr>
                  <w:r>
                    <w:rPr>
                      <w:rFonts w:hint="eastAsia" w:ascii="Arial" w:hAnsi="Arial"/>
                      <w:sz w:val="20"/>
                      <w:szCs w:val="20"/>
                    </w:rPr>
                    <w:t>1.2L</w:t>
                  </w:r>
                </w:p>
              </w:tc>
              <w:tc>
                <w:tcPr>
                  <w:tcW w:w="1011" w:type="pct"/>
                  <w:tcBorders>
                    <w:tl2br w:val="nil"/>
                    <w:tr2bl w:val="nil"/>
                  </w:tcBorders>
                  <w:shd w:val="clear" w:color="auto" w:fill="auto"/>
                  <w:vAlign w:val="center"/>
                </w:tcPr>
                <w:p w14:paraId="1B1C5E70">
                  <w:pPr>
                    <w:spacing w:line="240" w:lineRule="auto"/>
                    <w:ind w:firstLine="0" w:firstLineChars="0"/>
                    <w:jc w:val="center"/>
                    <w:rPr>
                      <w:sz w:val="21"/>
                      <w:szCs w:val="21"/>
                    </w:rPr>
                  </w:pPr>
                  <w:r>
                    <w:rPr>
                      <w:sz w:val="21"/>
                      <w:szCs w:val="21"/>
                    </w:rPr>
                    <w:t>570</w:t>
                  </w:r>
                </w:p>
              </w:tc>
              <w:tc>
                <w:tcPr>
                  <w:tcW w:w="847" w:type="pct"/>
                  <w:tcBorders>
                    <w:tl2br w:val="nil"/>
                    <w:tr2bl w:val="nil"/>
                  </w:tcBorders>
                  <w:shd w:val="clear" w:color="auto" w:fill="auto"/>
                  <w:vAlign w:val="center"/>
                </w:tcPr>
                <w:p w14:paraId="732579BE">
                  <w:pPr>
                    <w:spacing w:line="240" w:lineRule="auto"/>
                    <w:ind w:firstLine="0" w:firstLineChars="0"/>
                    <w:jc w:val="center"/>
                    <w:rPr>
                      <w:sz w:val="21"/>
                      <w:szCs w:val="21"/>
                    </w:rPr>
                  </w:pPr>
                  <w:r>
                    <w:rPr>
                      <w:sz w:val="21"/>
                      <w:szCs w:val="21"/>
                    </w:rPr>
                    <w:t>达标</w:t>
                  </w:r>
                </w:p>
              </w:tc>
            </w:tr>
            <w:tr w14:paraId="70409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04" w:type="pct"/>
                  <w:tcBorders>
                    <w:tl2br w:val="nil"/>
                    <w:tr2bl w:val="nil"/>
                  </w:tcBorders>
                  <w:shd w:val="clear" w:color="auto" w:fill="auto"/>
                  <w:vAlign w:val="center"/>
                </w:tcPr>
                <w:p w14:paraId="2AC429F4">
                  <w:pPr>
                    <w:spacing w:line="240" w:lineRule="auto"/>
                    <w:ind w:firstLine="0" w:firstLineChars="0"/>
                    <w:jc w:val="center"/>
                    <w:rPr>
                      <w:sz w:val="21"/>
                      <w:szCs w:val="21"/>
                    </w:rPr>
                  </w:pPr>
                  <w:r>
                    <w:rPr>
                      <w:sz w:val="21"/>
                      <w:szCs w:val="21"/>
                    </w:rPr>
                    <w:t>邻-二甲苯</w:t>
                  </w:r>
                </w:p>
              </w:tc>
              <w:tc>
                <w:tcPr>
                  <w:tcW w:w="836" w:type="pct"/>
                  <w:tcBorders>
                    <w:tl2br w:val="nil"/>
                    <w:tr2bl w:val="nil"/>
                  </w:tcBorders>
                  <w:shd w:val="clear" w:color="auto" w:fill="auto"/>
                  <w:vAlign w:val="center"/>
                </w:tcPr>
                <w:p w14:paraId="2FAFDE0D">
                  <w:pPr>
                    <w:spacing w:line="240" w:lineRule="auto"/>
                    <w:ind w:firstLine="0" w:firstLineChars="0"/>
                    <w:jc w:val="center"/>
                    <w:rPr>
                      <w:sz w:val="21"/>
                      <w:szCs w:val="21"/>
                    </w:rPr>
                  </w:pPr>
                  <w:r>
                    <w:rPr>
                      <w:sz w:val="21"/>
                      <w:szCs w:val="21"/>
                    </w:rPr>
                    <w:t>µg/kg</w:t>
                  </w:r>
                </w:p>
              </w:tc>
              <w:tc>
                <w:tcPr>
                  <w:tcW w:w="899" w:type="pct"/>
                  <w:tcBorders>
                    <w:tl2br w:val="nil"/>
                    <w:tr2bl w:val="nil"/>
                  </w:tcBorders>
                  <w:shd w:val="clear" w:color="auto" w:fill="auto"/>
                  <w:vAlign w:val="center"/>
                </w:tcPr>
                <w:p w14:paraId="3CD43E02">
                  <w:pPr>
                    <w:widowControl/>
                    <w:spacing w:line="240" w:lineRule="exact"/>
                    <w:ind w:firstLine="0" w:firstLineChars="0"/>
                    <w:jc w:val="center"/>
                    <w:rPr>
                      <w:sz w:val="21"/>
                      <w:szCs w:val="21"/>
                    </w:rPr>
                  </w:pPr>
                  <w:r>
                    <w:rPr>
                      <w:rFonts w:hint="eastAsia" w:ascii="Arial" w:hAnsi="Arial"/>
                      <w:sz w:val="20"/>
                      <w:szCs w:val="20"/>
                    </w:rPr>
                    <w:t>1.2L</w:t>
                  </w:r>
                </w:p>
              </w:tc>
              <w:tc>
                <w:tcPr>
                  <w:tcW w:w="1011" w:type="pct"/>
                  <w:tcBorders>
                    <w:tl2br w:val="nil"/>
                    <w:tr2bl w:val="nil"/>
                  </w:tcBorders>
                  <w:shd w:val="clear" w:color="auto" w:fill="auto"/>
                  <w:vAlign w:val="center"/>
                </w:tcPr>
                <w:p w14:paraId="35271560">
                  <w:pPr>
                    <w:spacing w:line="240" w:lineRule="auto"/>
                    <w:ind w:firstLine="0" w:firstLineChars="0"/>
                    <w:jc w:val="center"/>
                    <w:rPr>
                      <w:sz w:val="21"/>
                      <w:szCs w:val="21"/>
                    </w:rPr>
                  </w:pPr>
                  <w:r>
                    <w:rPr>
                      <w:sz w:val="21"/>
                      <w:szCs w:val="21"/>
                    </w:rPr>
                    <w:t>640</w:t>
                  </w:r>
                </w:p>
              </w:tc>
              <w:tc>
                <w:tcPr>
                  <w:tcW w:w="847" w:type="pct"/>
                  <w:tcBorders>
                    <w:tl2br w:val="nil"/>
                    <w:tr2bl w:val="nil"/>
                  </w:tcBorders>
                  <w:shd w:val="clear" w:color="auto" w:fill="auto"/>
                  <w:vAlign w:val="center"/>
                </w:tcPr>
                <w:p w14:paraId="53282A1F">
                  <w:pPr>
                    <w:spacing w:line="240" w:lineRule="auto"/>
                    <w:ind w:firstLine="0" w:firstLineChars="0"/>
                    <w:jc w:val="center"/>
                    <w:rPr>
                      <w:sz w:val="21"/>
                      <w:szCs w:val="21"/>
                    </w:rPr>
                  </w:pPr>
                  <w:r>
                    <w:rPr>
                      <w:sz w:val="21"/>
                      <w:szCs w:val="21"/>
                    </w:rPr>
                    <w:t>达标</w:t>
                  </w:r>
                </w:p>
              </w:tc>
            </w:tr>
            <w:tr w14:paraId="36DA9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04" w:type="pct"/>
                  <w:tcBorders>
                    <w:tl2br w:val="nil"/>
                    <w:tr2bl w:val="nil"/>
                  </w:tcBorders>
                  <w:shd w:val="clear" w:color="auto" w:fill="auto"/>
                  <w:vAlign w:val="center"/>
                </w:tcPr>
                <w:p w14:paraId="01142CCC">
                  <w:pPr>
                    <w:spacing w:line="240" w:lineRule="auto"/>
                    <w:ind w:firstLine="0" w:firstLineChars="0"/>
                    <w:jc w:val="center"/>
                    <w:rPr>
                      <w:sz w:val="21"/>
                      <w:szCs w:val="21"/>
                    </w:rPr>
                  </w:pPr>
                  <w:r>
                    <w:rPr>
                      <w:sz w:val="21"/>
                      <w:szCs w:val="21"/>
                    </w:rPr>
                    <w:t>苯胺</w:t>
                  </w:r>
                </w:p>
              </w:tc>
              <w:tc>
                <w:tcPr>
                  <w:tcW w:w="836" w:type="pct"/>
                  <w:tcBorders>
                    <w:tl2br w:val="nil"/>
                    <w:tr2bl w:val="nil"/>
                  </w:tcBorders>
                  <w:shd w:val="clear" w:color="auto" w:fill="auto"/>
                  <w:vAlign w:val="center"/>
                </w:tcPr>
                <w:p w14:paraId="3F749DA0">
                  <w:pPr>
                    <w:spacing w:line="240" w:lineRule="auto"/>
                    <w:ind w:firstLine="0" w:firstLineChars="0"/>
                    <w:jc w:val="center"/>
                    <w:rPr>
                      <w:sz w:val="21"/>
                      <w:szCs w:val="21"/>
                    </w:rPr>
                  </w:pPr>
                  <w:r>
                    <w:rPr>
                      <w:sz w:val="21"/>
                      <w:szCs w:val="21"/>
                    </w:rPr>
                    <w:t>mg/kg</w:t>
                  </w:r>
                </w:p>
              </w:tc>
              <w:tc>
                <w:tcPr>
                  <w:tcW w:w="899" w:type="pct"/>
                  <w:tcBorders>
                    <w:tl2br w:val="nil"/>
                    <w:tr2bl w:val="nil"/>
                  </w:tcBorders>
                  <w:shd w:val="clear" w:color="auto" w:fill="auto"/>
                  <w:vAlign w:val="center"/>
                </w:tcPr>
                <w:p w14:paraId="6359B53A">
                  <w:pPr>
                    <w:widowControl/>
                    <w:spacing w:line="240" w:lineRule="exact"/>
                    <w:ind w:firstLine="0" w:firstLineChars="0"/>
                    <w:jc w:val="center"/>
                    <w:rPr>
                      <w:sz w:val="21"/>
                      <w:szCs w:val="21"/>
                    </w:rPr>
                  </w:pPr>
                  <w:r>
                    <w:rPr>
                      <w:rFonts w:hint="eastAsia" w:ascii="Arial" w:hAnsi="Arial"/>
                      <w:sz w:val="20"/>
                      <w:szCs w:val="20"/>
                    </w:rPr>
                    <w:t>0.1L</w:t>
                  </w:r>
                </w:p>
              </w:tc>
              <w:tc>
                <w:tcPr>
                  <w:tcW w:w="1011" w:type="pct"/>
                  <w:tcBorders>
                    <w:tl2br w:val="nil"/>
                    <w:tr2bl w:val="nil"/>
                  </w:tcBorders>
                  <w:shd w:val="clear" w:color="auto" w:fill="auto"/>
                  <w:vAlign w:val="center"/>
                </w:tcPr>
                <w:p w14:paraId="6ED04CE4">
                  <w:pPr>
                    <w:spacing w:line="240" w:lineRule="auto"/>
                    <w:ind w:firstLine="0" w:firstLineChars="0"/>
                    <w:jc w:val="center"/>
                    <w:rPr>
                      <w:sz w:val="21"/>
                      <w:szCs w:val="21"/>
                    </w:rPr>
                  </w:pPr>
                  <w:r>
                    <w:rPr>
                      <w:sz w:val="21"/>
                      <w:szCs w:val="21"/>
                    </w:rPr>
                    <w:t>76</w:t>
                  </w:r>
                </w:p>
              </w:tc>
              <w:tc>
                <w:tcPr>
                  <w:tcW w:w="847" w:type="pct"/>
                  <w:tcBorders>
                    <w:tl2br w:val="nil"/>
                    <w:tr2bl w:val="nil"/>
                  </w:tcBorders>
                  <w:shd w:val="clear" w:color="auto" w:fill="auto"/>
                  <w:vAlign w:val="center"/>
                </w:tcPr>
                <w:p w14:paraId="2A5EE1CF">
                  <w:pPr>
                    <w:spacing w:line="240" w:lineRule="auto"/>
                    <w:ind w:firstLine="0" w:firstLineChars="0"/>
                    <w:jc w:val="center"/>
                    <w:rPr>
                      <w:sz w:val="21"/>
                      <w:szCs w:val="21"/>
                    </w:rPr>
                  </w:pPr>
                  <w:r>
                    <w:rPr>
                      <w:sz w:val="21"/>
                      <w:szCs w:val="21"/>
                    </w:rPr>
                    <w:t>达标</w:t>
                  </w:r>
                </w:p>
              </w:tc>
            </w:tr>
            <w:tr w14:paraId="5F278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04" w:type="pct"/>
                  <w:tcBorders>
                    <w:tl2br w:val="nil"/>
                    <w:tr2bl w:val="nil"/>
                  </w:tcBorders>
                  <w:shd w:val="clear" w:color="auto" w:fill="auto"/>
                  <w:vAlign w:val="center"/>
                </w:tcPr>
                <w:p w14:paraId="7129DBA1">
                  <w:pPr>
                    <w:spacing w:line="240" w:lineRule="auto"/>
                    <w:ind w:firstLine="0" w:firstLineChars="0"/>
                    <w:jc w:val="center"/>
                    <w:rPr>
                      <w:sz w:val="21"/>
                      <w:szCs w:val="21"/>
                    </w:rPr>
                  </w:pPr>
                  <w:r>
                    <w:rPr>
                      <w:sz w:val="21"/>
                      <w:szCs w:val="21"/>
                    </w:rPr>
                    <w:t>硝基苯</w:t>
                  </w:r>
                </w:p>
              </w:tc>
              <w:tc>
                <w:tcPr>
                  <w:tcW w:w="836" w:type="pct"/>
                  <w:tcBorders>
                    <w:tl2br w:val="nil"/>
                    <w:tr2bl w:val="nil"/>
                  </w:tcBorders>
                  <w:shd w:val="clear" w:color="auto" w:fill="auto"/>
                  <w:vAlign w:val="center"/>
                </w:tcPr>
                <w:p w14:paraId="7A000F74">
                  <w:pPr>
                    <w:spacing w:line="240" w:lineRule="auto"/>
                    <w:ind w:firstLine="0" w:firstLineChars="0"/>
                    <w:jc w:val="center"/>
                    <w:rPr>
                      <w:sz w:val="21"/>
                      <w:szCs w:val="21"/>
                    </w:rPr>
                  </w:pPr>
                  <w:r>
                    <w:rPr>
                      <w:sz w:val="21"/>
                      <w:szCs w:val="21"/>
                    </w:rPr>
                    <w:t>mg/kg</w:t>
                  </w:r>
                </w:p>
              </w:tc>
              <w:tc>
                <w:tcPr>
                  <w:tcW w:w="899" w:type="pct"/>
                  <w:tcBorders>
                    <w:tl2br w:val="nil"/>
                    <w:tr2bl w:val="nil"/>
                  </w:tcBorders>
                  <w:shd w:val="clear" w:color="auto" w:fill="auto"/>
                  <w:vAlign w:val="center"/>
                </w:tcPr>
                <w:p w14:paraId="43CBC663">
                  <w:pPr>
                    <w:widowControl/>
                    <w:spacing w:line="240" w:lineRule="exact"/>
                    <w:ind w:firstLine="0" w:firstLineChars="0"/>
                    <w:jc w:val="center"/>
                    <w:rPr>
                      <w:sz w:val="21"/>
                      <w:szCs w:val="21"/>
                    </w:rPr>
                  </w:pPr>
                  <w:r>
                    <w:rPr>
                      <w:rFonts w:hint="eastAsia" w:ascii="Arial" w:hAnsi="Arial"/>
                      <w:sz w:val="20"/>
                      <w:szCs w:val="20"/>
                    </w:rPr>
                    <w:t>0.09L</w:t>
                  </w:r>
                </w:p>
              </w:tc>
              <w:tc>
                <w:tcPr>
                  <w:tcW w:w="1011" w:type="pct"/>
                  <w:tcBorders>
                    <w:tl2br w:val="nil"/>
                    <w:tr2bl w:val="nil"/>
                  </w:tcBorders>
                  <w:shd w:val="clear" w:color="auto" w:fill="auto"/>
                  <w:vAlign w:val="center"/>
                </w:tcPr>
                <w:p w14:paraId="06414DCA">
                  <w:pPr>
                    <w:spacing w:line="240" w:lineRule="auto"/>
                    <w:ind w:firstLine="0" w:firstLineChars="0"/>
                    <w:jc w:val="center"/>
                    <w:rPr>
                      <w:sz w:val="21"/>
                      <w:szCs w:val="21"/>
                    </w:rPr>
                  </w:pPr>
                  <w:r>
                    <w:rPr>
                      <w:sz w:val="21"/>
                      <w:szCs w:val="21"/>
                    </w:rPr>
                    <w:t>260</w:t>
                  </w:r>
                </w:p>
              </w:tc>
              <w:tc>
                <w:tcPr>
                  <w:tcW w:w="847" w:type="pct"/>
                  <w:tcBorders>
                    <w:tl2br w:val="nil"/>
                    <w:tr2bl w:val="nil"/>
                  </w:tcBorders>
                  <w:shd w:val="clear" w:color="auto" w:fill="auto"/>
                  <w:vAlign w:val="center"/>
                </w:tcPr>
                <w:p w14:paraId="695DC8E2">
                  <w:pPr>
                    <w:spacing w:line="240" w:lineRule="auto"/>
                    <w:ind w:firstLine="0" w:firstLineChars="0"/>
                    <w:jc w:val="center"/>
                    <w:rPr>
                      <w:sz w:val="21"/>
                      <w:szCs w:val="21"/>
                    </w:rPr>
                  </w:pPr>
                  <w:r>
                    <w:rPr>
                      <w:sz w:val="21"/>
                      <w:szCs w:val="21"/>
                    </w:rPr>
                    <w:t>达标</w:t>
                  </w:r>
                </w:p>
              </w:tc>
            </w:tr>
            <w:tr w14:paraId="73FD8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04" w:type="pct"/>
                  <w:tcBorders>
                    <w:tl2br w:val="nil"/>
                    <w:tr2bl w:val="nil"/>
                  </w:tcBorders>
                  <w:shd w:val="clear" w:color="auto" w:fill="auto"/>
                  <w:vAlign w:val="center"/>
                </w:tcPr>
                <w:p w14:paraId="729F30F0">
                  <w:pPr>
                    <w:spacing w:line="240" w:lineRule="auto"/>
                    <w:ind w:firstLine="0" w:firstLineChars="0"/>
                    <w:jc w:val="center"/>
                    <w:rPr>
                      <w:sz w:val="21"/>
                      <w:szCs w:val="21"/>
                    </w:rPr>
                  </w:pPr>
                  <w:r>
                    <w:rPr>
                      <w:sz w:val="21"/>
                      <w:szCs w:val="21"/>
                    </w:rPr>
                    <w:t>2-氯苯酚</w:t>
                  </w:r>
                </w:p>
              </w:tc>
              <w:tc>
                <w:tcPr>
                  <w:tcW w:w="836" w:type="pct"/>
                  <w:tcBorders>
                    <w:tl2br w:val="nil"/>
                    <w:tr2bl w:val="nil"/>
                  </w:tcBorders>
                  <w:shd w:val="clear" w:color="auto" w:fill="auto"/>
                  <w:vAlign w:val="center"/>
                </w:tcPr>
                <w:p w14:paraId="2A5CF0FC">
                  <w:pPr>
                    <w:spacing w:line="240" w:lineRule="auto"/>
                    <w:ind w:firstLine="0" w:firstLineChars="0"/>
                    <w:jc w:val="center"/>
                    <w:rPr>
                      <w:sz w:val="21"/>
                      <w:szCs w:val="21"/>
                    </w:rPr>
                  </w:pPr>
                  <w:r>
                    <w:rPr>
                      <w:sz w:val="21"/>
                      <w:szCs w:val="21"/>
                    </w:rPr>
                    <w:t>mg/kg</w:t>
                  </w:r>
                </w:p>
              </w:tc>
              <w:tc>
                <w:tcPr>
                  <w:tcW w:w="899" w:type="pct"/>
                  <w:tcBorders>
                    <w:tl2br w:val="nil"/>
                    <w:tr2bl w:val="nil"/>
                  </w:tcBorders>
                  <w:shd w:val="clear" w:color="auto" w:fill="auto"/>
                  <w:vAlign w:val="center"/>
                </w:tcPr>
                <w:p w14:paraId="39606979">
                  <w:pPr>
                    <w:widowControl/>
                    <w:spacing w:line="240" w:lineRule="exact"/>
                    <w:ind w:firstLine="0" w:firstLineChars="0"/>
                    <w:jc w:val="center"/>
                    <w:rPr>
                      <w:sz w:val="21"/>
                      <w:szCs w:val="21"/>
                    </w:rPr>
                  </w:pPr>
                  <w:r>
                    <w:rPr>
                      <w:rFonts w:hint="eastAsia" w:ascii="Arial" w:hAnsi="Arial"/>
                      <w:sz w:val="20"/>
                      <w:szCs w:val="20"/>
                    </w:rPr>
                    <w:t>0.06L</w:t>
                  </w:r>
                </w:p>
              </w:tc>
              <w:tc>
                <w:tcPr>
                  <w:tcW w:w="1011" w:type="pct"/>
                  <w:tcBorders>
                    <w:tl2br w:val="nil"/>
                    <w:tr2bl w:val="nil"/>
                  </w:tcBorders>
                  <w:shd w:val="clear" w:color="auto" w:fill="auto"/>
                  <w:vAlign w:val="center"/>
                </w:tcPr>
                <w:p w14:paraId="2091ABBC">
                  <w:pPr>
                    <w:spacing w:line="240" w:lineRule="auto"/>
                    <w:ind w:firstLine="0" w:firstLineChars="0"/>
                    <w:jc w:val="center"/>
                    <w:rPr>
                      <w:sz w:val="21"/>
                      <w:szCs w:val="21"/>
                    </w:rPr>
                  </w:pPr>
                  <w:r>
                    <w:rPr>
                      <w:sz w:val="21"/>
                      <w:szCs w:val="21"/>
                    </w:rPr>
                    <w:t>2256</w:t>
                  </w:r>
                </w:p>
              </w:tc>
              <w:tc>
                <w:tcPr>
                  <w:tcW w:w="847" w:type="pct"/>
                  <w:tcBorders>
                    <w:tl2br w:val="nil"/>
                    <w:tr2bl w:val="nil"/>
                  </w:tcBorders>
                  <w:shd w:val="clear" w:color="auto" w:fill="auto"/>
                  <w:vAlign w:val="center"/>
                </w:tcPr>
                <w:p w14:paraId="6990E716">
                  <w:pPr>
                    <w:spacing w:line="240" w:lineRule="auto"/>
                    <w:ind w:firstLine="0" w:firstLineChars="0"/>
                    <w:jc w:val="center"/>
                    <w:rPr>
                      <w:sz w:val="21"/>
                      <w:szCs w:val="21"/>
                    </w:rPr>
                  </w:pPr>
                  <w:r>
                    <w:rPr>
                      <w:sz w:val="21"/>
                      <w:szCs w:val="21"/>
                    </w:rPr>
                    <w:t>达标</w:t>
                  </w:r>
                </w:p>
              </w:tc>
            </w:tr>
            <w:tr w14:paraId="64193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04" w:type="pct"/>
                  <w:tcBorders>
                    <w:tl2br w:val="nil"/>
                    <w:tr2bl w:val="nil"/>
                  </w:tcBorders>
                  <w:shd w:val="clear" w:color="auto" w:fill="auto"/>
                  <w:vAlign w:val="center"/>
                </w:tcPr>
                <w:p w14:paraId="610CCEC5">
                  <w:pPr>
                    <w:spacing w:line="240" w:lineRule="auto"/>
                    <w:ind w:firstLine="0" w:firstLineChars="0"/>
                    <w:jc w:val="center"/>
                    <w:rPr>
                      <w:sz w:val="21"/>
                      <w:szCs w:val="21"/>
                    </w:rPr>
                  </w:pPr>
                  <w:r>
                    <w:rPr>
                      <w:sz w:val="21"/>
                      <w:szCs w:val="21"/>
                    </w:rPr>
                    <w:t>苯并[a]蒽</w:t>
                  </w:r>
                </w:p>
              </w:tc>
              <w:tc>
                <w:tcPr>
                  <w:tcW w:w="836" w:type="pct"/>
                  <w:tcBorders>
                    <w:tl2br w:val="nil"/>
                    <w:tr2bl w:val="nil"/>
                  </w:tcBorders>
                  <w:shd w:val="clear" w:color="auto" w:fill="auto"/>
                  <w:vAlign w:val="center"/>
                </w:tcPr>
                <w:p w14:paraId="67B52B6D">
                  <w:pPr>
                    <w:spacing w:line="240" w:lineRule="auto"/>
                    <w:ind w:firstLine="0" w:firstLineChars="0"/>
                    <w:jc w:val="center"/>
                    <w:rPr>
                      <w:sz w:val="21"/>
                      <w:szCs w:val="21"/>
                    </w:rPr>
                  </w:pPr>
                  <w:r>
                    <w:rPr>
                      <w:sz w:val="21"/>
                      <w:szCs w:val="21"/>
                    </w:rPr>
                    <w:t>mg/kg</w:t>
                  </w:r>
                </w:p>
              </w:tc>
              <w:tc>
                <w:tcPr>
                  <w:tcW w:w="899" w:type="pct"/>
                  <w:tcBorders>
                    <w:tl2br w:val="nil"/>
                    <w:tr2bl w:val="nil"/>
                  </w:tcBorders>
                  <w:shd w:val="clear" w:color="auto" w:fill="auto"/>
                  <w:vAlign w:val="center"/>
                </w:tcPr>
                <w:p w14:paraId="6E795862">
                  <w:pPr>
                    <w:widowControl/>
                    <w:spacing w:line="240" w:lineRule="exact"/>
                    <w:ind w:firstLine="0" w:firstLineChars="0"/>
                    <w:jc w:val="center"/>
                    <w:rPr>
                      <w:sz w:val="21"/>
                      <w:szCs w:val="21"/>
                    </w:rPr>
                  </w:pPr>
                  <w:r>
                    <w:rPr>
                      <w:rFonts w:hint="eastAsia" w:ascii="Arial" w:hAnsi="Arial"/>
                      <w:sz w:val="20"/>
                      <w:szCs w:val="20"/>
                    </w:rPr>
                    <w:t>0.1L</w:t>
                  </w:r>
                </w:p>
              </w:tc>
              <w:tc>
                <w:tcPr>
                  <w:tcW w:w="1011" w:type="pct"/>
                  <w:tcBorders>
                    <w:tl2br w:val="nil"/>
                    <w:tr2bl w:val="nil"/>
                  </w:tcBorders>
                  <w:shd w:val="clear" w:color="auto" w:fill="auto"/>
                  <w:vAlign w:val="center"/>
                </w:tcPr>
                <w:p w14:paraId="20813EAC">
                  <w:pPr>
                    <w:spacing w:line="240" w:lineRule="auto"/>
                    <w:ind w:firstLine="0" w:firstLineChars="0"/>
                    <w:jc w:val="center"/>
                    <w:rPr>
                      <w:sz w:val="21"/>
                      <w:szCs w:val="21"/>
                    </w:rPr>
                  </w:pPr>
                  <w:r>
                    <w:rPr>
                      <w:sz w:val="21"/>
                      <w:szCs w:val="21"/>
                    </w:rPr>
                    <w:t>15</w:t>
                  </w:r>
                </w:p>
              </w:tc>
              <w:tc>
                <w:tcPr>
                  <w:tcW w:w="847" w:type="pct"/>
                  <w:tcBorders>
                    <w:tl2br w:val="nil"/>
                    <w:tr2bl w:val="nil"/>
                  </w:tcBorders>
                  <w:shd w:val="clear" w:color="auto" w:fill="auto"/>
                  <w:vAlign w:val="center"/>
                </w:tcPr>
                <w:p w14:paraId="19AB6922">
                  <w:pPr>
                    <w:spacing w:line="240" w:lineRule="auto"/>
                    <w:ind w:firstLine="0" w:firstLineChars="0"/>
                    <w:jc w:val="center"/>
                    <w:rPr>
                      <w:sz w:val="21"/>
                      <w:szCs w:val="21"/>
                    </w:rPr>
                  </w:pPr>
                  <w:r>
                    <w:rPr>
                      <w:sz w:val="21"/>
                      <w:szCs w:val="21"/>
                    </w:rPr>
                    <w:t>达标</w:t>
                  </w:r>
                </w:p>
              </w:tc>
            </w:tr>
            <w:tr w14:paraId="62B38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04" w:type="pct"/>
                  <w:tcBorders>
                    <w:tl2br w:val="nil"/>
                    <w:tr2bl w:val="nil"/>
                  </w:tcBorders>
                  <w:shd w:val="clear" w:color="auto" w:fill="auto"/>
                  <w:vAlign w:val="center"/>
                </w:tcPr>
                <w:p w14:paraId="63593925">
                  <w:pPr>
                    <w:spacing w:line="240" w:lineRule="auto"/>
                    <w:ind w:firstLine="0" w:firstLineChars="0"/>
                    <w:jc w:val="center"/>
                    <w:rPr>
                      <w:sz w:val="21"/>
                      <w:szCs w:val="21"/>
                    </w:rPr>
                  </w:pPr>
                  <w:r>
                    <w:rPr>
                      <w:sz w:val="21"/>
                      <w:szCs w:val="21"/>
                    </w:rPr>
                    <w:t>苯并[a]芘</w:t>
                  </w:r>
                </w:p>
              </w:tc>
              <w:tc>
                <w:tcPr>
                  <w:tcW w:w="836" w:type="pct"/>
                  <w:tcBorders>
                    <w:tl2br w:val="nil"/>
                    <w:tr2bl w:val="nil"/>
                  </w:tcBorders>
                  <w:shd w:val="clear" w:color="auto" w:fill="auto"/>
                  <w:vAlign w:val="center"/>
                </w:tcPr>
                <w:p w14:paraId="75C6184A">
                  <w:pPr>
                    <w:spacing w:line="240" w:lineRule="auto"/>
                    <w:ind w:firstLine="0" w:firstLineChars="0"/>
                    <w:jc w:val="center"/>
                    <w:rPr>
                      <w:sz w:val="21"/>
                      <w:szCs w:val="21"/>
                    </w:rPr>
                  </w:pPr>
                  <w:r>
                    <w:rPr>
                      <w:sz w:val="21"/>
                      <w:szCs w:val="21"/>
                    </w:rPr>
                    <w:t>mg/kg</w:t>
                  </w:r>
                </w:p>
              </w:tc>
              <w:tc>
                <w:tcPr>
                  <w:tcW w:w="899" w:type="pct"/>
                  <w:tcBorders>
                    <w:tl2br w:val="nil"/>
                    <w:tr2bl w:val="nil"/>
                  </w:tcBorders>
                  <w:shd w:val="clear" w:color="auto" w:fill="auto"/>
                  <w:vAlign w:val="center"/>
                </w:tcPr>
                <w:p w14:paraId="434385FE">
                  <w:pPr>
                    <w:widowControl/>
                    <w:spacing w:line="240" w:lineRule="exact"/>
                    <w:ind w:firstLine="0" w:firstLineChars="0"/>
                    <w:jc w:val="center"/>
                    <w:rPr>
                      <w:sz w:val="21"/>
                      <w:szCs w:val="21"/>
                    </w:rPr>
                  </w:pPr>
                  <w:r>
                    <w:rPr>
                      <w:rFonts w:hint="eastAsia" w:ascii="Arial" w:hAnsi="Arial"/>
                      <w:sz w:val="20"/>
                      <w:szCs w:val="20"/>
                    </w:rPr>
                    <w:t>0.1L</w:t>
                  </w:r>
                </w:p>
              </w:tc>
              <w:tc>
                <w:tcPr>
                  <w:tcW w:w="1011" w:type="pct"/>
                  <w:tcBorders>
                    <w:tl2br w:val="nil"/>
                    <w:tr2bl w:val="nil"/>
                  </w:tcBorders>
                  <w:shd w:val="clear" w:color="auto" w:fill="auto"/>
                  <w:vAlign w:val="center"/>
                </w:tcPr>
                <w:p w14:paraId="41F3F81A">
                  <w:pPr>
                    <w:spacing w:line="240" w:lineRule="auto"/>
                    <w:ind w:firstLine="0" w:firstLineChars="0"/>
                    <w:jc w:val="center"/>
                    <w:rPr>
                      <w:sz w:val="21"/>
                      <w:szCs w:val="21"/>
                    </w:rPr>
                  </w:pPr>
                  <w:r>
                    <w:rPr>
                      <w:sz w:val="21"/>
                      <w:szCs w:val="21"/>
                    </w:rPr>
                    <w:t>1.5</w:t>
                  </w:r>
                </w:p>
              </w:tc>
              <w:tc>
                <w:tcPr>
                  <w:tcW w:w="847" w:type="pct"/>
                  <w:tcBorders>
                    <w:tl2br w:val="nil"/>
                    <w:tr2bl w:val="nil"/>
                  </w:tcBorders>
                  <w:shd w:val="clear" w:color="auto" w:fill="auto"/>
                  <w:vAlign w:val="center"/>
                </w:tcPr>
                <w:p w14:paraId="2F6614F5">
                  <w:pPr>
                    <w:spacing w:line="240" w:lineRule="auto"/>
                    <w:ind w:firstLine="0" w:firstLineChars="0"/>
                    <w:jc w:val="center"/>
                    <w:rPr>
                      <w:sz w:val="21"/>
                      <w:szCs w:val="21"/>
                    </w:rPr>
                  </w:pPr>
                  <w:r>
                    <w:rPr>
                      <w:sz w:val="21"/>
                      <w:szCs w:val="21"/>
                    </w:rPr>
                    <w:t>达标</w:t>
                  </w:r>
                </w:p>
              </w:tc>
            </w:tr>
            <w:tr w14:paraId="01C85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04" w:type="pct"/>
                  <w:tcBorders>
                    <w:tl2br w:val="nil"/>
                    <w:tr2bl w:val="nil"/>
                  </w:tcBorders>
                  <w:shd w:val="clear" w:color="auto" w:fill="auto"/>
                  <w:vAlign w:val="center"/>
                </w:tcPr>
                <w:p w14:paraId="759091ED">
                  <w:pPr>
                    <w:spacing w:line="240" w:lineRule="auto"/>
                    <w:ind w:firstLine="0" w:firstLineChars="0"/>
                    <w:jc w:val="center"/>
                    <w:rPr>
                      <w:sz w:val="21"/>
                      <w:szCs w:val="21"/>
                    </w:rPr>
                  </w:pPr>
                  <w:r>
                    <w:rPr>
                      <w:sz w:val="21"/>
                      <w:szCs w:val="21"/>
                    </w:rPr>
                    <w:t>苯并[b]荧蒽</w:t>
                  </w:r>
                </w:p>
              </w:tc>
              <w:tc>
                <w:tcPr>
                  <w:tcW w:w="836" w:type="pct"/>
                  <w:tcBorders>
                    <w:tl2br w:val="nil"/>
                    <w:tr2bl w:val="nil"/>
                  </w:tcBorders>
                  <w:shd w:val="clear" w:color="auto" w:fill="auto"/>
                  <w:vAlign w:val="center"/>
                </w:tcPr>
                <w:p w14:paraId="16512129">
                  <w:pPr>
                    <w:spacing w:line="240" w:lineRule="auto"/>
                    <w:ind w:firstLine="0" w:firstLineChars="0"/>
                    <w:jc w:val="center"/>
                    <w:rPr>
                      <w:sz w:val="21"/>
                      <w:szCs w:val="21"/>
                    </w:rPr>
                  </w:pPr>
                  <w:r>
                    <w:rPr>
                      <w:sz w:val="21"/>
                      <w:szCs w:val="21"/>
                    </w:rPr>
                    <w:t>mg/kg</w:t>
                  </w:r>
                </w:p>
              </w:tc>
              <w:tc>
                <w:tcPr>
                  <w:tcW w:w="899" w:type="pct"/>
                  <w:tcBorders>
                    <w:tl2br w:val="nil"/>
                    <w:tr2bl w:val="nil"/>
                  </w:tcBorders>
                  <w:shd w:val="clear" w:color="auto" w:fill="auto"/>
                  <w:vAlign w:val="center"/>
                </w:tcPr>
                <w:p w14:paraId="0CC6FE04">
                  <w:pPr>
                    <w:widowControl/>
                    <w:spacing w:line="240" w:lineRule="exact"/>
                    <w:ind w:firstLine="0" w:firstLineChars="0"/>
                    <w:jc w:val="center"/>
                    <w:rPr>
                      <w:sz w:val="21"/>
                      <w:szCs w:val="21"/>
                    </w:rPr>
                  </w:pPr>
                  <w:r>
                    <w:rPr>
                      <w:rFonts w:hint="eastAsia" w:ascii="Arial" w:hAnsi="Arial"/>
                      <w:sz w:val="20"/>
                      <w:szCs w:val="20"/>
                    </w:rPr>
                    <w:t>0.2L</w:t>
                  </w:r>
                </w:p>
              </w:tc>
              <w:tc>
                <w:tcPr>
                  <w:tcW w:w="1011" w:type="pct"/>
                  <w:tcBorders>
                    <w:tl2br w:val="nil"/>
                    <w:tr2bl w:val="nil"/>
                  </w:tcBorders>
                  <w:shd w:val="clear" w:color="auto" w:fill="auto"/>
                  <w:vAlign w:val="center"/>
                </w:tcPr>
                <w:p w14:paraId="57D70852">
                  <w:pPr>
                    <w:spacing w:line="240" w:lineRule="auto"/>
                    <w:ind w:firstLine="0" w:firstLineChars="0"/>
                    <w:jc w:val="center"/>
                    <w:rPr>
                      <w:sz w:val="21"/>
                      <w:szCs w:val="21"/>
                    </w:rPr>
                  </w:pPr>
                  <w:r>
                    <w:rPr>
                      <w:sz w:val="21"/>
                      <w:szCs w:val="21"/>
                    </w:rPr>
                    <w:t>15</w:t>
                  </w:r>
                </w:p>
              </w:tc>
              <w:tc>
                <w:tcPr>
                  <w:tcW w:w="847" w:type="pct"/>
                  <w:tcBorders>
                    <w:tl2br w:val="nil"/>
                    <w:tr2bl w:val="nil"/>
                  </w:tcBorders>
                  <w:shd w:val="clear" w:color="auto" w:fill="auto"/>
                  <w:vAlign w:val="center"/>
                </w:tcPr>
                <w:p w14:paraId="6FEBBC43">
                  <w:pPr>
                    <w:spacing w:line="240" w:lineRule="auto"/>
                    <w:ind w:firstLine="0" w:firstLineChars="0"/>
                    <w:jc w:val="center"/>
                    <w:rPr>
                      <w:sz w:val="21"/>
                      <w:szCs w:val="21"/>
                    </w:rPr>
                  </w:pPr>
                  <w:r>
                    <w:rPr>
                      <w:sz w:val="21"/>
                      <w:szCs w:val="21"/>
                    </w:rPr>
                    <w:t>达标</w:t>
                  </w:r>
                </w:p>
              </w:tc>
            </w:tr>
            <w:tr w14:paraId="4F258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jc w:val="center"/>
              </w:trPr>
              <w:tc>
                <w:tcPr>
                  <w:tcW w:w="1404" w:type="pct"/>
                  <w:tcBorders>
                    <w:tl2br w:val="nil"/>
                    <w:tr2bl w:val="nil"/>
                  </w:tcBorders>
                  <w:shd w:val="clear" w:color="auto" w:fill="auto"/>
                  <w:vAlign w:val="center"/>
                </w:tcPr>
                <w:p w14:paraId="741E94CB">
                  <w:pPr>
                    <w:spacing w:line="240" w:lineRule="auto"/>
                    <w:ind w:firstLine="0" w:firstLineChars="0"/>
                    <w:jc w:val="center"/>
                    <w:rPr>
                      <w:sz w:val="21"/>
                      <w:szCs w:val="21"/>
                    </w:rPr>
                  </w:pPr>
                  <w:r>
                    <w:rPr>
                      <w:sz w:val="21"/>
                      <w:szCs w:val="21"/>
                    </w:rPr>
                    <w:t>苯并[k]荧蒽</w:t>
                  </w:r>
                </w:p>
              </w:tc>
              <w:tc>
                <w:tcPr>
                  <w:tcW w:w="836" w:type="pct"/>
                  <w:tcBorders>
                    <w:tl2br w:val="nil"/>
                    <w:tr2bl w:val="nil"/>
                  </w:tcBorders>
                  <w:shd w:val="clear" w:color="auto" w:fill="auto"/>
                  <w:vAlign w:val="center"/>
                </w:tcPr>
                <w:p w14:paraId="45F8C22B">
                  <w:pPr>
                    <w:spacing w:line="240" w:lineRule="auto"/>
                    <w:ind w:firstLine="0" w:firstLineChars="0"/>
                    <w:jc w:val="center"/>
                    <w:rPr>
                      <w:sz w:val="21"/>
                      <w:szCs w:val="21"/>
                    </w:rPr>
                  </w:pPr>
                  <w:r>
                    <w:rPr>
                      <w:sz w:val="21"/>
                      <w:szCs w:val="21"/>
                    </w:rPr>
                    <w:t>mg/kg</w:t>
                  </w:r>
                </w:p>
              </w:tc>
              <w:tc>
                <w:tcPr>
                  <w:tcW w:w="899" w:type="pct"/>
                  <w:tcBorders>
                    <w:tl2br w:val="nil"/>
                    <w:tr2bl w:val="nil"/>
                  </w:tcBorders>
                  <w:shd w:val="clear" w:color="auto" w:fill="auto"/>
                  <w:vAlign w:val="center"/>
                </w:tcPr>
                <w:p w14:paraId="262C3324">
                  <w:pPr>
                    <w:widowControl/>
                    <w:spacing w:line="240" w:lineRule="exact"/>
                    <w:ind w:firstLine="0" w:firstLineChars="0"/>
                    <w:jc w:val="center"/>
                    <w:rPr>
                      <w:sz w:val="21"/>
                      <w:szCs w:val="21"/>
                    </w:rPr>
                  </w:pPr>
                  <w:r>
                    <w:rPr>
                      <w:rFonts w:hint="eastAsia" w:ascii="Arial" w:hAnsi="Arial"/>
                      <w:sz w:val="20"/>
                      <w:szCs w:val="20"/>
                    </w:rPr>
                    <w:t>0.1L</w:t>
                  </w:r>
                </w:p>
              </w:tc>
              <w:tc>
                <w:tcPr>
                  <w:tcW w:w="1011" w:type="pct"/>
                  <w:tcBorders>
                    <w:tl2br w:val="nil"/>
                    <w:tr2bl w:val="nil"/>
                  </w:tcBorders>
                  <w:shd w:val="clear" w:color="auto" w:fill="auto"/>
                  <w:vAlign w:val="center"/>
                </w:tcPr>
                <w:p w14:paraId="656FE611">
                  <w:pPr>
                    <w:spacing w:line="240" w:lineRule="auto"/>
                    <w:ind w:firstLine="0" w:firstLineChars="0"/>
                    <w:jc w:val="center"/>
                    <w:rPr>
                      <w:sz w:val="21"/>
                      <w:szCs w:val="21"/>
                    </w:rPr>
                  </w:pPr>
                  <w:r>
                    <w:rPr>
                      <w:sz w:val="21"/>
                      <w:szCs w:val="21"/>
                    </w:rPr>
                    <w:t>151</w:t>
                  </w:r>
                </w:p>
              </w:tc>
              <w:tc>
                <w:tcPr>
                  <w:tcW w:w="847" w:type="pct"/>
                  <w:tcBorders>
                    <w:tl2br w:val="nil"/>
                    <w:tr2bl w:val="nil"/>
                  </w:tcBorders>
                  <w:shd w:val="clear" w:color="auto" w:fill="auto"/>
                  <w:vAlign w:val="center"/>
                </w:tcPr>
                <w:p w14:paraId="10AFC8D1">
                  <w:pPr>
                    <w:spacing w:line="240" w:lineRule="auto"/>
                    <w:ind w:firstLine="0" w:firstLineChars="0"/>
                    <w:jc w:val="center"/>
                    <w:rPr>
                      <w:sz w:val="21"/>
                      <w:szCs w:val="21"/>
                    </w:rPr>
                  </w:pPr>
                  <w:r>
                    <w:rPr>
                      <w:sz w:val="21"/>
                      <w:szCs w:val="21"/>
                    </w:rPr>
                    <w:t>达标</w:t>
                  </w:r>
                </w:p>
              </w:tc>
            </w:tr>
            <w:tr w14:paraId="776FB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404" w:type="pct"/>
                  <w:tcBorders>
                    <w:tl2br w:val="nil"/>
                    <w:tr2bl w:val="nil"/>
                  </w:tcBorders>
                  <w:shd w:val="clear" w:color="auto" w:fill="auto"/>
                  <w:vAlign w:val="center"/>
                </w:tcPr>
                <w:p w14:paraId="7DCF076B">
                  <w:pPr>
                    <w:spacing w:line="240" w:lineRule="auto"/>
                    <w:ind w:firstLine="0" w:firstLineChars="0"/>
                    <w:jc w:val="center"/>
                    <w:rPr>
                      <w:sz w:val="21"/>
                      <w:szCs w:val="21"/>
                    </w:rPr>
                  </w:pPr>
                  <w:r>
                    <w:rPr>
                      <w:sz w:val="21"/>
                      <w:szCs w:val="21"/>
                    </w:rPr>
                    <w:t>䓛</w:t>
                  </w:r>
                </w:p>
              </w:tc>
              <w:tc>
                <w:tcPr>
                  <w:tcW w:w="836" w:type="pct"/>
                  <w:tcBorders>
                    <w:tl2br w:val="nil"/>
                    <w:tr2bl w:val="nil"/>
                  </w:tcBorders>
                  <w:shd w:val="clear" w:color="auto" w:fill="auto"/>
                  <w:vAlign w:val="center"/>
                </w:tcPr>
                <w:p w14:paraId="46A0A176">
                  <w:pPr>
                    <w:spacing w:line="240" w:lineRule="auto"/>
                    <w:ind w:firstLine="0" w:firstLineChars="0"/>
                    <w:jc w:val="center"/>
                    <w:rPr>
                      <w:sz w:val="21"/>
                      <w:szCs w:val="21"/>
                    </w:rPr>
                  </w:pPr>
                  <w:r>
                    <w:rPr>
                      <w:sz w:val="21"/>
                      <w:szCs w:val="21"/>
                    </w:rPr>
                    <w:t>mg/kg</w:t>
                  </w:r>
                </w:p>
              </w:tc>
              <w:tc>
                <w:tcPr>
                  <w:tcW w:w="899" w:type="pct"/>
                  <w:tcBorders>
                    <w:tl2br w:val="nil"/>
                    <w:tr2bl w:val="nil"/>
                  </w:tcBorders>
                  <w:shd w:val="clear" w:color="auto" w:fill="auto"/>
                  <w:vAlign w:val="center"/>
                </w:tcPr>
                <w:p w14:paraId="44B49A91">
                  <w:pPr>
                    <w:widowControl/>
                    <w:spacing w:line="240" w:lineRule="exact"/>
                    <w:ind w:firstLine="0" w:firstLineChars="0"/>
                    <w:jc w:val="center"/>
                    <w:rPr>
                      <w:sz w:val="21"/>
                      <w:szCs w:val="21"/>
                    </w:rPr>
                  </w:pPr>
                  <w:r>
                    <w:rPr>
                      <w:rFonts w:hint="eastAsia" w:ascii="Arial" w:hAnsi="Arial"/>
                      <w:sz w:val="20"/>
                      <w:szCs w:val="20"/>
                    </w:rPr>
                    <w:t>0.1L</w:t>
                  </w:r>
                </w:p>
              </w:tc>
              <w:tc>
                <w:tcPr>
                  <w:tcW w:w="1011" w:type="pct"/>
                  <w:tcBorders>
                    <w:tl2br w:val="nil"/>
                    <w:tr2bl w:val="nil"/>
                  </w:tcBorders>
                  <w:shd w:val="clear" w:color="auto" w:fill="auto"/>
                  <w:vAlign w:val="center"/>
                </w:tcPr>
                <w:p w14:paraId="17202D51">
                  <w:pPr>
                    <w:spacing w:line="240" w:lineRule="auto"/>
                    <w:ind w:firstLine="0" w:firstLineChars="0"/>
                    <w:jc w:val="center"/>
                    <w:rPr>
                      <w:sz w:val="21"/>
                      <w:szCs w:val="21"/>
                    </w:rPr>
                  </w:pPr>
                  <w:r>
                    <w:rPr>
                      <w:sz w:val="21"/>
                      <w:szCs w:val="21"/>
                    </w:rPr>
                    <w:t>1293</w:t>
                  </w:r>
                </w:p>
              </w:tc>
              <w:tc>
                <w:tcPr>
                  <w:tcW w:w="847" w:type="pct"/>
                  <w:tcBorders>
                    <w:tl2br w:val="nil"/>
                    <w:tr2bl w:val="nil"/>
                  </w:tcBorders>
                  <w:shd w:val="clear" w:color="auto" w:fill="auto"/>
                  <w:vAlign w:val="center"/>
                </w:tcPr>
                <w:p w14:paraId="7B0DF021">
                  <w:pPr>
                    <w:spacing w:line="240" w:lineRule="auto"/>
                    <w:ind w:firstLine="0" w:firstLineChars="0"/>
                    <w:jc w:val="center"/>
                    <w:rPr>
                      <w:sz w:val="21"/>
                      <w:szCs w:val="21"/>
                    </w:rPr>
                  </w:pPr>
                  <w:r>
                    <w:rPr>
                      <w:sz w:val="21"/>
                      <w:szCs w:val="21"/>
                    </w:rPr>
                    <w:t>达标</w:t>
                  </w:r>
                </w:p>
              </w:tc>
            </w:tr>
            <w:tr w14:paraId="4DB63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04" w:type="pct"/>
                  <w:tcBorders>
                    <w:tl2br w:val="nil"/>
                    <w:tr2bl w:val="nil"/>
                  </w:tcBorders>
                  <w:shd w:val="clear" w:color="auto" w:fill="auto"/>
                  <w:vAlign w:val="center"/>
                </w:tcPr>
                <w:p w14:paraId="36EC541D">
                  <w:pPr>
                    <w:spacing w:line="240" w:lineRule="auto"/>
                    <w:ind w:firstLine="0" w:firstLineChars="0"/>
                    <w:jc w:val="center"/>
                    <w:rPr>
                      <w:sz w:val="21"/>
                      <w:szCs w:val="21"/>
                    </w:rPr>
                  </w:pPr>
                  <w:r>
                    <w:rPr>
                      <w:sz w:val="21"/>
                      <w:szCs w:val="21"/>
                    </w:rPr>
                    <w:t>二苯并[a,h]蒽</w:t>
                  </w:r>
                </w:p>
              </w:tc>
              <w:tc>
                <w:tcPr>
                  <w:tcW w:w="836" w:type="pct"/>
                  <w:tcBorders>
                    <w:tl2br w:val="nil"/>
                    <w:tr2bl w:val="nil"/>
                  </w:tcBorders>
                  <w:shd w:val="clear" w:color="auto" w:fill="auto"/>
                  <w:vAlign w:val="center"/>
                </w:tcPr>
                <w:p w14:paraId="2BE7B590">
                  <w:pPr>
                    <w:spacing w:line="240" w:lineRule="auto"/>
                    <w:ind w:firstLine="0" w:firstLineChars="0"/>
                    <w:jc w:val="center"/>
                    <w:rPr>
                      <w:sz w:val="21"/>
                      <w:szCs w:val="21"/>
                    </w:rPr>
                  </w:pPr>
                  <w:r>
                    <w:rPr>
                      <w:sz w:val="21"/>
                      <w:szCs w:val="21"/>
                    </w:rPr>
                    <w:t>mg/kg</w:t>
                  </w:r>
                </w:p>
              </w:tc>
              <w:tc>
                <w:tcPr>
                  <w:tcW w:w="899" w:type="pct"/>
                  <w:tcBorders>
                    <w:tl2br w:val="nil"/>
                    <w:tr2bl w:val="nil"/>
                  </w:tcBorders>
                  <w:shd w:val="clear" w:color="auto" w:fill="auto"/>
                  <w:vAlign w:val="center"/>
                </w:tcPr>
                <w:p w14:paraId="188C85F2">
                  <w:pPr>
                    <w:widowControl/>
                    <w:spacing w:line="240" w:lineRule="exact"/>
                    <w:ind w:firstLine="0" w:firstLineChars="0"/>
                    <w:jc w:val="center"/>
                    <w:rPr>
                      <w:sz w:val="21"/>
                      <w:szCs w:val="21"/>
                    </w:rPr>
                  </w:pPr>
                  <w:r>
                    <w:rPr>
                      <w:rFonts w:hint="eastAsia" w:ascii="Arial" w:hAnsi="Arial"/>
                      <w:sz w:val="20"/>
                      <w:szCs w:val="20"/>
                    </w:rPr>
                    <w:t>0.1L</w:t>
                  </w:r>
                </w:p>
              </w:tc>
              <w:tc>
                <w:tcPr>
                  <w:tcW w:w="1011" w:type="pct"/>
                  <w:tcBorders>
                    <w:tl2br w:val="nil"/>
                    <w:tr2bl w:val="nil"/>
                  </w:tcBorders>
                  <w:shd w:val="clear" w:color="auto" w:fill="auto"/>
                  <w:vAlign w:val="center"/>
                </w:tcPr>
                <w:p w14:paraId="6D04BC22">
                  <w:pPr>
                    <w:spacing w:line="240" w:lineRule="auto"/>
                    <w:ind w:firstLine="0" w:firstLineChars="0"/>
                    <w:jc w:val="center"/>
                    <w:rPr>
                      <w:sz w:val="21"/>
                      <w:szCs w:val="21"/>
                    </w:rPr>
                  </w:pPr>
                  <w:r>
                    <w:rPr>
                      <w:sz w:val="21"/>
                      <w:szCs w:val="21"/>
                    </w:rPr>
                    <w:t>1.5</w:t>
                  </w:r>
                </w:p>
              </w:tc>
              <w:tc>
                <w:tcPr>
                  <w:tcW w:w="847" w:type="pct"/>
                  <w:tcBorders>
                    <w:tl2br w:val="nil"/>
                    <w:tr2bl w:val="nil"/>
                  </w:tcBorders>
                  <w:shd w:val="clear" w:color="auto" w:fill="auto"/>
                  <w:vAlign w:val="center"/>
                </w:tcPr>
                <w:p w14:paraId="1D88762A">
                  <w:pPr>
                    <w:spacing w:line="240" w:lineRule="auto"/>
                    <w:ind w:firstLine="0" w:firstLineChars="0"/>
                    <w:jc w:val="center"/>
                    <w:rPr>
                      <w:sz w:val="21"/>
                      <w:szCs w:val="21"/>
                    </w:rPr>
                  </w:pPr>
                  <w:r>
                    <w:rPr>
                      <w:sz w:val="21"/>
                      <w:szCs w:val="21"/>
                    </w:rPr>
                    <w:t>达标</w:t>
                  </w:r>
                </w:p>
              </w:tc>
            </w:tr>
            <w:tr w14:paraId="5B739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1404" w:type="pct"/>
                  <w:tcBorders>
                    <w:tl2br w:val="nil"/>
                    <w:tr2bl w:val="nil"/>
                  </w:tcBorders>
                  <w:shd w:val="clear" w:color="auto" w:fill="auto"/>
                  <w:vAlign w:val="center"/>
                </w:tcPr>
                <w:p w14:paraId="334B28DB">
                  <w:pPr>
                    <w:spacing w:line="240" w:lineRule="auto"/>
                    <w:ind w:firstLine="0" w:firstLineChars="0"/>
                    <w:jc w:val="center"/>
                    <w:rPr>
                      <w:sz w:val="21"/>
                      <w:szCs w:val="21"/>
                    </w:rPr>
                  </w:pPr>
                  <w:r>
                    <w:rPr>
                      <w:sz w:val="21"/>
                      <w:szCs w:val="21"/>
                    </w:rPr>
                    <w:t>茚并[1,2,3 -cd]芘</w:t>
                  </w:r>
                </w:p>
              </w:tc>
              <w:tc>
                <w:tcPr>
                  <w:tcW w:w="836" w:type="pct"/>
                  <w:tcBorders>
                    <w:tl2br w:val="nil"/>
                    <w:tr2bl w:val="nil"/>
                  </w:tcBorders>
                  <w:shd w:val="clear" w:color="auto" w:fill="auto"/>
                  <w:vAlign w:val="center"/>
                </w:tcPr>
                <w:p w14:paraId="22248BC9">
                  <w:pPr>
                    <w:spacing w:line="240" w:lineRule="auto"/>
                    <w:ind w:firstLine="0" w:firstLineChars="0"/>
                    <w:jc w:val="center"/>
                    <w:rPr>
                      <w:sz w:val="21"/>
                      <w:szCs w:val="21"/>
                    </w:rPr>
                  </w:pPr>
                  <w:r>
                    <w:rPr>
                      <w:sz w:val="21"/>
                      <w:szCs w:val="21"/>
                    </w:rPr>
                    <w:t>mg/kg</w:t>
                  </w:r>
                </w:p>
              </w:tc>
              <w:tc>
                <w:tcPr>
                  <w:tcW w:w="899" w:type="pct"/>
                  <w:tcBorders>
                    <w:tl2br w:val="nil"/>
                    <w:tr2bl w:val="nil"/>
                  </w:tcBorders>
                  <w:shd w:val="clear" w:color="auto" w:fill="auto"/>
                  <w:vAlign w:val="center"/>
                </w:tcPr>
                <w:p w14:paraId="7D284726">
                  <w:pPr>
                    <w:widowControl/>
                    <w:spacing w:line="240" w:lineRule="exact"/>
                    <w:ind w:firstLine="0" w:firstLineChars="0"/>
                    <w:jc w:val="center"/>
                    <w:rPr>
                      <w:sz w:val="21"/>
                      <w:szCs w:val="21"/>
                    </w:rPr>
                  </w:pPr>
                  <w:r>
                    <w:rPr>
                      <w:rFonts w:hint="eastAsia" w:ascii="Arial" w:hAnsi="Arial"/>
                      <w:sz w:val="20"/>
                      <w:szCs w:val="20"/>
                    </w:rPr>
                    <w:t>0.1L</w:t>
                  </w:r>
                </w:p>
              </w:tc>
              <w:tc>
                <w:tcPr>
                  <w:tcW w:w="1011" w:type="pct"/>
                  <w:tcBorders>
                    <w:tl2br w:val="nil"/>
                    <w:tr2bl w:val="nil"/>
                  </w:tcBorders>
                  <w:shd w:val="clear" w:color="auto" w:fill="auto"/>
                  <w:vAlign w:val="center"/>
                </w:tcPr>
                <w:p w14:paraId="29BFFF7E">
                  <w:pPr>
                    <w:spacing w:line="240" w:lineRule="auto"/>
                    <w:ind w:firstLine="0" w:firstLineChars="0"/>
                    <w:jc w:val="center"/>
                    <w:rPr>
                      <w:sz w:val="21"/>
                      <w:szCs w:val="21"/>
                    </w:rPr>
                  </w:pPr>
                  <w:r>
                    <w:rPr>
                      <w:sz w:val="21"/>
                      <w:szCs w:val="21"/>
                    </w:rPr>
                    <w:t>15</w:t>
                  </w:r>
                </w:p>
              </w:tc>
              <w:tc>
                <w:tcPr>
                  <w:tcW w:w="847" w:type="pct"/>
                  <w:tcBorders>
                    <w:tl2br w:val="nil"/>
                    <w:tr2bl w:val="nil"/>
                  </w:tcBorders>
                  <w:shd w:val="clear" w:color="auto" w:fill="auto"/>
                  <w:vAlign w:val="center"/>
                </w:tcPr>
                <w:p w14:paraId="1022B80F">
                  <w:pPr>
                    <w:spacing w:line="240" w:lineRule="auto"/>
                    <w:ind w:firstLine="0" w:firstLineChars="0"/>
                    <w:jc w:val="center"/>
                    <w:rPr>
                      <w:sz w:val="21"/>
                      <w:szCs w:val="21"/>
                    </w:rPr>
                  </w:pPr>
                  <w:r>
                    <w:rPr>
                      <w:sz w:val="21"/>
                      <w:szCs w:val="21"/>
                    </w:rPr>
                    <w:t>达标</w:t>
                  </w:r>
                </w:p>
              </w:tc>
            </w:tr>
            <w:tr w14:paraId="07CF0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1404" w:type="pct"/>
                  <w:tcBorders>
                    <w:tl2br w:val="nil"/>
                    <w:tr2bl w:val="nil"/>
                  </w:tcBorders>
                  <w:shd w:val="clear" w:color="auto" w:fill="auto"/>
                  <w:vAlign w:val="center"/>
                </w:tcPr>
                <w:p w14:paraId="1F7373B6">
                  <w:pPr>
                    <w:spacing w:line="240" w:lineRule="auto"/>
                    <w:ind w:firstLine="0" w:firstLineChars="0"/>
                    <w:jc w:val="center"/>
                    <w:rPr>
                      <w:sz w:val="21"/>
                      <w:szCs w:val="21"/>
                    </w:rPr>
                  </w:pPr>
                  <w:r>
                    <w:rPr>
                      <w:sz w:val="21"/>
                      <w:szCs w:val="21"/>
                    </w:rPr>
                    <w:t>萘</w:t>
                  </w:r>
                </w:p>
              </w:tc>
              <w:tc>
                <w:tcPr>
                  <w:tcW w:w="836" w:type="pct"/>
                  <w:tcBorders>
                    <w:tl2br w:val="nil"/>
                    <w:tr2bl w:val="nil"/>
                  </w:tcBorders>
                  <w:shd w:val="clear" w:color="auto" w:fill="auto"/>
                  <w:vAlign w:val="center"/>
                </w:tcPr>
                <w:p w14:paraId="04764F14">
                  <w:pPr>
                    <w:spacing w:line="240" w:lineRule="auto"/>
                    <w:ind w:firstLine="0" w:firstLineChars="0"/>
                    <w:jc w:val="center"/>
                    <w:rPr>
                      <w:sz w:val="21"/>
                      <w:szCs w:val="21"/>
                    </w:rPr>
                  </w:pPr>
                  <w:r>
                    <w:rPr>
                      <w:sz w:val="21"/>
                      <w:szCs w:val="21"/>
                    </w:rPr>
                    <w:t>mg/kg</w:t>
                  </w:r>
                </w:p>
              </w:tc>
              <w:tc>
                <w:tcPr>
                  <w:tcW w:w="899" w:type="pct"/>
                  <w:tcBorders>
                    <w:tl2br w:val="nil"/>
                    <w:tr2bl w:val="nil"/>
                  </w:tcBorders>
                  <w:shd w:val="clear" w:color="auto" w:fill="auto"/>
                  <w:vAlign w:val="center"/>
                </w:tcPr>
                <w:p w14:paraId="44E7D1C8">
                  <w:pPr>
                    <w:widowControl/>
                    <w:spacing w:line="240" w:lineRule="exact"/>
                    <w:ind w:firstLine="0" w:firstLineChars="0"/>
                    <w:jc w:val="center"/>
                    <w:rPr>
                      <w:sz w:val="21"/>
                      <w:szCs w:val="21"/>
                    </w:rPr>
                  </w:pPr>
                  <w:r>
                    <w:rPr>
                      <w:rFonts w:hint="eastAsia" w:ascii="Arial" w:hAnsi="Arial"/>
                      <w:sz w:val="20"/>
                      <w:szCs w:val="20"/>
                    </w:rPr>
                    <w:t>0.09L</w:t>
                  </w:r>
                </w:p>
              </w:tc>
              <w:tc>
                <w:tcPr>
                  <w:tcW w:w="1011" w:type="pct"/>
                  <w:tcBorders>
                    <w:tl2br w:val="nil"/>
                    <w:tr2bl w:val="nil"/>
                  </w:tcBorders>
                  <w:shd w:val="clear" w:color="auto" w:fill="auto"/>
                  <w:vAlign w:val="center"/>
                </w:tcPr>
                <w:p w14:paraId="187F422A">
                  <w:pPr>
                    <w:spacing w:line="240" w:lineRule="auto"/>
                    <w:ind w:firstLine="0" w:firstLineChars="0"/>
                    <w:jc w:val="center"/>
                    <w:rPr>
                      <w:sz w:val="21"/>
                      <w:szCs w:val="21"/>
                    </w:rPr>
                  </w:pPr>
                  <w:r>
                    <w:rPr>
                      <w:sz w:val="21"/>
                      <w:szCs w:val="21"/>
                    </w:rPr>
                    <w:t>70</w:t>
                  </w:r>
                </w:p>
              </w:tc>
              <w:tc>
                <w:tcPr>
                  <w:tcW w:w="847" w:type="pct"/>
                  <w:tcBorders>
                    <w:tl2br w:val="nil"/>
                    <w:tr2bl w:val="nil"/>
                  </w:tcBorders>
                  <w:shd w:val="clear" w:color="auto" w:fill="auto"/>
                  <w:vAlign w:val="center"/>
                </w:tcPr>
                <w:p w14:paraId="656D44E0">
                  <w:pPr>
                    <w:spacing w:line="240" w:lineRule="auto"/>
                    <w:ind w:firstLine="0" w:firstLineChars="0"/>
                    <w:jc w:val="center"/>
                    <w:rPr>
                      <w:sz w:val="21"/>
                      <w:szCs w:val="21"/>
                    </w:rPr>
                  </w:pPr>
                  <w:r>
                    <w:rPr>
                      <w:sz w:val="21"/>
                      <w:szCs w:val="21"/>
                    </w:rPr>
                    <w:t>达标</w:t>
                  </w:r>
                </w:p>
              </w:tc>
            </w:tr>
            <w:tr w14:paraId="6C3D0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000" w:type="pct"/>
                  <w:gridSpan w:val="5"/>
                  <w:tcBorders>
                    <w:tl2br w:val="nil"/>
                    <w:tr2bl w:val="nil"/>
                  </w:tcBorders>
                  <w:shd w:val="clear" w:color="auto" w:fill="auto"/>
                  <w:vAlign w:val="center"/>
                </w:tcPr>
                <w:p w14:paraId="007C0E7F">
                  <w:pPr>
                    <w:spacing w:line="240" w:lineRule="auto"/>
                    <w:ind w:firstLine="0" w:firstLineChars="0"/>
                    <w:rPr>
                      <w:sz w:val="21"/>
                      <w:szCs w:val="21"/>
                    </w:rPr>
                  </w:pPr>
                  <w:r>
                    <w:rPr>
                      <w:rFonts w:hint="eastAsia"/>
                      <w:sz w:val="21"/>
                      <w:szCs w:val="21"/>
                    </w:rPr>
                    <w:t>备注：“方法检出限或最低检出限浓度＋L”表示目测定结果低于分析方法检出限或最低检出限浓度。</w:t>
                  </w:r>
                </w:p>
              </w:tc>
            </w:tr>
          </w:tbl>
          <w:p w14:paraId="684E024A">
            <w:pPr>
              <w:adjustRightInd w:val="0"/>
              <w:snapToGrid w:val="0"/>
              <w:ind w:firstLine="480"/>
              <w:jc w:val="left"/>
              <w:rPr>
                <w:rFonts w:cs="宋体"/>
                <w:kern w:val="0"/>
                <w:szCs w:val="21"/>
              </w:rPr>
            </w:pPr>
            <w:r>
              <w:rPr>
                <w:rFonts w:hint="eastAsia" w:cs="宋体"/>
              </w:rPr>
              <w:t>据监测结果得知，项目区范围内土壤环境质量中各个因子均满足《土壤环境质量  建设用地土壤污染风险管控标准（试行）》（GB36600-2018）第二类用地筛选值标准限值。</w:t>
            </w:r>
          </w:p>
        </w:tc>
      </w:tr>
      <w:tr w14:paraId="3F2703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18" w:hRule="atLeast"/>
          <w:jc w:val="center"/>
        </w:trPr>
        <w:tc>
          <w:tcPr>
            <w:tcW w:w="426" w:type="dxa"/>
            <w:tcBorders>
              <w:top w:val="single" w:color="auto" w:sz="4" w:space="0"/>
              <w:left w:val="single" w:color="auto" w:sz="8" w:space="0"/>
              <w:bottom w:val="single" w:color="auto" w:sz="4" w:space="0"/>
              <w:right w:val="single" w:color="auto" w:sz="4" w:space="0"/>
            </w:tcBorders>
            <w:shd w:val="clear" w:color="auto" w:fill="auto"/>
            <w:vAlign w:val="center"/>
          </w:tcPr>
          <w:p w14:paraId="1AA48905">
            <w:pPr>
              <w:adjustRightInd w:val="0"/>
              <w:snapToGrid w:val="0"/>
              <w:spacing w:line="240" w:lineRule="auto"/>
              <w:ind w:firstLine="0" w:firstLineChars="0"/>
              <w:jc w:val="center"/>
              <w:rPr>
                <w:rFonts w:cs="宋体"/>
                <w:kern w:val="0"/>
                <w:szCs w:val="21"/>
              </w:rPr>
            </w:pPr>
            <w:r>
              <w:rPr>
                <w:rFonts w:hint="eastAsia" w:cs="宋体"/>
                <w:kern w:val="0"/>
                <w:sz w:val="21"/>
                <w:szCs w:val="21"/>
              </w:rPr>
              <w:t>环境</w:t>
            </w:r>
          </w:p>
          <w:p w14:paraId="11F26F15">
            <w:pPr>
              <w:adjustRightInd w:val="0"/>
              <w:snapToGrid w:val="0"/>
              <w:spacing w:line="240" w:lineRule="auto"/>
              <w:ind w:firstLine="0" w:firstLineChars="0"/>
              <w:jc w:val="center"/>
              <w:rPr>
                <w:rFonts w:cs="宋体"/>
                <w:kern w:val="0"/>
                <w:szCs w:val="21"/>
              </w:rPr>
            </w:pPr>
            <w:r>
              <w:rPr>
                <w:rFonts w:hint="eastAsia" w:cs="宋体"/>
                <w:kern w:val="0"/>
                <w:sz w:val="21"/>
                <w:szCs w:val="21"/>
              </w:rPr>
              <w:t>保护</w:t>
            </w:r>
          </w:p>
          <w:p w14:paraId="4004A3EB">
            <w:pPr>
              <w:adjustRightInd w:val="0"/>
              <w:snapToGrid w:val="0"/>
              <w:spacing w:line="240" w:lineRule="auto"/>
              <w:ind w:firstLine="0" w:firstLineChars="0"/>
              <w:jc w:val="center"/>
              <w:rPr>
                <w:rFonts w:cs="宋体"/>
                <w:kern w:val="0"/>
                <w:szCs w:val="21"/>
              </w:rPr>
            </w:pPr>
            <w:r>
              <w:rPr>
                <w:rFonts w:hint="eastAsia" w:cs="宋体"/>
                <w:kern w:val="0"/>
                <w:sz w:val="21"/>
                <w:szCs w:val="21"/>
              </w:rPr>
              <w:t>目标</w:t>
            </w:r>
          </w:p>
        </w:tc>
        <w:tc>
          <w:tcPr>
            <w:tcW w:w="8959" w:type="dxa"/>
            <w:tcBorders>
              <w:top w:val="single" w:color="auto" w:sz="4" w:space="0"/>
              <w:left w:val="single" w:color="auto" w:sz="4" w:space="0"/>
              <w:bottom w:val="single" w:color="auto" w:sz="4" w:space="0"/>
              <w:right w:val="single" w:color="auto" w:sz="8" w:space="0"/>
            </w:tcBorders>
            <w:shd w:val="clear" w:color="auto" w:fill="auto"/>
          </w:tcPr>
          <w:p w14:paraId="2BD2238D">
            <w:pPr>
              <w:adjustRightInd w:val="0"/>
              <w:snapToGrid w:val="0"/>
              <w:ind w:firstLine="482"/>
              <w:jc w:val="left"/>
              <w:rPr>
                <w:b/>
                <w:bCs/>
              </w:rPr>
            </w:pPr>
            <w:r>
              <w:rPr>
                <w:b/>
                <w:bCs/>
              </w:rPr>
              <w:t>1</w:t>
            </w:r>
            <w:r>
              <w:rPr>
                <w:rFonts w:hint="eastAsia" w:cs="宋体"/>
                <w:b/>
                <w:bCs/>
              </w:rPr>
              <w:t>、大气环境保护目标</w:t>
            </w:r>
          </w:p>
          <w:p w14:paraId="573C2DC8">
            <w:pPr>
              <w:pStyle w:val="38"/>
              <w:widowControl/>
              <w:adjustRightInd w:val="0"/>
              <w:spacing w:before="0" w:after="0" w:line="360" w:lineRule="auto"/>
              <w:ind w:firstLine="480"/>
              <w:rPr>
                <w:rFonts w:cs="宋体"/>
              </w:rPr>
            </w:pPr>
            <w:r>
              <w:rPr>
                <w:rFonts w:hint="eastAsia" w:cs="宋体"/>
              </w:rPr>
              <w:t>详见大气环境专项评价。</w:t>
            </w:r>
          </w:p>
          <w:p w14:paraId="4C82A73F">
            <w:pPr>
              <w:adjustRightInd w:val="0"/>
              <w:snapToGrid w:val="0"/>
              <w:ind w:firstLine="482"/>
              <w:jc w:val="left"/>
              <w:rPr>
                <w:b/>
                <w:bCs/>
              </w:rPr>
            </w:pPr>
            <w:r>
              <w:rPr>
                <w:b/>
                <w:bCs/>
              </w:rPr>
              <w:t>2</w:t>
            </w:r>
            <w:r>
              <w:rPr>
                <w:rFonts w:hint="eastAsia" w:cs="宋体"/>
                <w:b/>
                <w:bCs/>
              </w:rPr>
              <w:t>、声环境保护目标</w:t>
            </w:r>
          </w:p>
          <w:p w14:paraId="5B80E3B8">
            <w:pPr>
              <w:adjustRightInd w:val="0"/>
              <w:snapToGrid w:val="0"/>
              <w:ind w:firstLine="480"/>
              <w:jc w:val="left"/>
            </w:pPr>
            <w:r>
              <w:rPr>
                <w:rFonts w:hint="eastAsia" w:cs="宋体"/>
              </w:rPr>
              <w:t>根据现场踏勘，项目厂界外周边</w:t>
            </w:r>
            <w:r>
              <w:t>50m</w:t>
            </w:r>
            <w:r>
              <w:rPr>
                <w:rFonts w:hint="eastAsia" w:cs="宋体"/>
              </w:rPr>
              <w:t>范围内无声环境保护目标。</w:t>
            </w:r>
          </w:p>
          <w:p w14:paraId="5F96257A">
            <w:pPr>
              <w:pStyle w:val="22"/>
              <w:widowControl w:val="0"/>
              <w:adjustRightInd w:val="0"/>
              <w:snapToGrid w:val="0"/>
              <w:spacing w:before="0" w:beforeAutospacing="0" w:after="0" w:afterAutospacing="0"/>
              <w:ind w:firstLine="482"/>
              <w:jc w:val="both"/>
              <w:rPr>
                <w:rFonts w:ascii="Times New Roman" w:hAnsi="Times New Roman"/>
                <w:b/>
                <w:bCs/>
                <w:color w:val="000000" w:themeColor="text1"/>
                <w:szCs w:val="24"/>
                <w14:textFill>
                  <w14:solidFill>
                    <w14:schemeClr w14:val="tx1"/>
                  </w14:solidFill>
                </w14:textFill>
              </w:rPr>
            </w:pPr>
            <w:r>
              <w:rPr>
                <w:rFonts w:ascii="Times New Roman" w:hAnsi="Times New Roman"/>
                <w:b/>
                <w:bCs/>
                <w:color w:val="000000" w:themeColor="text1"/>
                <w:szCs w:val="24"/>
                <w14:textFill>
                  <w14:solidFill>
                    <w14:schemeClr w14:val="tx1"/>
                  </w14:solidFill>
                </w14:textFill>
              </w:rPr>
              <w:t>3</w:t>
            </w:r>
            <w:r>
              <w:rPr>
                <w:rFonts w:hint="eastAsia" w:ascii="Times New Roman" w:hAnsi="Times New Roman"/>
                <w:b/>
                <w:bCs/>
                <w:color w:val="000000" w:themeColor="text1"/>
                <w:szCs w:val="24"/>
                <w14:textFill>
                  <w14:solidFill>
                    <w14:schemeClr w14:val="tx1"/>
                  </w14:solidFill>
                </w14:textFill>
              </w:rPr>
              <w:t>、地表水保护目标</w:t>
            </w:r>
          </w:p>
          <w:p w14:paraId="33CFD1B7">
            <w:pPr>
              <w:snapToGrid w:val="0"/>
              <w:ind w:firstLine="480"/>
              <w:rPr>
                <w:color w:val="000000" w:themeColor="text1"/>
                <w:kern w:val="0"/>
                <w:lang w:val="zh-CN"/>
                <w14:textFill>
                  <w14:solidFill>
                    <w14:schemeClr w14:val="tx1"/>
                  </w14:solidFill>
                </w14:textFill>
              </w:rPr>
            </w:pPr>
            <w:r>
              <w:rPr>
                <w:rFonts w:hint="eastAsia" w:cs="宋体"/>
                <w:color w:val="000000" w:themeColor="text1"/>
                <w:kern w:val="0"/>
                <w14:textFill>
                  <w14:solidFill>
                    <w14:schemeClr w14:val="tx1"/>
                  </w14:solidFill>
                </w14:textFill>
              </w:rPr>
              <w:t>本项目涉及的地表水体主要为</w:t>
            </w:r>
            <w:r>
              <w:rPr>
                <w:rFonts w:hint="eastAsia"/>
                <w:color w:val="000000" w:themeColor="text1"/>
                <w:kern w:val="0"/>
                <w14:textFill>
                  <w14:solidFill>
                    <w14:schemeClr w14:val="tx1"/>
                  </w14:solidFill>
                </w14:textFill>
              </w:rPr>
              <w:t>西南4.8k</w:t>
            </w:r>
            <w:r>
              <w:rPr>
                <w:color w:val="000000" w:themeColor="text1"/>
                <w:kern w:val="0"/>
                <w14:textFill>
                  <w14:solidFill>
                    <w14:schemeClr w14:val="tx1"/>
                  </w14:solidFill>
                </w14:textFill>
              </w:rPr>
              <w:t>m</w:t>
            </w:r>
            <w:r>
              <w:rPr>
                <w:rFonts w:hint="eastAsia" w:cs="宋体"/>
                <w:color w:val="000000" w:themeColor="text1"/>
                <w:kern w:val="0"/>
                <w14:textFill>
                  <w14:solidFill>
                    <w14:schemeClr w14:val="tx1"/>
                  </w14:solidFill>
                </w14:textFill>
              </w:rPr>
              <w:t>处的前进河，按</w:t>
            </w:r>
            <w:r>
              <w:rPr>
                <w:rFonts w:hint="eastAsia" w:cs="宋体"/>
                <w:color w:val="000000" w:themeColor="text1"/>
                <w14:textFill>
                  <w14:solidFill>
                    <w14:schemeClr w14:val="tx1"/>
                  </w14:solidFill>
                </w14:textFill>
              </w:rPr>
              <w:t>《地表水环境质量标准》（</w:t>
            </w:r>
            <w:r>
              <w:rPr>
                <w:color w:val="000000" w:themeColor="text1"/>
                <w14:textFill>
                  <w14:solidFill>
                    <w14:schemeClr w14:val="tx1"/>
                  </w14:solidFill>
                </w14:textFill>
              </w:rPr>
              <w:t>GB3838-2002</w:t>
            </w:r>
            <w:r>
              <w:rPr>
                <w:rFonts w:hint="eastAsia" w:cs="宋体"/>
                <w:color w:val="000000" w:themeColor="text1"/>
                <w14:textFill>
                  <w14:solidFill>
                    <w14:schemeClr w14:val="tx1"/>
                  </w14:solidFill>
                </w14:textFill>
              </w:rPr>
              <w:t>）</w:t>
            </w:r>
            <w:r>
              <w:rPr>
                <w:color w:val="000000" w:themeColor="text1"/>
                <w14:textFill>
                  <w14:solidFill>
                    <w14:schemeClr w14:val="tx1"/>
                  </w14:solidFill>
                </w14:textFill>
              </w:rPr>
              <w:t>III</w:t>
            </w:r>
            <w:r>
              <w:rPr>
                <w:rFonts w:hint="eastAsia" w:cs="宋体"/>
                <w:color w:val="000000" w:themeColor="text1"/>
                <w14:textFill>
                  <w14:solidFill>
                    <w14:schemeClr w14:val="tx1"/>
                  </w14:solidFill>
                </w14:textFill>
              </w:rPr>
              <w:t>类进行保护</w:t>
            </w:r>
            <w:r>
              <w:rPr>
                <w:rFonts w:hint="eastAsia" w:cs="宋体"/>
                <w:color w:val="000000" w:themeColor="text1"/>
                <w:kern w:val="0"/>
                <w:lang w:val="zh-CN"/>
                <w14:textFill>
                  <w14:solidFill>
                    <w14:schemeClr w14:val="tx1"/>
                  </w14:solidFill>
                </w14:textFill>
              </w:rPr>
              <w:t>。</w:t>
            </w:r>
          </w:p>
          <w:p w14:paraId="6B0635DC">
            <w:pPr>
              <w:adjustRightInd w:val="0"/>
              <w:snapToGrid w:val="0"/>
              <w:ind w:firstLine="482"/>
              <w:jc w:val="left"/>
              <w:rPr>
                <w:b/>
                <w:bCs/>
              </w:rPr>
            </w:pPr>
            <w:r>
              <w:rPr>
                <w:b/>
                <w:bCs/>
              </w:rPr>
              <w:t>4</w:t>
            </w:r>
            <w:r>
              <w:rPr>
                <w:rFonts w:hint="eastAsia" w:cs="宋体"/>
                <w:b/>
                <w:bCs/>
              </w:rPr>
              <w:t>、地下水保护目标</w:t>
            </w:r>
          </w:p>
          <w:p w14:paraId="54911FB6">
            <w:pPr>
              <w:adjustRightInd w:val="0"/>
              <w:snapToGrid w:val="0"/>
              <w:ind w:firstLine="480"/>
              <w:jc w:val="left"/>
            </w:pPr>
            <w:r>
              <w:rPr>
                <w:rFonts w:hint="eastAsia" w:cs="宋体"/>
              </w:rPr>
              <w:t>根据现场踏勘，本项目厂界外</w:t>
            </w:r>
            <w:r>
              <w:t>500</w:t>
            </w:r>
            <w:r>
              <w:rPr>
                <w:rFonts w:hint="eastAsia" w:cs="宋体"/>
              </w:rPr>
              <w:t>米范围内无地下水集中式饮用水水源和热水、矿泉水、温泉等特殊地下水资源。</w:t>
            </w:r>
          </w:p>
          <w:p w14:paraId="590D6AA7">
            <w:pPr>
              <w:adjustRightInd w:val="0"/>
              <w:snapToGrid w:val="0"/>
              <w:ind w:firstLine="482"/>
              <w:jc w:val="left"/>
              <w:rPr>
                <w:b/>
                <w:bCs/>
              </w:rPr>
            </w:pPr>
            <w:r>
              <w:rPr>
                <w:b/>
                <w:bCs/>
              </w:rPr>
              <w:t>5</w:t>
            </w:r>
            <w:r>
              <w:rPr>
                <w:rFonts w:hint="eastAsia" w:cs="宋体"/>
                <w:b/>
                <w:bCs/>
              </w:rPr>
              <w:t>、生态环境</w:t>
            </w:r>
          </w:p>
          <w:p w14:paraId="52B65306">
            <w:pPr>
              <w:pStyle w:val="22"/>
              <w:widowControl w:val="0"/>
              <w:adjustRightInd w:val="0"/>
              <w:snapToGrid w:val="0"/>
              <w:spacing w:before="0" w:beforeAutospacing="0" w:after="0" w:afterAutospacing="0"/>
              <w:ind w:firstLine="480"/>
              <w:jc w:val="both"/>
              <w:rPr>
                <w:rFonts w:ascii="Times New Roman" w:hAnsi="Times New Roman"/>
              </w:rPr>
            </w:pPr>
            <w:r>
              <w:rPr>
                <w:rFonts w:hint="eastAsia" w:ascii="Times New Roman" w:hAnsi="Times New Roman"/>
              </w:rPr>
              <w:t>项目区及周边300m范围内的动植物。</w:t>
            </w:r>
          </w:p>
          <w:p w14:paraId="6193EBEA">
            <w:pPr>
              <w:widowControl/>
              <w:adjustRightInd w:val="0"/>
              <w:snapToGrid w:val="0"/>
              <w:ind w:firstLine="480"/>
              <w:jc w:val="left"/>
              <w:rPr>
                <w:kern w:val="0"/>
              </w:rPr>
            </w:pPr>
            <w:r>
              <w:rPr>
                <w:rFonts w:hint="eastAsia" w:cs="宋体"/>
                <w:kern w:val="0"/>
              </w:rPr>
              <w:t>项目环境保护目标见表</w:t>
            </w:r>
            <w:r>
              <w:rPr>
                <w:kern w:val="0"/>
              </w:rPr>
              <w:t>3-</w:t>
            </w:r>
            <w:r>
              <w:rPr>
                <w:rFonts w:hint="eastAsia"/>
                <w:kern w:val="0"/>
              </w:rPr>
              <w:t>3。</w:t>
            </w:r>
          </w:p>
          <w:p w14:paraId="5358FCAC">
            <w:pPr>
              <w:widowControl/>
              <w:adjustRightInd w:val="0"/>
              <w:snapToGrid w:val="0"/>
              <w:ind w:firstLine="422"/>
              <w:jc w:val="center"/>
              <w:rPr>
                <w:b/>
                <w:bCs/>
                <w:snapToGrid w:val="0"/>
                <w:kern w:val="0"/>
                <w:sz w:val="21"/>
                <w:szCs w:val="21"/>
              </w:rPr>
            </w:pPr>
            <w:r>
              <w:rPr>
                <w:rFonts w:hint="eastAsia" w:cs="宋体"/>
                <w:b/>
                <w:bCs/>
                <w:snapToGrid w:val="0"/>
                <w:kern w:val="0"/>
                <w:sz w:val="21"/>
                <w:szCs w:val="21"/>
              </w:rPr>
              <w:t>表</w:t>
            </w:r>
            <w:r>
              <w:rPr>
                <w:b/>
                <w:bCs/>
                <w:snapToGrid w:val="0"/>
                <w:kern w:val="0"/>
                <w:sz w:val="21"/>
                <w:szCs w:val="21"/>
              </w:rPr>
              <w:t>3-</w:t>
            </w:r>
            <w:r>
              <w:rPr>
                <w:rFonts w:hint="eastAsia"/>
                <w:b/>
                <w:bCs/>
                <w:snapToGrid w:val="0"/>
                <w:kern w:val="0"/>
                <w:sz w:val="21"/>
                <w:szCs w:val="21"/>
              </w:rPr>
              <w:t>3</w:t>
            </w:r>
            <w:r>
              <w:rPr>
                <w:b/>
                <w:bCs/>
                <w:kern w:val="0"/>
                <w:sz w:val="21"/>
                <w:szCs w:val="21"/>
              </w:rPr>
              <w:t xml:space="preserve">  </w:t>
            </w:r>
            <w:r>
              <w:rPr>
                <w:rFonts w:hint="eastAsia" w:cs="宋体"/>
                <w:b/>
                <w:bCs/>
                <w:snapToGrid w:val="0"/>
                <w:kern w:val="0"/>
                <w:sz w:val="21"/>
                <w:szCs w:val="21"/>
              </w:rPr>
              <w:t>项目主要保护目标一览表</w:t>
            </w:r>
          </w:p>
          <w:tbl>
            <w:tblPr>
              <w:tblStyle w:val="27"/>
              <w:tblW w:w="50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8"/>
              <w:gridCol w:w="824"/>
              <w:gridCol w:w="1269"/>
              <w:gridCol w:w="1113"/>
              <w:gridCol w:w="941"/>
              <w:gridCol w:w="733"/>
              <w:gridCol w:w="1438"/>
              <w:gridCol w:w="1021"/>
              <w:gridCol w:w="873"/>
            </w:tblGrid>
            <w:tr w14:paraId="47F01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 w:hRule="atLeast"/>
              </w:trPr>
              <w:tc>
                <w:tcPr>
                  <w:tcW w:w="38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C3CCA9C">
                  <w:pPr>
                    <w:adjustRightInd w:val="0"/>
                    <w:snapToGrid w:val="0"/>
                    <w:spacing w:line="240" w:lineRule="auto"/>
                    <w:ind w:firstLine="0" w:firstLineChars="0"/>
                    <w:jc w:val="center"/>
                    <w:rPr>
                      <w:b/>
                      <w:bCs/>
                      <w:kern w:val="0"/>
                      <w:szCs w:val="21"/>
                    </w:rPr>
                  </w:pPr>
                  <w:r>
                    <w:rPr>
                      <w:rFonts w:hint="eastAsia" w:cs="宋体"/>
                      <w:b/>
                      <w:bCs/>
                      <w:sz w:val="21"/>
                      <w:szCs w:val="21"/>
                    </w:rPr>
                    <w:t>保护类别</w:t>
                  </w:r>
                </w:p>
              </w:tc>
              <w:tc>
                <w:tcPr>
                  <w:tcW w:w="46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58C0CE7">
                  <w:pPr>
                    <w:adjustRightInd w:val="0"/>
                    <w:snapToGrid w:val="0"/>
                    <w:spacing w:line="240" w:lineRule="auto"/>
                    <w:ind w:firstLine="0" w:firstLineChars="0"/>
                    <w:jc w:val="center"/>
                    <w:rPr>
                      <w:b/>
                      <w:bCs/>
                      <w:kern w:val="0"/>
                      <w:szCs w:val="21"/>
                    </w:rPr>
                  </w:pPr>
                  <w:r>
                    <w:rPr>
                      <w:rFonts w:hint="eastAsia" w:cs="宋体"/>
                      <w:b/>
                      <w:bCs/>
                      <w:sz w:val="21"/>
                      <w:szCs w:val="21"/>
                    </w:rPr>
                    <w:t>名称</w:t>
                  </w:r>
                </w:p>
              </w:tc>
              <w:tc>
                <w:tcPr>
                  <w:tcW w:w="1340"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2C31B98B">
                  <w:pPr>
                    <w:adjustRightInd w:val="0"/>
                    <w:snapToGrid w:val="0"/>
                    <w:spacing w:line="240" w:lineRule="auto"/>
                    <w:ind w:firstLine="0" w:firstLineChars="0"/>
                    <w:jc w:val="center"/>
                    <w:rPr>
                      <w:b/>
                      <w:bCs/>
                      <w:kern w:val="0"/>
                      <w:szCs w:val="21"/>
                    </w:rPr>
                  </w:pPr>
                  <w:r>
                    <w:rPr>
                      <w:rFonts w:hint="eastAsia" w:cs="宋体"/>
                      <w:b/>
                      <w:bCs/>
                      <w:sz w:val="21"/>
                      <w:szCs w:val="21"/>
                    </w:rPr>
                    <w:t>坐标</w:t>
                  </w:r>
                </w:p>
              </w:tc>
              <w:tc>
                <w:tcPr>
                  <w:tcW w:w="52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CA3B432">
                  <w:pPr>
                    <w:adjustRightInd w:val="0"/>
                    <w:snapToGrid w:val="0"/>
                    <w:spacing w:line="240" w:lineRule="auto"/>
                    <w:ind w:firstLine="0" w:firstLineChars="0"/>
                    <w:jc w:val="center"/>
                    <w:rPr>
                      <w:b/>
                      <w:bCs/>
                      <w:kern w:val="0"/>
                      <w:szCs w:val="21"/>
                    </w:rPr>
                  </w:pPr>
                  <w:r>
                    <w:rPr>
                      <w:rFonts w:hint="eastAsia" w:cs="宋体"/>
                      <w:b/>
                      <w:bCs/>
                      <w:kern w:val="0"/>
                      <w:sz w:val="21"/>
                      <w:szCs w:val="21"/>
                    </w:rPr>
                    <w:t>保护对象</w:t>
                  </w:r>
                </w:p>
              </w:tc>
              <w:tc>
                <w:tcPr>
                  <w:tcW w:w="41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EDAA5CE">
                  <w:pPr>
                    <w:adjustRightInd w:val="0"/>
                    <w:snapToGrid w:val="0"/>
                    <w:spacing w:line="240" w:lineRule="auto"/>
                    <w:ind w:firstLine="0" w:firstLineChars="0"/>
                    <w:jc w:val="center"/>
                    <w:rPr>
                      <w:b/>
                      <w:bCs/>
                      <w:kern w:val="0"/>
                      <w:szCs w:val="21"/>
                    </w:rPr>
                  </w:pPr>
                  <w:r>
                    <w:rPr>
                      <w:rFonts w:hint="eastAsia" w:cs="宋体"/>
                      <w:b/>
                      <w:bCs/>
                      <w:sz w:val="21"/>
                      <w:szCs w:val="21"/>
                    </w:rPr>
                    <w:t>保护内容</w:t>
                  </w:r>
                </w:p>
              </w:tc>
              <w:tc>
                <w:tcPr>
                  <w:tcW w:w="80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C3813B4">
                  <w:pPr>
                    <w:adjustRightInd w:val="0"/>
                    <w:snapToGrid w:val="0"/>
                    <w:spacing w:line="240" w:lineRule="auto"/>
                    <w:ind w:firstLine="0" w:firstLineChars="0"/>
                    <w:jc w:val="center"/>
                    <w:rPr>
                      <w:b/>
                      <w:bCs/>
                      <w:szCs w:val="21"/>
                    </w:rPr>
                  </w:pPr>
                  <w:r>
                    <w:rPr>
                      <w:rFonts w:hint="eastAsia" w:cs="宋体"/>
                      <w:b/>
                      <w:bCs/>
                      <w:sz w:val="21"/>
                      <w:szCs w:val="21"/>
                    </w:rPr>
                    <w:t>环境功能区</w:t>
                  </w:r>
                </w:p>
              </w:tc>
              <w:tc>
                <w:tcPr>
                  <w:tcW w:w="57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6F72BF1">
                  <w:pPr>
                    <w:adjustRightInd w:val="0"/>
                    <w:snapToGrid w:val="0"/>
                    <w:spacing w:line="240" w:lineRule="auto"/>
                    <w:ind w:firstLine="0" w:firstLineChars="0"/>
                    <w:jc w:val="center"/>
                    <w:rPr>
                      <w:b/>
                      <w:bCs/>
                      <w:szCs w:val="21"/>
                    </w:rPr>
                  </w:pPr>
                  <w:r>
                    <w:rPr>
                      <w:rFonts w:hint="eastAsia" w:cs="宋体"/>
                      <w:b/>
                      <w:bCs/>
                      <w:sz w:val="21"/>
                      <w:szCs w:val="21"/>
                    </w:rPr>
                    <w:t>相对厂界方位</w:t>
                  </w:r>
                </w:p>
              </w:tc>
              <w:tc>
                <w:tcPr>
                  <w:tcW w:w="4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E5ED351">
                  <w:pPr>
                    <w:adjustRightInd w:val="0"/>
                    <w:snapToGrid w:val="0"/>
                    <w:spacing w:line="240" w:lineRule="auto"/>
                    <w:ind w:firstLine="0" w:firstLineChars="0"/>
                    <w:jc w:val="center"/>
                    <w:rPr>
                      <w:b/>
                      <w:bCs/>
                      <w:kern w:val="0"/>
                      <w:szCs w:val="21"/>
                    </w:rPr>
                  </w:pPr>
                  <w:r>
                    <w:rPr>
                      <w:rFonts w:hint="eastAsia" w:cs="宋体"/>
                      <w:b/>
                      <w:bCs/>
                      <w:sz w:val="21"/>
                      <w:szCs w:val="21"/>
                    </w:rPr>
                    <w:t>相对厂界距离</w:t>
                  </w:r>
                  <w:r>
                    <w:rPr>
                      <w:b/>
                      <w:bCs/>
                      <w:sz w:val="21"/>
                      <w:szCs w:val="21"/>
                    </w:rPr>
                    <w:t>/m</w:t>
                  </w:r>
                </w:p>
              </w:tc>
            </w:tr>
            <w:tr w14:paraId="0B5A6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trPr>
              <w:tc>
                <w:tcPr>
                  <w:tcW w:w="38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61E2BD1">
                  <w:pPr>
                    <w:spacing w:line="240" w:lineRule="auto"/>
                    <w:ind w:firstLine="0" w:firstLineChars="0"/>
                    <w:rPr>
                      <w:sz w:val="20"/>
                      <w:szCs w:val="20"/>
                    </w:rPr>
                  </w:pPr>
                </w:p>
              </w:tc>
              <w:tc>
                <w:tcPr>
                  <w:tcW w:w="46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A2CF083">
                  <w:pPr>
                    <w:spacing w:line="240" w:lineRule="auto"/>
                    <w:ind w:firstLine="0" w:firstLineChars="0"/>
                    <w:rPr>
                      <w:sz w:val="20"/>
                      <w:szCs w:val="20"/>
                    </w:rPr>
                  </w:pPr>
                </w:p>
              </w:tc>
              <w:tc>
                <w:tcPr>
                  <w:tcW w:w="714" w:type="pct"/>
                  <w:tcBorders>
                    <w:top w:val="single" w:color="auto" w:sz="4" w:space="0"/>
                    <w:left w:val="single" w:color="auto" w:sz="4" w:space="0"/>
                    <w:bottom w:val="single" w:color="auto" w:sz="4" w:space="0"/>
                    <w:right w:val="single" w:color="auto" w:sz="4" w:space="0"/>
                  </w:tcBorders>
                  <w:shd w:val="clear" w:color="auto" w:fill="auto"/>
                  <w:vAlign w:val="center"/>
                </w:tcPr>
                <w:p w14:paraId="6E58CA5F">
                  <w:pPr>
                    <w:adjustRightInd w:val="0"/>
                    <w:snapToGrid w:val="0"/>
                    <w:spacing w:line="240" w:lineRule="auto"/>
                    <w:ind w:firstLine="0" w:firstLineChars="0"/>
                    <w:jc w:val="center"/>
                    <w:rPr>
                      <w:b/>
                      <w:bCs/>
                      <w:kern w:val="0"/>
                      <w:szCs w:val="21"/>
                    </w:rPr>
                  </w:pPr>
                  <w:r>
                    <w:rPr>
                      <w:rFonts w:hint="eastAsia" w:cs="宋体"/>
                      <w:b/>
                      <w:bCs/>
                      <w:sz w:val="21"/>
                      <w:szCs w:val="21"/>
                    </w:rPr>
                    <w:t>东经</w:t>
                  </w:r>
                </w:p>
              </w:tc>
              <w:tc>
                <w:tcPr>
                  <w:tcW w:w="625" w:type="pct"/>
                  <w:tcBorders>
                    <w:top w:val="single" w:color="auto" w:sz="4" w:space="0"/>
                    <w:left w:val="single" w:color="auto" w:sz="4" w:space="0"/>
                    <w:bottom w:val="single" w:color="auto" w:sz="4" w:space="0"/>
                    <w:right w:val="single" w:color="auto" w:sz="4" w:space="0"/>
                  </w:tcBorders>
                  <w:shd w:val="clear" w:color="auto" w:fill="auto"/>
                  <w:vAlign w:val="center"/>
                </w:tcPr>
                <w:p w14:paraId="7F9129FA">
                  <w:pPr>
                    <w:adjustRightInd w:val="0"/>
                    <w:snapToGrid w:val="0"/>
                    <w:spacing w:line="240" w:lineRule="auto"/>
                    <w:ind w:firstLine="0" w:firstLineChars="0"/>
                    <w:jc w:val="center"/>
                    <w:rPr>
                      <w:b/>
                      <w:bCs/>
                      <w:kern w:val="0"/>
                      <w:szCs w:val="21"/>
                    </w:rPr>
                  </w:pPr>
                  <w:r>
                    <w:rPr>
                      <w:rFonts w:hint="eastAsia" w:cs="宋体"/>
                      <w:b/>
                      <w:bCs/>
                      <w:sz w:val="21"/>
                      <w:szCs w:val="21"/>
                    </w:rPr>
                    <w:t>北纬</w:t>
                  </w:r>
                </w:p>
              </w:tc>
              <w:tc>
                <w:tcPr>
                  <w:tcW w:w="52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278D2FE">
                  <w:pPr>
                    <w:spacing w:line="240" w:lineRule="auto"/>
                    <w:ind w:firstLine="0" w:firstLineChars="0"/>
                    <w:rPr>
                      <w:sz w:val="20"/>
                      <w:szCs w:val="20"/>
                    </w:rPr>
                  </w:pPr>
                </w:p>
              </w:tc>
              <w:tc>
                <w:tcPr>
                  <w:tcW w:w="412"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75C187E">
                  <w:pPr>
                    <w:spacing w:line="240" w:lineRule="auto"/>
                    <w:ind w:firstLine="0" w:firstLineChars="0"/>
                    <w:rPr>
                      <w:sz w:val="20"/>
                      <w:szCs w:val="20"/>
                    </w:rPr>
                  </w:pPr>
                </w:p>
              </w:tc>
              <w:tc>
                <w:tcPr>
                  <w:tcW w:w="80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1D31BA4">
                  <w:pPr>
                    <w:spacing w:line="240" w:lineRule="auto"/>
                    <w:ind w:firstLine="0" w:firstLineChars="0"/>
                    <w:rPr>
                      <w:sz w:val="20"/>
                      <w:szCs w:val="20"/>
                    </w:rPr>
                  </w:pPr>
                </w:p>
              </w:tc>
              <w:tc>
                <w:tcPr>
                  <w:tcW w:w="57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DF3DDA3">
                  <w:pPr>
                    <w:spacing w:line="240" w:lineRule="auto"/>
                    <w:ind w:firstLine="0" w:firstLineChars="0"/>
                    <w:rPr>
                      <w:sz w:val="20"/>
                      <w:szCs w:val="20"/>
                    </w:rPr>
                  </w:pPr>
                </w:p>
              </w:tc>
              <w:tc>
                <w:tcPr>
                  <w:tcW w:w="4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ACB0953">
                  <w:pPr>
                    <w:spacing w:line="240" w:lineRule="auto"/>
                    <w:ind w:firstLine="0" w:firstLineChars="0"/>
                    <w:rPr>
                      <w:sz w:val="20"/>
                      <w:szCs w:val="20"/>
                    </w:rPr>
                  </w:pPr>
                </w:p>
              </w:tc>
            </w:tr>
            <w:tr w14:paraId="3396E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trPr>
              <w:tc>
                <w:tcPr>
                  <w:tcW w:w="381" w:type="pct"/>
                  <w:tcBorders>
                    <w:top w:val="single" w:color="auto" w:sz="4" w:space="0"/>
                    <w:left w:val="single" w:color="auto" w:sz="4" w:space="0"/>
                    <w:right w:val="single" w:color="auto" w:sz="4" w:space="0"/>
                  </w:tcBorders>
                  <w:shd w:val="clear" w:color="auto" w:fill="auto"/>
                  <w:vAlign w:val="center"/>
                </w:tcPr>
                <w:p w14:paraId="71210217">
                  <w:pPr>
                    <w:adjustRightInd w:val="0"/>
                    <w:snapToGrid w:val="0"/>
                    <w:spacing w:line="240" w:lineRule="auto"/>
                    <w:ind w:firstLine="0" w:firstLineChars="0"/>
                    <w:jc w:val="center"/>
                    <w:rPr>
                      <w:kern w:val="0"/>
                      <w:szCs w:val="21"/>
                    </w:rPr>
                  </w:pPr>
                  <w:r>
                    <w:rPr>
                      <w:rFonts w:hint="eastAsia" w:cs="宋体"/>
                      <w:kern w:val="0"/>
                      <w:sz w:val="21"/>
                      <w:szCs w:val="21"/>
                    </w:rPr>
                    <w:t>地表水环境</w:t>
                  </w:r>
                </w:p>
              </w:tc>
              <w:tc>
                <w:tcPr>
                  <w:tcW w:w="463" w:type="pct"/>
                  <w:tcBorders>
                    <w:top w:val="single" w:color="auto" w:sz="4" w:space="0"/>
                    <w:left w:val="single" w:color="auto" w:sz="4" w:space="0"/>
                    <w:bottom w:val="single" w:color="auto" w:sz="4" w:space="0"/>
                    <w:right w:val="single" w:color="auto" w:sz="4" w:space="0"/>
                  </w:tcBorders>
                  <w:shd w:val="clear" w:color="auto" w:fill="auto"/>
                  <w:vAlign w:val="center"/>
                </w:tcPr>
                <w:p w14:paraId="1E5E7FE0">
                  <w:pPr>
                    <w:pStyle w:val="22"/>
                    <w:widowControl w:val="0"/>
                    <w:adjustRightInd w:val="0"/>
                    <w:snapToGrid w:val="0"/>
                    <w:spacing w:before="0" w:beforeAutospacing="0" w:after="0" w:afterAutospacing="0" w:line="240" w:lineRule="auto"/>
                    <w:ind w:firstLine="0" w:firstLineChars="0"/>
                    <w:jc w:val="center"/>
                    <w:rPr>
                      <w:rFonts w:ascii="Times New Roman" w:hAnsi="Times New Roman"/>
                      <w:bCs/>
                      <w:sz w:val="21"/>
                      <w:szCs w:val="21"/>
                    </w:rPr>
                  </w:pPr>
                  <w:r>
                    <w:rPr>
                      <w:rFonts w:hint="eastAsia" w:ascii="Times New Roman" w:hAnsi="Times New Roman"/>
                      <w:bCs/>
                      <w:sz w:val="21"/>
                      <w:szCs w:val="21"/>
                    </w:rPr>
                    <w:t>前进河</w:t>
                  </w:r>
                </w:p>
              </w:tc>
              <w:tc>
                <w:tcPr>
                  <w:tcW w:w="714" w:type="pct"/>
                  <w:tcBorders>
                    <w:top w:val="single" w:color="auto" w:sz="4" w:space="0"/>
                    <w:left w:val="single" w:color="auto" w:sz="4" w:space="0"/>
                    <w:bottom w:val="single" w:color="auto" w:sz="4" w:space="0"/>
                    <w:right w:val="single" w:color="auto" w:sz="4" w:space="0"/>
                  </w:tcBorders>
                  <w:shd w:val="clear" w:color="auto" w:fill="auto"/>
                  <w:vAlign w:val="center"/>
                </w:tcPr>
                <w:p w14:paraId="1732E3C6">
                  <w:pPr>
                    <w:adjustRightInd w:val="0"/>
                    <w:snapToGrid w:val="0"/>
                    <w:spacing w:line="240" w:lineRule="auto"/>
                    <w:ind w:firstLine="0" w:firstLineChars="0"/>
                    <w:jc w:val="center"/>
                    <w:rPr>
                      <w:rFonts w:cs="宋体"/>
                      <w:bCs/>
                      <w:sz w:val="21"/>
                      <w:szCs w:val="21"/>
                    </w:rPr>
                  </w:pPr>
                  <w:r>
                    <w:rPr>
                      <w:rFonts w:hint="eastAsia" w:cs="宋体"/>
                      <w:bCs/>
                      <w:sz w:val="21"/>
                      <w:szCs w:val="21"/>
                    </w:rPr>
                    <w:t>103°16′56.28345″</w:t>
                  </w:r>
                </w:p>
              </w:tc>
              <w:tc>
                <w:tcPr>
                  <w:tcW w:w="625" w:type="pct"/>
                  <w:tcBorders>
                    <w:top w:val="single" w:color="auto" w:sz="4" w:space="0"/>
                    <w:left w:val="single" w:color="auto" w:sz="4" w:space="0"/>
                    <w:bottom w:val="single" w:color="auto" w:sz="4" w:space="0"/>
                    <w:right w:val="single" w:color="auto" w:sz="4" w:space="0"/>
                  </w:tcBorders>
                  <w:shd w:val="clear" w:color="auto" w:fill="auto"/>
                  <w:vAlign w:val="center"/>
                </w:tcPr>
                <w:p w14:paraId="48AC4EBB">
                  <w:pPr>
                    <w:adjustRightInd w:val="0"/>
                    <w:snapToGrid w:val="0"/>
                    <w:spacing w:line="240" w:lineRule="auto"/>
                    <w:ind w:firstLine="0" w:firstLineChars="0"/>
                    <w:jc w:val="center"/>
                    <w:rPr>
                      <w:rFonts w:cs="宋体"/>
                      <w:bCs/>
                      <w:sz w:val="21"/>
                      <w:szCs w:val="21"/>
                    </w:rPr>
                  </w:pPr>
                  <w:r>
                    <w:rPr>
                      <w:rFonts w:hint="eastAsia" w:cs="宋体"/>
                      <w:bCs/>
                      <w:sz w:val="21"/>
                      <w:szCs w:val="21"/>
                    </w:rPr>
                    <w:t>25°33′4.45619″</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6AACC2AD">
                  <w:pPr>
                    <w:adjustRightInd w:val="0"/>
                    <w:snapToGrid w:val="0"/>
                    <w:spacing w:line="240" w:lineRule="auto"/>
                    <w:ind w:firstLine="0" w:firstLineChars="0"/>
                    <w:jc w:val="center"/>
                    <w:rPr>
                      <w:szCs w:val="21"/>
                    </w:rPr>
                  </w:pPr>
                  <w:r>
                    <w:rPr>
                      <w:rFonts w:hint="eastAsia" w:cs="宋体"/>
                      <w:bCs/>
                      <w:sz w:val="21"/>
                      <w:szCs w:val="21"/>
                    </w:rPr>
                    <w:t>河流</w:t>
                  </w:r>
                </w:p>
              </w:tc>
              <w:tc>
                <w:tcPr>
                  <w:tcW w:w="412" w:type="pct"/>
                  <w:tcBorders>
                    <w:top w:val="single" w:color="auto" w:sz="4" w:space="0"/>
                    <w:left w:val="single" w:color="auto" w:sz="4" w:space="0"/>
                    <w:bottom w:val="single" w:color="auto" w:sz="4" w:space="0"/>
                    <w:right w:val="single" w:color="auto" w:sz="4" w:space="0"/>
                  </w:tcBorders>
                  <w:shd w:val="clear" w:color="auto" w:fill="auto"/>
                  <w:vAlign w:val="center"/>
                </w:tcPr>
                <w:p w14:paraId="3A2E9A3C">
                  <w:pPr>
                    <w:adjustRightInd w:val="0"/>
                    <w:snapToGrid w:val="0"/>
                    <w:spacing w:line="240" w:lineRule="auto"/>
                    <w:ind w:firstLine="0" w:firstLineChars="0"/>
                    <w:jc w:val="center"/>
                    <w:rPr>
                      <w:bCs/>
                      <w:szCs w:val="21"/>
                    </w:rPr>
                  </w:pPr>
                  <w:r>
                    <w:rPr>
                      <w:bCs/>
                      <w:sz w:val="21"/>
                      <w:szCs w:val="21"/>
                    </w:rPr>
                    <w:t>/</w:t>
                  </w:r>
                </w:p>
              </w:tc>
              <w:tc>
                <w:tcPr>
                  <w:tcW w:w="809" w:type="pct"/>
                  <w:tcBorders>
                    <w:top w:val="single" w:color="auto" w:sz="4" w:space="0"/>
                    <w:left w:val="single" w:color="auto" w:sz="4" w:space="0"/>
                    <w:right w:val="single" w:color="auto" w:sz="4" w:space="0"/>
                  </w:tcBorders>
                  <w:shd w:val="clear" w:color="auto" w:fill="auto"/>
                  <w:vAlign w:val="center"/>
                </w:tcPr>
                <w:p w14:paraId="0853ACC4">
                  <w:pPr>
                    <w:adjustRightInd w:val="0"/>
                    <w:snapToGrid w:val="0"/>
                    <w:spacing w:line="240" w:lineRule="auto"/>
                    <w:ind w:firstLine="0" w:firstLineChars="0"/>
                    <w:jc w:val="center"/>
                    <w:rPr>
                      <w:bCs/>
                      <w:szCs w:val="21"/>
                    </w:rPr>
                  </w:pPr>
                  <w:r>
                    <w:rPr>
                      <w:rFonts w:hint="eastAsia" w:cs="宋体"/>
                      <w:bCs/>
                      <w:sz w:val="21"/>
                      <w:szCs w:val="21"/>
                    </w:rPr>
                    <w:t>《地表水环境质量标准》（</w:t>
                  </w:r>
                  <w:r>
                    <w:rPr>
                      <w:bCs/>
                      <w:sz w:val="21"/>
                      <w:szCs w:val="21"/>
                    </w:rPr>
                    <w:t>GB3838-2002</w:t>
                  </w:r>
                  <w:r>
                    <w:rPr>
                      <w:rFonts w:hint="eastAsia" w:cs="宋体"/>
                      <w:bCs/>
                      <w:sz w:val="21"/>
                      <w:szCs w:val="21"/>
                    </w:rPr>
                    <w:t>）</w:t>
                  </w:r>
                  <w:r>
                    <w:rPr>
                      <w:bCs/>
                      <w:sz w:val="21"/>
                      <w:szCs w:val="21"/>
                    </w:rPr>
                    <w:t>III</w:t>
                  </w:r>
                  <w:r>
                    <w:rPr>
                      <w:rFonts w:hint="eastAsia" w:cs="宋体"/>
                      <w:bCs/>
                      <w:sz w:val="21"/>
                      <w:szCs w:val="21"/>
                    </w:rPr>
                    <w:t>类</w:t>
                  </w:r>
                </w:p>
              </w:tc>
              <w:tc>
                <w:tcPr>
                  <w:tcW w:w="574" w:type="pct"/>
                  <w:tcBorders>
                    <w:top w:val="single" w:color="auto" w:sz="4" w:space="0"/>
                    <w:left w:val="single" w:color="auto" w:sz="4" w:space="0"/>
                    <w:bottom w:val="single" w:color="auto" w:sz="4" w:space="0"/>
                    <w:right w:val="single" w:color="auto" w:sz="4" w:space="0"/>
                  </w:tcBorders>
                  <w:shd w:val="clear" w:color="auto" w:fill="auto"/>
                  <w:vAlign w:val="center"/>
                </w:tcPr>
                <w:p w14:paraId="13F14C76">
                  <w:pPr>
                    <w:adjustRightInd w:val="0"/>
                    <w:snapToGrid w:val="0"/>
                    <w:spacing w:line="240" w:lineRule="auto"/>
                    <w:ind w:firstLine="0" w:firstLineChars="0"/>
                    <w:jc w:val="center"/>
                    <w:rPr>
                      <w:bCs/>
                      <w:szCs w:val="21"/>
                    </w:rPr>
                  </w:pPr>
                  <w:r>
                    <w:rPr>
                      <w:rFonts w:hint="eastAsia" w:cs="宋体"/>
                      <w:bCs/>
                      <w:sz w:val="21"/>
                      <w:szCs w:val="21"/>
                    </w:rPr>
                    <w:t>西南侧</w:t>
                  </w:r>
                </w:p>
              </w:tc>
              <w:tc>
                <w:tcPr>
                  <w:tcW w:w="489" w:type="pct"/>
                  <w:tcBorders>
                    <w:top w:val="single" w:color="auto" w:sz="4" w:space="0"/>
                    <w:left w:val="single" w:color="auto" w:sz="4" w:space="0"/>
                    <w:bottom w:val="single" w:color="auto" w:sz="4" w:space="0"/>
                    <w:right w:val="single" w:color="auto" w:sz="4" w:space="0"/>
                  </w:tcBorders>
                  <w:shd w:val="clear" w:color="auto" w:fill="auto"/>
                  <w:vAlign w:val="center"/>
                </w:tcPr>
                <w:p w14:paraId="0C337C09">
                  <w:pPr>
                    <w:adjustRightInd w:val="0"/>
                    <w:snapToGrid w:val="0"/>
                    <w:spacing w:line="240" w:lineRule="auto"/>
                    <w:ind w:firstLine="0" w:firstLineChars="0"/>
                    <w:jc w:val="center"/>
                    <w:rPr>
                      <w:bCs/>
                      <w:szCs w:val="21"/>
                    </w:rPr>
                  </w:pPr>
                  <w:r>
                    <w:rPr>
                      <w:rFonts w:hint="eastAsia"/>
                      <w:bCs/>
                      <w:sz w:val="21"/>
                      <w:szCs w:val="21"/>
                    </w:rPr>
                    <w:t>4.8km</w:t>
                  </w:r>
                </w:p>
              </w:tc>
            </w:tr>
            <w:tr w14:paraId="252C2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381" w:type="pct"/>
                  <w:tcBorders>
                    <w:left w:val="single" w:color="auto" w:sz="4" w:space="0"/>
                    <w:bottom w:val="single" w:color="auto" w:sz="4" w:space="0"/>
                    <w:right w:val="single" w:color="auto" w:sz="4" w:space="0"/>
                  </w:tcBorders>
                  <w:shd w:val="clear" w:color="auto" w:fill="auto"/>
                  <w:vAlign w:val="center"/>
                </w:tcPr>
                <w:p w14:paraId="6C201092">
                  <w:pPr>
                    <w:adjustRightInd w:val="0"/>
                    <w:snapToGrid w:val="0"/>
                    <w:spacing w:line="240" w:lineRule="auto"/>
                    <w:ind w:firstLine="0" w:firstLineChars="0"/>
                    <w:jc w:val="center"/>
                    <w:rPr>
                      <w:rFonts w:cs="宋体"/>
                      <w:kern w:val="0"/>
                      <w:sz w:val="21"/>
                      <w:szCs w:val="21"/>
                    </w:rPr>
                  </w:pPr>
                  <w:r>
                    <w:rPr>
                      <w:rFonts w:hint="eastAsia" w:cs="宋体"/>
                      <w:kern w:val="0"/>
                      <w:sz w:val="21"/>
                      <w:szCs w:val="21"/>
                    </w:rPr>
                    <w:t>生态环境</w:t>
                  </w:r>
                </w:p>
              </w:tc>
              <w:tc>
                <w:tcPr>
                  <w:tcW w:w="4618" w:type="pct"/>
                  <w:gridSpan w:val="8"/>
                  <w:tcBorders>
                    <w:top w:val="single" w:color="auto" w:sz="4" w:space="0"/>
                    <w:left w:val="single" w:color="auto" w:sz="4" w:space="0"/>
                    <w:bottom w:val="single" w:color="auto" w:sz="4" w:space="0"/>
                    <w:right w:val="single" w:color="auto" w:sz="4" w:space="0"/>
                  </w:tcBorders>
                  <w:shd w:val="clear" w:color="auto" w:fill="auto"/>
                  <w:vAlign w:val="center"/>
                </w:tcPr>
                <w:p w14:paraId="660FD48C">
                  <w:pPr>
                    <w:adjustRightInd w:val="0"/>
                    <w:snapToGrid w:val="0"/>
                    <w:spacing w:line="240" w:lineRule="auto"/>
                    <w:ind w:firstLine="0" w:firstLineChars="0"/>
                    <w:rPr>
                      <w:bCs/>
                      <w:sz w:val="21"/>
                      <w:szCs w:val="21"/>
                    </w:rPr>
                  </w:pPr>
                  <w:r>
                    <w:rPr>
                      <w:bCs/>
                      <w:sz w:val="21"/>
                      <w:szCs w:val="21"/>
                    </w:rPr>
                    <w:t>项目区</w:t>
                  </w:r>
                  <w:r>
                    <w:rPr>
                      <w:rFonts w:hint="eastAsia"/>
                      <w:bCs/>
                      <w:sz w:val="21"/>
                      <w:szCs w:val="21"/>
                    </w:rPr>
                    <w:t>及周边</w:t>
                  </w:r>
                  <w:r>
                    <w:rPr>
                      <w:bCs/>
                      <w:sz w:val="21"/>
                      <w:szCs w:val="21"/>
                    </w:rPr>
                    <w:t>200m范围内的动植物。</w:t>
                  </w:r>
                </w:p>
              </w:tc>
            </w:tr>
          </w:tbl>
          <w:p w14:paraId="0ABDC825">
            <w:pPr>
              <w:adjustRightInd w:val="0"/>
              <w:snapToGrid w:val="0"/>
              <w:ind w:firstLine="0" w:firstLineChars="0"/>
              <w:rPr>
                <w:rFonts w:cs="宋体"/>
                <w:kern w:val="0"/>
                <w:szCs w:val="21"/>
              </w:rPr>
            </w:pPr>
          </w:p>
        </w:tc>
      </w:tr>
      <w:tr w14:paraId="5D86BA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426" w:type="dxa"/>
            <w:tcBorders>
              <w:top w:val="single" w:color="auto" w:sz="4" w:space="0"/>
              <w:left w:val="single" w:color="auto" w:sz="8" w:space="0"/>
              <w:bottom w:val="single" w:color="auto" w:sz="4" w:space="0"/>
              <w:right w:val="single" w:color="auto" w:sz="4" w:space="0"/>
            </w:tcBorders>
            <w:shd w:val="clear" w:color="auto" w:fill="auto"/>
            <w:tcMar>
              <w:left w:w="28" w:type="dxa"/>
              <w:right w:w="28" w:type="dxa"/>
            </w:tcMar>
            <w:vAlign w:val="center"/>
          </w:tcPr>
          <w:p w14:paraId="4E8CD898">
            <w:pPr>
              <w:adjustRightInd w:val="0"/>
              <w:snapToGrid w:val="0"/>
              <w:spacing w:line="240" w:lineRule="auto"/>
              <w:ind w:firstLine="0" w:firstLineChars="0"/>
              <w:jc w:val="center"/>
              <w:rPr>
                <w:rFonts w:cs="宋体"/>
                <w:kern w:val="0"/>
                <w:szCs w:val="21"/>
              </w:rPr>
            </w:pPr>
            <w:r>
              <w:rPr>
                <w:rFonts w:hint="eastAsia" w:cs="宋体"/>
                <w:kern w:val="0"/>
                <w:sz w:val="21"/>
                <w:szCs w:val="21"/>
              </w:rPr>
              <w:t>污染物排放控制标准</w:t>
            </w:r>
          </w:p>
          <w:p w14:paraId="03F6619D">
            <w:pPr>
              <w:adjustRightInd w:val="0"/>
              <w:snapToGrid w:val="0"/>
              <w:ind w:firstLine="420"/>
              <w:jc w:val="center"/>
              <w:rPr>
                <w:rFonts w:cs="宋体"/>
                <w:kern w:val="0"/>
                <w:szCs w:val="21"/>
              </w:rPr>
            </w:pPr>
            <w:r>
              <w:rPr>
                <w:rFonts w:hint="eastAsia" w:cs="宋体"/>
                <w:kern w:val="0"/>
                <w:sz w:val="21"/>
                <w:szCs w:val="21"/>
              </w:rPr>
              <w:t>准</w:t>
            </w:r>
          </w:p>
        </w:tc>
        <w:tc>
          <w:tcPr>
            <w:tcW w:w="8959" w:type="dxa"/>
            <w:tcBorders>
              <w:top w:val="single" w:color="auto" w:sz="4" w:space="0"/>
              <w:left w:val="single" w:color="auto" w:sz="4" w:space="0"/>
              <w:bottom w:val="single" w:color="auto" w:sz="4" w:space="0"/>
              <w:right w:val="single" w:color="auto" w:sz="8" w:space="0"/>
            </w:tcBorders>
            <w:shd w:val="clear" w:color="auto" w:fill="auto"/>
            <w:vAlign w:val="center"/>
          </w:tcPr>
          <w:p w14:paraId="31E2E427">
            <w:pPr>
              <w:ind w:firstLine="0" w:firstLineChars="0"/>
              <w:rPr>
                <w:b/>
                <w:bCs/>
              </w:rPr>
            </w:pPr>
            <w:r>
              <w:rPr>
                <w:rFonts w:hint="eastAsia"/>
                <w:b/>
                <w:bCs/>
              </w:rPr>
              <w:t>一、施工期污染物排放标准</w:t>
            </w:r>
          </w:p>
          <w:p w14:paraId="2EE53999">
            <w:pPr>
              <w:adjustRightInd w:val="0"/>
              <w:snapToGrid w:val="0"/>
              <w:ind w:firstLine="480"/>
              <w:jc w:val="left"/>
              <w:rPr>
                <w:rFonts w:cs="宋体"/>
              </w:rPr>
            </w:pPr>
            <w:r>
              <w:rPr>
                <w:rFonts w:hint="eastAsia" w:cs="宋体"/>
              </w:rPr>
              <w:t>项目施工期产生的污染物主要为施工扬尘和噪声，呈无组织排放，施工扬尘执行《大气污染综合排放标准》（GB16297-1996）中标准限值，标准值见下表3-4。</w:t>
            </w:r>
          </w:p>
          <w:p w14:paraId="54177DA1">
            <w:pPr>
              <w:adjustRightInd w:val="0"/>
              <w:snapToGrid w:val="0"/>
              <w:ind w:firstLine="422"/>
              <w:jc w:val="center"/>
              <w:rPr>
                <w:rFonts w:cs="宋体"/>
                <w:b/>
                <w:bCs/>
                <w:sz w:val="21"/>
                <w:szCs w:val="21"/>
                <w:vertAlign w:val="superscript"/>
              </w:rPr>
            </w:pPr>
            <w:r>
              <w:rPr>
                <w:rFonts w:hint="eastAsia" w:cs="宋体"/>
                <w:b/>
                <w:bCs/>
                <w:sz w:val="21"/>
                <w:szCs w:val="21"/>
              </w:rPr>
              <w:t>表</w:t>
            </w:r>
            <w:r>
              <w:rPr>
                <w:b/>
                <w:bCs/>
                <w:sz w:val="21"/>
                <w:szCs w:val="21"/>
              </w:rPr>
              <w:t>3-</w:t>
            </w:r>
            <w:r>
              <w:rPr>
                <w:rFonts w:hint="eastAsia"/>
                <w:b/>
                <w:bCs/>
                <w:sz w:val="21"/>
                <w:szCs w:val="21"/>
              </w:rPr>
              <w:t>4</w:t>
            </w:r>
            <w:r>
              <w:rPr>
                <w:b/>
                <w:bCs/>
                <w:sz w:val="21"/>
                <w:szCs w:val="21"/>
              </w:rPr>
              <w:t xml:space="preserve">  </w:t>
            </w:r>
            <w:r>
              <w:rPr>
                <w:rFonts w:hint="eastAsia" w:cs="宋体"/>
                <w:b/>
                <w:bCs/>
                <w:sz w:val="21"/>
                <w:szCs w:val="21"/>
              </w:rPr>
              <w:t>颗粒物大气污染物排放浓度限值  单位：mg/m</w:t>
            </w:r>
            <w:r>
              <w:rPr>
                <w:rFonts w:hint="eastAsia" w:cs="宋体"/>
                <w:b/>
                <w:bCs/>
                <w:sz w:val="21"/>
                <w:szCs w:val="21"/>
                <w:vertAlign w:val="superscript"/>
              </w:rPr>
              <w:t>3</w:t>
            </w:r>
          </w:p>
          <w:tbl>
            <w:tblPr>
              <w:tblStyle w:val="27"/>
              <w:tblW w:w="76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38"/>
              <w:gridCol w:w="4427"/>
            </w:tblGrid>
            <w:tr w14:paraId="2DFC1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38" w:type="dxa"/>
                  <w:vAlign w:val="center"/>
                </w:tcPr>
                <w:p w14:paraId="3A7BD239">
                  <w:pPr>
                    <w:adjustRightInd w:val="0"/>
                    <w:snapToGrid w:val="0"/>
                    <w:spacing w:line="240" w:lineRule="auto"/>
                    <w:ind w:firstLine="0" w:firstLineChars="0"/>
                    <w:jc w:val="center"/>
                    <w:rPr>
                      <w:rFonts w:cs="宋体"/>
                      <w:b/>
                      <w:bCs/>
                      <w:sz w:val="21"/>
                      <w:szCs w:val="21"/>
                    </w:rPr>
                  </w:pPr>
                  <w:r>
                    <w:rPr>
                      <w:rFonts w:hint="eastAsia" w:cs="宋体"/>
                      <w:b/>
                      <w:bCs/>
                      <w:sz w:val="21"/>
                      <w:szCs w:val="21"/>
                    </w:rPr>
                    <w:t>污染因子</w:t>
                  </w:r>
                </w:p>
              </w:tc>
              <w:tc>
                <w:tcPr>
                  <w:tcW w:w="4427" w:type="dxa"/>
                  <w:vAlign w:val="center"/>
                </w:tcPr>
                <w:p w14:paraId="671E68C2">
                  <w:pPr>
                    <w:adjustRightInd w:val="0"/>
                    <w:snapToGrid w:val="0"/>
                    <w:spacing w:line="240" w:lineRule="auto"/>
                    <w:ind w:firstLine="0" w:firstLineChars="0"/>
                    <w:jc w:val="center"/>
                    <w:rPr>
                      <w:rFonts w:cs="宋体"/>
                      <w:b/>
                      <w:bCs/>
                      <w:sz w:val="21"/>
                      <w:szCs w:val="21"/>
                    </w:rPr>
                  </w:pPr>
                  <w:r>
                    <w:rPr>
                      <w:rFonts w:hint="eastAsia" w:cs="宋体"/>
                      <w:b/>
                      <w:bCs/>
                      <w:sz w:val="21"/>
                      <w:szCs w:val="21"/>
                    </w:rPr>
                    <w:t>无组织排放监控浓度限值</w:t>
                  </w:r>
                </w:p>
              </w:tc>
            </w:tr>
            <w:tr w14:paraId="2D568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38" w:type="dxa"/>
                  <w:vAlign w:val="center"/>
                </w:tcPr>
                <w:p w14:paraId="37F15B9C">
                  <w:pPr>
                    <w:adjustRightInd w:val="0"/>
                    <w:snapToGrid w:val="0"/>
                    <w:spacing w:line="240" w:lineRule="auto"/>
                    <w:ind w:firstLine="0" w:firstLineChars="0"/>
                    <w:jc w:val="center"/>
                    <w:rPr>
                      <w:rFonts w:cs="宋体"/>
                      <w:sz w:val="21"/>
                      <w:szCs w:val="21"/>
                    </w:rPr>
                  </w:pPr>
                  <w:r>
                    <w:rPr>
                      <w:rFonts w:hint="eastAsia" w:cs="宋体"/>
                      <w:sz w:val="21"/>
                      <w:szCs w:val="21"/>
                    </w:rPr>
                    <w:t>颗粒物</w:t>
                  </w:r>
                </w:p>
              </w:tc>
              <w:tc>
                <w:tcPr>
                  <w:tcW w:w="4427" w:type="dxa"/>
                  <w:vAlign w:val="center"/>
                </w:tcPr>
                <w:p w14:paraId="386757FF">
                  <w:pPr>
                    <w:adjustRightInd w:val="0"/>
                    <w:snapToGrid w:val="0"/>
                    <w:spacing w:line="240" w:lineRule="auto"/>
                    <w:ind w:firstLine="0" w:firstLineChars="0"/>
                    <w:jc w:val="center"/>
                    <w:rPr>
                      <w:rFonts w:cs="宋体"/>
                      <w:sz w:val="21"/>
                      <w:szCs w:val="21"/>
                    </w:rPr>
                  </w:pPr>
                  <w:r>
                    <w:rPr>
                      <w:rFonts w:hint="eastAsia" w:cs="宋体"/>
                      <w:sz w:val="21"/>
                      <w:szCs w:val="21"/>
                    </w:rPr>
                    <w:t>≤1.0</w:t>
                  </w:r>
                </w:p>
              </w:tc>
            </w:tr>
          </w:tbl>
          <w:p w14:paraId="1F5534CC">
            <w:pPr>
              <w:adjustRightInd w:val="0"/>
              <w:snapToGrid w:val="0"/>
              <w:spacing w:beforeLines="50"/>
              <w:ind w:firstLine="480"/>
              <w:jc w:val="left"/>
              <w:rPr>
                <w:rFonts w:cs="宋体"/>
              </w:rPr>
            </w:pPr>
            <w:r>
              <w:rPr>
                <w:rFonts w:hint="eastAsia" w:cs="宋体"/>
              </w:rPr>
              <w:t>施工噪声执行</w:t>
            </w:r>
            <w:r>
              <w:t>《建筑施工噪声排放标准》（GB12523-20</w:t>
            </w:r>
            <w:r>
              <w:rPr>
                <w:rFonts w:hint="eastAsia"/>
              </w:rPr>
              <w:t>25</w:t>
            </w:r>
            <w:r>
              <w:t>）中表1排放限值，</w:t>
            </w:r>
            <w:r>
              <w:rPr>
                <w:rFonts w:hint="eastAsia" w:cs="宋体"/>
              </w:rPr>
              <w:t>噪声限值见表3-5。</w:t>
            </w:r>
          </w:p>
          <w:p w14:paraId="37B1CD32">
            <w:pPr>
              <w:ind w:firstLine="422"/>
              <w:jc w:val="center"/>
              <w:rPr>
                <w:b/>
                <w:bCs/>
                <w:sz w:val="21"/>
                <w:szCs w:val="21"/>
              </w:rPr>
            </w:pPr>
            <w:r>
              <w:rPr>
                <w:rFonts w:hint="eastAsia"/>
                <w:b/>
                <w:bCs/>
                <w:sz w:val="21"/>
                <w:szCs w:val="21"/>
              </w:rPr>
              <w:t>表3-5  建筑施工噪声排放限值</w:t>
            </w:r>
          </w:p>
          <w:tbl>
            <w:tblPr>
              <w:tblStyle w:val="27"/>
              <w:tblW w:w="5809" w:type="dxa"/>
              <w:tblInd w:w="16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09"/>
              <w:gridCol w:w="2700"/>
            </w:tblGrid>
            <w:tr w14:paraId="11993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09" w:type="dxa"/>
                  <w:vAlign w:val="center"/>
                </w:tcPr>
                <w:p w14:paraId="5D861C96">
                  <w:pPr>
                    <w:spacing w:line="240" w:lineRule="auto"/>
                    <w:ind w:firstLine="0" w:firstLineChars="0"/>
                    <w:jc w:val="center"/>
                    <w:rPr>
                      <w:b/>
                      <w:bCs/>
                      <w:sz w:val="21"/>
                      <w:szCs w:val="21"/>
                    </w:rPr>
                  </w:pPr>
                  <w:r>
                    <w:rPr>
                      <w:rFonts w:hint="eastAsia"/>
                      <w:b/>
                      <w:bCs/>
                      <w:sz w:val="21"/>
                      <w:szCs w:val="21"/>
                    </w:rPr>
                    <w:t>昼间dB（A）</w:t>
                  </w:r>
                </w:p>
              </w:tc>
              <w:tc>
                <w:tcPr>
                  <w:tcW w:w="2700" w:type="dxa"/>
                  <w:vAlign w:val="center"/>
                </w:tcPr>
                <w:p w14:paraId="2F6758F4">
                  <w:pPr>
                    <w:spacing w:line="240" w:lineRule="auto"/>
                    <w:ind w:firstLine="0" w:firstLineChars="0"/>
                    <w:jc w:val="center"/>
                    <w:rPr>
                      <w:b/>
                      <w:bCs/>
                      <w:sz w:val="21"/>
                      <w:szCs w:val="21"/>
                    </w:rPr>
                  </w:pPr>
                  <w:r>
                    <w:rPr>
                      <w:rFonts w:hint="eastAsia"/>
                      <w:b/>
                      <w:bCs/>
                      <w:sz w:val="21"/>
                      <w:szCs w:val="21"/>
                    </w:rPr>
                    <w:t>夜间dB（A）</w:t>
                  </w:r>
                </w:p>
              </w:tc>
            </w:tr>
            <w:tr w14:paraId="2699F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09" w:type="dxa"/>
                  <w:vAlign w:val="center"/>
                </w:tcPr>
                <w:p w14:paraId="56664A21">
                  <w:pPr>
                    <w:spacing w:line="240" w:lineRule="auto"/>
                    <w:ind w:firstLine="0" w:firstLineChars="0"/>
                    <w:jc w:val="center"/>
                    <w:rPr>
                      <w:sz w:val="21"/>
                      <w:szCs w:val="21"/>
                    </w:rPr>
                  </w:pPr>
                  <w:r>
                    <w:rPr>
                      <w:rFonts w:hint="eastAsia"/>
                      <w:sz w:val="21"/>
                      <w:szCs w:val="21"/>
                    </w:rPr>
                    <w:t>70</w:t>
                  </w:r>
                </w:p>
              </w:tc>
              <w:tc>
                <w:tcPr>
                  <w:tcW w:w="2700" w:type="dxa"/>
                  <w:vAlign w:val="center"/>
                </w:tcPr>
                <w:p w14:paraId="752E2FD5">
                  <w:pPr>
                    <w:spacing w:line="240" w:lineRule="auto"/>
                    <w:ind w:firstLine="0" w:firstLineChars="0"/>
                    <w:jc w:val="center"/>
                    <w:rPr>
                      <w:sz w:val="21"/>
                      <w:szCs w:val="21"/>
                    </w:rPr>
                  </w:pPr>
                  <w:r>
                    <w:rPr>
                      <w:rFonts w:hint="eastAsia"/>
                      <w:sz w:val="21"/>
                      <w:szCs w:val="21"/>
                    </w:rPr>
                    <w:t>55</w:t>
                  </w:r>
                </w:p>
              </w:tc>
            </w:tr>
          </w:tbl>
          <w:p w14:paraId="4DB28813">
            <w:pPr>
              <w:ind w:firstLine="0" w:firstLineChars="0"/>
              <w:rPr>
                <w:b/>
                <w:bCs/>
              </w:rPr>
            </w:pPr>
            <w:r>
              <w:rPr>
                <w:rFonts w:hint="eastAsia"/>
                <w:b/>
                <w:bCs/>
              </w:rPr>
              <w:t>二、运营期污染物排放标准</w:t>
            </w:r>
          </w:p>
          <w:p w14:paraId="45DBE91D">
            <w:pPr>
              <w:ind w:firstLine="482"/>
              <w:rPr>
                <w:b/>
                <w:bCs/>
              </w:rPr>
            </w:pPr>
            <w:r>
              <w:rPr>
                <w:rFonts w:hint="eastAsia"/>
                <w:b/>
                <w:bCs/>
              </w:rPr>
              <w:t>1、废气</w:t>
            </w:r>
          </w:p>
          <w:p w14:paraId="47764648">
            <w:pPr>
              <w:ind w:firstLine="480"/>
            </w:pPr>
            <w:r>
              <w:t>①DA001排气筒</w:t>
            </w:r>
          </w:p>
          <w:p w14:paraId="5339913D">
            <w:pPr>
              <w:ind w:firstLine="480"/>
              <w:rPr>
                <w:szCs w:val="28"/>
              </w:rPr>
            </w:pPr>
            <w:r>
              <w:rPr>
                <w:rFonts w:hint="eastAsia"/>
              </w:rPr>
              <w:t>项目DA001排放烘干滚筒燃烧器废气和砂石</w:t>
            </w:r>
            <w:r>
              <w:rPr>
                <w:szCs w:val="28"/>
              </w:rPr>
              <w:t>骨料烘干</w:t>
            </w:r>
            <w:r>
              <w:rPr>
                <w:rFonts w:hint="eastAsia"/>
                <w:szCs w:val="28"/>
              </w:rPr>
              <w:t>、筛分、提升等产生的废气。</w:t>
            </w:r>
          </w:p>
          <w:p w14:paraId="2F2BB56E">
            <w:pPr>
              <w:ind w:firstLine="480"/>
              <w:rPr>
                <w:rFonts w:cs="宋体"/>
              </w:rPr>
            </w:pPr>
            <w:r>
              <w:rPr>
                <w:rFonts w:hint="eastAsia"/>
              </w:rPr>
              <w:t>砂石</w:t>
            </w:r>
            <w:r>
              <w:rPr>
                <w:szCs w:val="28"/>
              </w:rPr>
              <w:t>骨料烘干</w:t>
            </w:r>
            <w:r>
              <w:rPr>
                <w:rFonts w:hint="eastAsia"/>
                <w:szCs w:val="28"/>
              </w:rPr>
              <w:t>、筛分、提升等产生的废气执行</w:t>
            </w:r>
            <w:r>
              <w:rPr>
                <w:rFonts w:hint="eastAsia" w:cs="宋体"/>
              </w:rPr>
              <w:t>《大气污染物综合排放标准》（GB16297-1996）表2中二级标准。</w:t>
            </w:r>
          </w:p>
          <w:p w14:paraId="48AB7EA3">
            <w:pPr>
              <w:ind w:firstLine="480"/>
              <w:rPr>
                <w:rFonts w:cs="宋体"/>
              </w:rPr>
            </w:pPr>
            <w:r>
              <w:rPr>
                <w:rFonts w:hint="eastAsia"/>
              </w:rPr>
              <w:t>烘干</w:t>
            </w:r>
            <w:r>
              <w:t>滚筒</w:t>
            </w:r>
            <w:r>
              <w:rPr>
                <w:rFonts w:hint="eastAsia" w:cs="宋体"/>
              </w:rPr>
              <w:t>属于工业炉窑中的干燥炉，执行《工业炉窑大气污染物排放标准》（GB9078-1996）中表2干燥炉二级标准限值。由于《工业炉窑大气污染物排放标准》（GB9078-1996）中未规定NO</w:t>
            </w:r>
            <w:r>
              <w:rPr>
                <w:rFonts w:hint="eastAsia" w:cs="宋体"/>
                <w:vertAlign w:val="subscript"/>
              </w:rPr>
              <w:t>X</w:t>
            </w:r>
            <w:r>
              <w:rPr>
                <w:rFonts w:hint="eastAsia" w:cs="宋体"/>
              </w:rPr>
              <w:t>排放限值，因此NO</w:t>
            </w:r>
            <w:r>
              <w:rPr>
                <w:rFonts w:hint="eastAsia" w:cs="宋体"/>
                <w:vertAlign w:val="subscript"/>
              </w:rPr>
              <w:t>X</w:t>
            </w:r>
            <w:r>
              <w:rPr>
                <w:rFonts w:hint="eastAsia" w:cs="宋体"/>
              </w:rPr>
              <w:t>排放执行《大气污染物综合排放标准》（GB16297-1996）表2中二级标准。</w:t>
            </w:r>
          </w:p>
          <w:p w14:paraId="06B7CA38">
            <w:pPr>
              <w:ind w:firstLine="480"/>
              <w:rPr>
                <w:rFonts w:cs="宋体"/>
              </w:rPr>
            </w:pPr>
            <w:r>
              <w:rPr>
                <w:rFonts w:hint="eastAsia"/>
                <w:bCs/>
              </w:rPr>
              <w:t>经同一个排放口执行多种排放标准的污染物按严格值执行，故颗粒物执行</w:t>
            </w:r>
            <w:r>
              <w:rPr>
                <w:rFonts w:hint="eastAsia" w:cs="宋体"/>
              </w:rPr>
              <w:t>《大气污染物综合排放标准》（GB16297-1996）表2中二级标准。</w:t>
            </w:r>
          </w:p>
          <w:p w14:paraId="31844CEB">
            <w:pPr>
              <w:ind w:firstLine="480"/>
            </w:pPr>
            <w:r>
              <w:rPr>
                <w:rFonts w:hint="eastAsia"/>
                <w:bCs/>
              </w:rPr>
              <w:t>DA001排气筒大气污染物排放标准</w:t>
            </w:r>
            <w:r>
              <w:t>详见下表</w:t>
            </w:r>
            <w:r>
              <w:rPr>
                <w:rFonts w:hint="eastAsia"/>
              </w:rPr>
              <w:t>。</w:t>
            </w:r>
          </w:p>
          <w:p w14:paraId="5C225709">
            <w:pPr>
              <w:spacing w:line="240" w:lineRule="auto"/>
              <w:ind w:firstLine="422"/>
              <w:jc w:val="center"/>
              <w:rPr>
                <w:b/>
                <w:sz w:val="21"/>
                <w:szCs w:val="21"/>
              </w:rPr>
            </w:pPr>
            <w:r>
              <w:rPr>
                <w:b/>
                <w:sz w:val="21"/>
                <w:szCs w:val="21"/>
              </w:rPr>
              <w:t>表</w:t>
            </w:r>
            <w:r>
              <w:rPr>
                <w:rFonts w:hint="eastAsia"/>
                <w:b/>
                <w:sz w:val="21"/>
                <w:szCs w:val="21"/>
              </w:rPr>
              <w:t>3-6  DA001排气筒大气污染物</w:t>
            </w:r>
            <w:r>
              <w:rPr>
                <w:b/>
                <w:sz w:val="21"/>
                <w:szCs w:val="21"/>
              </w:rPr>
              <w:t>排放标准</w:t>
            </w:r>
          </w:p>
          <w:tbl>
            <w:tblPr>
              <w:tblStyle w:val="26"/>
              <w:tblW w:w="8789" w:type="dxa"/>
              <w:jc w:val="center"/>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Layout w:type="fixed"/>
              <w:tblCellMar>
                <w:top w:w="0" w:type="dxa"/>
                <w:left w:w="108" w:type="dxa"/>
                <w:bottom w:w="0" w:type="dxa"/>
                <w:right w:w="108" w:type="dxa"/>
              </w:tblCellMar>
            </w:tblPr>
            <w:tblGrid>
              <w:gridCol w:w="720"/>
              <w:gridCol w:w="1020"/>
              <w:gridCol w:w="1194"/>
              <w:gridCol w:w="1325"/>
              <w:gridCol w:w="1273"/>
              <w:gridCol w:w="1151"/>
              <w:gridCol w:w="1164"/>
              <w:gridCol w:w="942"/>
            </w:tblGrid>
            <w:tr w14:paraId="14E41EBB">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410" w:type="pct"/>
                  <w:vMerge w:val="restart"/>
                  <w:vAlign w:val="center"/>
                </w:tcPr>
                <w:p w14:paraId="49ED3344">
                  <w:pPr>
                    <w:spacing w:line="240" w:lineRule="auto"/>
                    <w:ind w:firstLine="0" w:firstLineChars="0"/>
                    <w:jc w:val="center"/>
                    <w:rPr>
                      <w:sz w:val="21"/>
                      <w:szCs w:val="21"/>
                    </w:rPr>
                  </w:pPr>
                  <w:r>
                    <w:rPr>
                      <w:rFonts w:hint="eastAsia"/>
                      <w:sz w:val="21"/>
                      <w:szCs w:val="21"/>
                    </w:rPr>
                    <w:t>污染源</w:t>
                  </w:r>
                </w:p>
              </w:tc>
              <w:tc>
                <w:tcPr>
                  <w:tcW w:w="580" w:type="pct"/>
                  <w:vMerge w:val="restart"/>
                  <w:vAlign w:val="center"/>
                </w:tcPr>
                <w:p w14:paraId="6D43FDFE">
                  <w:pPr>
                    <w:spacing w:line="240" w:lineRule="auto"/>
                    <w:ind w:firstLine="0" w:firstLineChars="0"/>
                    <w:jc w:val="center"/>
                    <w:rPr>
                      <w:sz w:val="21"/>
                      <w:szCs w:val="21"/>
                    </w:rPr>
                  </w:pPr>
                  <w:r>
                    <w:rPr>
                      <w:rFonts w:hint="eastAsia"/>
                      <w:sz w:val="21"/>
                      <w:szCs w:val="21"/>
                    </w:rPr>
                    <w:t>污染物项目</w:t>
                  </w:r>
                </w:p>
              </w:tc>
              <w:tc>
                <w:tcPr>
                  <w:tcW w:w="1433" w:type="pct"/>
                  <w:gridSpan w:val="2"/>
                  <w:tcBorders>
                    <w:left w:val="single" w:color="auto" w:sz="4" w:space="0"/>
                    <w:bottom w:val="single" w:color="auto" w:sz="4" w:space="0"/>
                    <w:right w:val="single" w:color="auto" w:sz="4" w:space="0"/>
                  </w:tcBorders>
                  <w:vAlign w:val="center"/>
                </w:tcPr>
                <w:p w14:paraId="2488963B">
                  <w:pPr>
                    <w:spacing w:line="240" w:lineRule="auto"/>
                    <w:ind w:firstLine="0" w:firstLineChars="0"/>
                    <w:jc w:val="center"/>
                    <w:rPr>
                      <w:sz w:val="21"/>
                      <w:szCs w:val="21"/>
                    </w:rPr>
                  </w:pPr>
                  <w:r>
                    <w:rPr>
                      <w:sz w:val="21"/>
                      <w:szCs w:val="21"/>
                    </w:rPr>
                    <w:t>《工业炉窑大气污染物排放标准》（GB</w:t>
                  </w:r>
                  <w:r>
                    <w:rPr>
                      <w:rFonts w:hint="eastAsia"/>
                      <w:sz w:val="21"/>
                      <w:szCs w:val="21"/>
                    </w:rPr>
                    <w:t>9078</w:t>
                  </w:r>
                  <w:r>
                    <w:rPr>
                      <w:sz w:val="21"/>
                      <w:szCs w:val="21"/>
                    </w:rPr>
                    <w:t>-1996）</w:t>
                  </w:r>
                </w:p>
              </w:tc>
              <w:tc>
                <w:tcPr>
                  <w:tcW w:w="1379" w:type="pct"/>
                  <w:gridSpan w:val="2"/>
                  <w:tcBorders>
                    <w:left w:val="single" w:color="auto" w:sz="4" w:space="0"/>
                    <w:bottom w:val="single" w:color="auto" w:sz="4" w:space="0"/>
                    <w:right w:val="single" w:color="auto" w:sz="4" w:space="0"/>
                  </w:tcBorders>
                  <w:vAlign w:val="center"/>
                </w:tcPr>
                <w:p w14:paraId="58F25AFD">
                  <w:pPr>
                    <w:spacing w:line="240" w:lineRule="auto"/>
                    <w:ind w:firstLine="0" w:firstLineChars="0"/>
                    <w:jc w:val="center"/>
                    <w:rPr>
                      <w:sz w:val="21"/>
                      <w:szCs w:val="21"/>
                    </w:rPr>
                  </w:pPr>
                  <w:r>
                    <w:rPr>
                      <w:sz w:val="21"/>
                      <w:szCs w:val="21"/>
                    </w:rPr>
                    <w:t>《大气污染物综合排放标准》（GB16297-1996）</w:t>
                  </w:r>
                </w:p>
              </w:tc>
              <w:tc>
                <w:tcPr>
                  <w:tcW w:w="1196" w:type="pct"/>
                  <w:gridSpan w:val="2"/>
                  <w:tcBorders>
                    <w:left w:val="single" w:color="auto" w:sz="4" w:space="0"/>
                    <w:bottom w:val="single" w:color="auto" w:sz="4" w:space="0"/>
                    <w:right w:val="single" w:color="auto" w:sz="4" w:space="0"/>
                  </w:tcBorders>
                  <w:vAlign w:val="center"/>
                </w:tcPr>
                <w:p w14:paraId="0059D996">
                  <w:pPr>
                    <w:spacing w:line="240" w:lineRule="auto"/>
                    <w:ind w:firstLine="0" w:firstLineChars="0"/>
                    <w:jc w:val="center"/>
                    <w:rPr>
                      <w:sz w:val="21"/>
                      <w:szCs w:val="21"/>
                    </w:rPr>
                  </w:pPr>
                  <w:r>
                    <w:rPr>
                      <w:sz w:val="21"/>
                      <w:szCs w:val="21"/>
                    </w:rPr>
                    <w:t>项目执行标准</w:t>
                  </w:r>
                </w:p>
              </w:tc>
            </w:tr>
            <w:tr w14:paraId="4206E7E0">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440" w:hRule="atLeast"/>
                <w:jc w:val="center"/>
              </w:trPr>
              <w:tc>
                <w:tcPr>
                  <w:tcW w:w="410" w:type="pct"/>
                  <w:vMerge w:val="continue"/>
                  <w:vAlign w:val="center"/>
                </w:tcPr>
                <w:p w14:paraId="354703E5">
                  <w:pPr>
                    <w:spacing w:line="240" w:lineRule="auto"/>
                    <w:ind w:firstLine="0" w:firstLineChars="0"/>
                    <w:jc w:val="center"/>
                    <w:rPr>
                      <w:sz w:val="21"/>
                      <w:szCs w:val="21"/>
                    </w:rPr>
                  </w:pPr>
                </w:p>
              </w:tc>
              <w:tc>
                <w:tcPr>
                  <w:tcW w:w="580" w:type="pct"/>
                  <w:vMerge w:val="continue"/>
                  <w:vAlign w:val="center"/>
                </w:tcPr>
                <w:p w14:paraId="2A0B78FE">
                  <w:pPr>
                    <w:spacing w:line="240" w:lineRule="auto"/>
                    <w:ind w:firstLine="0" w:firstLineChars="0"/>
                    <w:jc w:val="center"/>
                    <w:rPr>
                      <w:sz w:val="21"/>
                      <w:szCs w:val="21"/>
                    </w:rPr>
                  </w:pPr>
                </w:p>
              </w:tc>
              <w:tc>
                <w:tcPr>
                  <w:tcW w:w="679" w:type="pct"/>
                  <w:tcBorders>
                    <w:top w:val="single" w:color="auto" w:sz="4" w:space="0"/>
                    <w:left w:val="single" w:color="auto" w:sz="4" w:space="0"/>
                    <w:bottom w:val="single" w:color="auto" w:sz="4" w:space="0"/>
                    <w:right w:val="single" w:color="auto" w:sz="4" w:space="0"/>
                  </w:tcBorders>
                  <w:vAlign w:val="center"/>
                </w:tcPr>
                <w:p w14:paraId="6A252201">
                  <w:pPr>
                    <w:spacing w:line="240" w:lineRule="auto"/>
                    <w:ind w:firstLine="0" w:firstLineChars="0"/>
                    <w:jc w:val="center"/>
                    <w:rPr>
                      <w:sz w:val="21"/>
                      <w:szCs w:val="21"/>
                    </w:rPr>
                  </w:pPr>
                  <w:r>
                    <w:rPr>
                      <w:sz w:val="21"/>
                      <w:szCs w:val="21"/>
                    </w:rPr>
                    <w:t>最高允许排放浓度</w:t>
                  </w:r>
                  <w:r>
                    <w:rPr>
                      <w:rFonts w:hint="eastAsia"/>
                      <w:sz w:val="21"/>
                      <w:szCs w:val="21"/>
                    </w:rPr>
                    <w:t>（</w:t>
                  </w:r>
                  <w:r>
                    <w:rPr>
                      <w:sz w:val="21"/>
                      <w:szCs w:val="21"/>
                    </w:rPr>
                    <w:t>mg/m</w:t>
                  </w:r>
                  <w:r>
                    <w:rPr>
                      <w:sz w:val="21"/>
                      <w:szCs w:val="21"/>
                      <w:vertAlign w:val="superscript"/>
                    </w:rPr>
                    <w:t>3</w:t>
                  </w:r>
                  <w:r>
                    <w:rPr>
                      <w:rFonts w:hint="eastAsia"/>
                      <w:sz w:val="21"/>
                      <w:szCs w:val="21"/>
                    </w:rPr>
                    <w:t>）</w:t>
                  </w:r>
                </w:p>
              </w:tc>
              <w:tc>
                <w:tcPr>
                  <w:tcW w:w="753" w:type="pct"/>
                  <w:tcBorders>
                    <w:top w:val="single" w:color="auto" w:sz="4" w:space="0"/>
                    <w:left w:val="single" w:color="auto" w:sz="4" w:space="0"/>
                    <w:bottom w:val="single" w:color="auto" w:sz="4" w:space="0"/>
                    <w:right w:val="single" w:color="auto" w:sz="4" w:space="0"/>
                  </w:tcBorders>
                  <w:vAlign w:val="center"/>
                </w:tcPr>
                <w:p w14:paraId="7C80ECAF">
                  <w:pPr>
                    <w:spacing w:line="240" w:lineRule="auto"/>
                    <w:ind w:firstLine="0" w:firstLineChars="0"/>
                    <w:jc w:val="center"/>
                    <w:rPr>
                      <w:sz w:val="21"/>
                      <w:szCs w:val="21"/>
                    </w:rPr>
                  </w:pPr>
                  <w:r>
                    <w:rPr>
                      <w:sz w:val="21"/>
                      <w:szCs w:val="21"/>
                    </w:rPr>
                    <w:t>最高允许排放速率</w:t>
                  </w:r>
                  <w:r>
                    <w:rPr>
                      <w:rFonts w:hint="eastAsia"/>
                      <w:sz w:val="21"/>
                      <w:szCs w:val="21"/>
                    </w:rPr>
                    <w:t>（kg/h）</w:t>
                  </w:r>
                </w:p>
              </w:tc>
              <w:tc>
                <w:tcPr>
                  <w:tcW w:w="724" w:type="pct"/>
                  <w:tcBorders>
                    <w:top w:val="single" w:color="auto" w:sz="4" w:space="0"/>
                    <w:left w:val="single" w:color="auto" w:sz="4" w:space="0"/>
                    <w:bottom w:val="single" w:color="auto" w:sz="4" w:space="0"/>
                    <w:right w:val="single" w:color="auto" w:sz="4" w:space="0"/>
                  </w:tcBorders>
                  <w:vAlign w:val="center"/>
                </w:tcPr>
                <w:p w14:paraId="32C334D8">
                  <w:pPr>
                    <w:spacing w:line="240" w:lineRule="auto"/>
                    <w:ind w:firstLine="0" w:firstLineChars="0"/>
                    <w:jc w:val="center"/>
                    <w:rPr>
                      <w:sz w:val="21"/>
                      <w:szCs w:val="21"/>
                    </w:rPr>
                  </w:pPr>
                  <w:r>
                    <w:rPr>
                      <w:sz w:val="21"/>
                      <w:szCs w:val="21"/>
                    </w:rPr>
                    <w:t>最高允许排放浓度</w:t>
                  </w:r>
                  <w:r>
                    <w:rPr>
                      <w:rFonts w:hint="eastAsia"/>
                      <w:sz w:val="21"/>
                      <w:szCs w:val="21"/>
                    </w:rPr>
                    <w:t>（</w:t>
                  </w:r>
                  <w:r>
                    <w:rPr>
                      <w:sz w:val="21"/>
                      <w:szCs w:val="21"/>
                    </w:rPr>
                    <w:t>mg/m</w:t>
                  </w:r>
                  <w:r>
                    <w:rPr>
                      <w:sz w:val="21"/>
                      <w:szCs w:val="21"/>
                      <w:vertAlign w:val="superscript"/>
                    </w:rPr>
                    <w:t>3</w:t>
                  </w:r>
                  <w:r>
                    <w:rPr>
                      <w:rFonts w:hint="eastAsia"/>
                      <w:sz w:val="21"/>
                      <w:szCs w:val="21"/>
                    </w:rPr>
                    <w:t>）</w:t>
                  </w:r>
                </w:p>
              </w:tc>
              <w:tc>
                <w:tcPr>
                  <w:tcW w:w="654" w:type="pct"/>
                  <w:tcBorders>
                    <w:top w:val="single" w:color="auto" w:sz="4" w:space="0"/>
                    <w:left w:val="single" w:color="auto" w:sz="4" w:space="0"/>
                    <w:bottom w:val="single" w:color="auto" w:sz="4" w:space="0"/>
                    <w:right w:val="single" w:color="auto" w:sz="4" w:space="0"/>
                  </w:tcBorders>
                  <w:vAlign w:val="center"/>
                </w:tcPr>
                <w:p w14:paraId="2350C817">
                  <w:pPr>
                    <w:spacing w:line="240" w:lineRule="auto"/>
                    <w:ind w:firstLine="0" w:firstLineChars="0"/>
                    <w:jc w:val="center"/>
                    <w:rPr>
                      <w:sz w:val="21"/>
                      <w:szCs w:val="21"/>
                    </w:rPr>
                  </w:pPr>
                  <w:r>
                    <w:rPr>
                      <w:sz w:val="21"/>
                      <w:szCs w:val="21"/>
                    </w:rPr>
                    <w:t>最高允许排放速率</w:t>
                  </w:r>
                  <w:r>
                    <w:rPr>
                      <w:rFonts w:hint="eastAsia"/>
                      <w:sz w:val="21"/>
                      <w:szCs w:val="21"/>
                    </w:rPr>
                    <w:t>（kg/h）</w:t>
                  </w:r>
                </w:p>
              </w:tc>
              <w:tc>
                <w:tcPr>
                  <w:tcW w:w="662" w:type="pct"/>
                  <w:tcBorders>
                    <w:top w:val="single" w:color="auto" w:sz="4" w:space="0"/>
                    <w:left w:val="single" w:color="auto" w:sz="4" w:space="0"/>
                    <w:bottom w:val="single" w:color="auto" w:sz="4" w:space="0"/>
                    <w:right w:val="single" w:color="auto" w:sz="4" w:space="0"/>
                  </w:tcBorders>
                  <w:vAlign w:val="center"/>
                </w:tcPr>
                <w:p w14:paraId="3BFD85A0">
                  <w:pPr>
                    <w:spacing w:line="240" w:lineRule="auto"/>
                    <w:ind w:firstLine="0" w:firstLineChars="0"/>
                    <w:jc w:val="center"/>
                    <w:rPr>
                      <w:sz w:val="21"/>
                      <w:szCs w:val="21"/>
                    </w:rPr>
                  </w:pPr>
                  <w:r>
                    <w:rPr>
                      <w:sz w:val="21"/>
                      <w:szCs w:val="21"/>
                    </w:rPr>
                    <w:t>最高允许排放浓度</w:t>
                  </w:r>
                  <w:r>
                    <w:rPr>
                      <w:rFonts w:hint="eastAsia"/>
                      <w:sz w:val="21"/>
                      <w:szCs w:val="21"/>
                    </w:rPr>
                    <w:t>（</w:t>
                  </w:r>
                  <w:r>
                    <w:rPr>
                      <w:sz w:val="21"/>
                      <w:szCs w:val="21"/>
                    </w:rPr>
                    <w:t>mg/m</w:t>
                  </w:r>
                  <w:r>
                    <w:rPr>
                      <w:sz w:val="21"/>
                      <w:szCs w:val="21"/>
                      <w:vertAlign w:val="superscript"/>
                    </w:rPr>
                    <w:t>3</w:t>
                  </w:r>
                  <w:r>
                    <w:rPr>
                      <w:rFonts w:hint="eastAsia"/>
                      <w:sz w:val="21"/>
                      <w:szCs w:val="21"/>
                    </w:rPr>
                    <w:t>）</w:t>
                  </w:r>
                </w:p>
              </w:tc>
              <w:tc>
                <w:tcPr>
                  <w:tcW w:w="534" w:type="pct"/>
                  <w:tcBorders>
                    <w:top w:val="single" w:color="auto" w:sz="4" w:space="0"/>
                    <w:left w:val="single" w:color="auto" w:sz="4" w:space="0"/>
                    <w:bottom w:val="single" w:color="auto" w:sz="4" w:space="0"/>
                    <w:right w:val="single" w:color="auto" w:sz="4" w:space="0"/>
                  </w:tcBorders>
                  <w:vAlign w:val="center"/>
                </w:tcPr>
                <w:p w14:paraId="27147671">
                  <w:pPr>
                    <w:spacing w:line="240" w:lineRule="auto"/>
                    <w:ind w:firstLine="0" w:firstLineChars="0"/>
                    <w:jc w:val="center"/>
                    <w:rPr>
                      <w:sz w:val="21"/>
                      <w:szCs w:val="21"/>
                    </w:rPr>
                  </w:pPr>
                  <w:r>
                    <w:rPr>
                      <w:sz w:val="21"/>
                      <w:szCs w:val="21"/>
                    </w:rPr>
                    <w:t>最高允许排放速率</w:t>
                  </w:r>
                  <w:r>
                    <w:rPr>
                      <w:rFonts w:hint="eastAsia"/>
                      <w:sz w:val="21"/>
                      <w:szCs w:val="21"/>
                    </w:rPr>
                    <w:t>（kg/h）</w:t>
                  </w:r>
                </w:p>
              </w:tc>
            </w:tr>
            <w:tr w14:paraId="43BC0133">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299" w:hRule="atLeast"/>
                <w:jc w:val="center"/>
              </w:trPr>
              <w:tc>
                <w:tcPr>
                  <w:tcW w:w="410" w:type="pct"/>
                  <w:vMerge w:val="restart"/>
                  <w:vAlign w:val="center"/>
                </w:tcPr>
                <w:p w14:paraId="38772442">
                  <w:pPr>
                    <w:spacing w:line="240" w:lineRule="auto"/>
                    <w:ind w:firstLine="0" w:firstLineChars="0"/>
                    <w:jc w:val="center"/>
                    <w:rPr>
                      <w:sz w:val="21"/>
                      <w:szCs w:val="21"/>
                    </w:rPr>
                  </w:pPr>
                  <w:r>
                    <w:rPr>
                      <w:rFonts w:hint="eastAsia"/>
                      <w:sz w:val="21"/>
                      <w:szCs w:val="21"/>
                    </w:rPr>
                    <w:t>DA001排气筒</w:t>
                  </w:r>
                </w:p>
              </w:tc>
              <w:tc>
                <w:tcPr>
                  <w:tcW w:w="4589" w:type="pct"/>
                  <w:gridSpan w:val="7"/>
                  <w:tcBorders>
                    <w:right w:val="single" w:color="auto" w:sz="4" w:space="0"/>
                  </w:tcBorders>
                  <w:vAlign w:val="center"/>
                </w:tcPr>
                <w:p w14:paraId="5FAC3C01">
                  <w:pPr>
                    <w:spacing w:line="240" w:lineRule="auto"/>
                    <w:ind w:firstLine="0" w:firstLineChars="0"/>
                    <w:jc w:val="center"/>
                    <w:rPr>
                      <w:sz w:val="21"/>
                      <w:szCs w:val="21"/>
                    </w:rPr>
                  </w:pPr>
                  <w:r>
                    <w:rPr>
                      <w:rFonts w:hint="eastAsia"/>
                      <w:sz w:val="21"/>
                      <w:szCs w:val="21"/>
                    </w:rPr>
                    <w:t>排气筒高度15m</w:t>
                  </w:r>
                </w:p>
              </w:tc>
            </w:tr>
            <w:tr w14:paraId="4D961A54">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jc w:val="center"/>
              </w:trPr>
              <w:tc>
                <w:tcPr>
                  <w:tcW w:w="410" w:type="pct"/>
                  <w:vMerge w:val="continue"/>
                  <w:vAlign w:val="center"/>
                </w:tcPr>
                <w:p w14:paraId="12FB0690">
                  <w:pPr>
                    <w:spacing w:line="240" w:lineRule="auto"/>
                    <w:ind w:firstLine="0" w:firstLineChars="0"/>
                    <w:jc w:val="center"/>
                    <w:rPr>
                      <w:sz w:val="21"/>
                      <w:szCs w:val="21"/>
                    </w:rPr>
                  </w:pPr>
                </w:p>
              </w:tc>
              <w:tc>
                <w:tcPr>
                  <w:tcW w:w="580" w:type="pct"/>
                  <w:vAlign w:val="center"/>
                </w:tcPr>
                <w:p w14:paraId="5198468E">
                  <w:pPr>
                    <w:spacing w:line="240" w:lineRule="auto"/>
                    <w:ind w:firstLine="0" w:firstLineChars="0"/>
                    <w:jc w:val="center"/>
                    <w:rPr>
                      <w:sz w:val="21"/>
                      <w:szCs w:val="21"/>
                    </w:rPr>
                  </w:pPr>
                  <w:r>
                    <w:rPr>
                      <w:sz w:val="21"/>
                      <w:szCs w:val="21"/>
                    </w:rPr>
                    <w:t>烟</w:t>
                  </w:r>
                  <w:r>
                    <w:rPr>
                      <w:rFonts w:hint="eastAsia"/>
                      <w:sz w:val="21"/>
                      <w:szCs w:val="21"/>
                    </w:rPr>
                    <w:t>（</w:t>
                  </w:r>
                  <w:r>
                    <w:rPr>
                      <w:sz w:val="21"/>
                      <w:szCs w:val="21"/>
                    </w:rPr>
                    <w:t>粉</w:t>
                  </w:r>
                  <w:r>
                    <w:rPr>
                      <w:rFonts w:hint="eastAsia"/>
                      <w:sz w:val="21"/>
                      <w:szCs w:val="21"/>
                    </w:rPr>
                    <w:t>）</w:t>
                  </w:r>
                  <w:r>
                    <w:rPr>
                      <w:sz w:val="21"/>
                      <w:szCs w:val="21"/>
                    </w:rPr>
                    <w:t>尘</w:t>
                  </w:r>
                  <w:r>
                    <w:rPr>
                      <w:rFonts w:hint="eastAsia"/>
                      <w:sz w:val="21"/>
                      <w:szCs w:val="21"/>
                    </w:rPr>
                    <w:t>（颗粒物）</w:t>
                  </w:r>
                </w:p>
              </w:tc>
              <w:tc>
                <w:tcPr>
                  <w:tcW w:w="679" w:type="pct"/>
                  <w:tcBorders>
                    <w:left w:val="single" w:color="auto" w:sz="4" w:space="0"/>
                    <w:right w:val="single" w:color="auto" w:sz="4" w:space="0"/>
                  </w:tcBorders>
                  <w:vAlign w:val="center"/>
                </w:tcPr>
                <w:p w14:paraId="01735C86">
                  <w:pPr>
                    <w:spacing w:line="240" w:lineRule="auto"/>
                    <w:ind w:firstLine="0" w:firstLineChars="0"/>
                    <w:jc w:val="center"/>
                    <w:rPr>
                      <w:sz w:val="21"/>
                      <w:szCs w:val="21"/>
                    </w:rPr>
                  </w:pPr>
                  <w:r>
                    <w:rPr>
                      <w:rFonts w:hint="eastAsia"/>
                      <w:sz w:val="21"/>
                      <w:szCs w:val="21"/>
                    </w:rPr>
                    <w:t>200</w:t>
                  </w:r>
                </w:p>
              </w:tc>
              <w:tc>
                <w:tcPr>
                  <w:tcW w:w="753" w:type="pct"/>
                  <w:tcBorders>
                    <w:left w:val="single" w:color="auto" w:sz="4" w:space="0"/>
                    <w:right w:val="single" w:color="auto" w:sz="4" w:space="0"/>
                  </w:tcBorders>
                  <w:vAlign w:val="center"/>
                </w:tcPr>
                <w:p w14:paraId="7BA0A84E">
                  <w:pPr>
                    <w:spacing w:line="240" w:lineRule="auto"/>
                    <w:ind w:firstLine="0" w:firstLineChars="0"/>
                    <w:jc w:val="center"/>
                    <w:rPr>
                      <w:sz w:val="21"/>
                      <w:szCs w:val="21"/>
                    </w:rPr>
                  </w:pPr>
                  <w:r>
                    <w:rPr>
                      <w:rFonts w:hint="eastAsia"/>
                      <w:sz w:val="21"/>
                      <w:szCs w:val="21"/>
                    </w:rPr>
                    <w:t>/</w:t>
                  </w:r>
                </w:p>
              </w:tc>
              <w:tc>
                <w:tcPr>
                  <w:tcW w:w="724" w:type="pct"/>
                  <w:tcBorders>
                    <w:left w:val="single" w:color="auto" w:sz="4" w:space="0"/>
                    <w:right w:val="single" w:color="auto" w:sz="4" w:space="0"/>
                  </w:tcBorders>
                  <w:vAlign w:val="center"/>
                </w:tcPr>
                <w:p w14:paraId="64353ED2">
                  <w:pPr>
                    <w:spacing w:line="240" w:lineRule="auto"/>
                    <w:ind w:firstLine="0" w:firstLineChars="0"/>
                    <w:jc w:val="center"/>
                    <w:rPr>
                      <w:sz w:val="21"/>
                      <w:szCs w:val="21"/>
                    </w:rPr>
                  </w:pPr>
                  <w:r>
                    <w:rPr>
                      <w:rFonts w:hint="eastAsia"/>
                      <w:sz w:val="21"/>
                      <w:szCs w:val="21"/>
                    </w:rPr>
                    <w:t>120</w:t>
                  </w:r>
                </w:p>
              </w:tc>
              <w:tc>
                <w:tcPr>
                  <w:tcW w:w="654" w:type="pct"/>
                  <w:tcBorders>
                    <w:left w:val="single" w:color="auto" w:sz="4" w:space="0"/>
                    <w:right w:val="single" w:color="auto" w:sz="4" w:space="0"/>
                  </w:tcBorders>
                  <w:vAlign w:val="center"/>
                </w:tcPr>
                <w:p w14:paraId="7782F3CA">
                  <w:pPr>
                    <w:spacing w:line="240" w:lineRule="auto"/>
                    <w:ind w:firstLine="0" w:firstLineChars="0"/>
                    <w:jc w:val="center"/>
                    <w:rPr>
                      <w:sz w:val="21"/>
                      <w:szCs w:val="21"/>
                    </w:rPr>
                  </w:pPr>
                  <w:r>
                    <w:rPr>
                      <w:rFonts w:hint="eastAsia"/>
                      <w:sz w:val="21"/>
                      <w:szCs w:val="21"/>
                    </w:rPr>
                    <w:t>3.5</w:t>
                  </w:r>
                </w:p>
              </w:tc>
              <w:tc>
                <w:tcPr>
                  <w:tcW w:w="662" w:type="pct"/>
                  <w:tcBorders>
                    <w:left w:val="single" w:color="auto" w:sz="4" w:space="0"/>
                    <w:right w:val="single" w:color="auto" w:sz="4" w:space="0"/>
                  </w:tcBorders>
                  <w:vAlign w:val="center"/>
                </w:tcPr>
                <w:p w14:paraId="70DF7899">
                  <w:pPr>
                    <w:spacing w:line="240" w:lineRule="auto"/>
                    <w:ind w:firstLine="0" w:firstLineChars="0"/>
                    <w:jc w:val="center"/>
                    <w:rPr>
                      <w:sz w:val="21"/>
                      <w:szCs w:val="21"/>
                    </w:rPr>
                  </w:pPr>
                  <w:r>
                    <w:rPr>
                      <w:rFonts w:hint="eastAsia"/>
                      <w:sz w:val="21"/>
                      <w:szCs w:val="21"/>
                    </w:rPr>
                    <w:t>120</w:t>
                  </w:r>
                </w:p>
              </w:tc>
              <w:tc>
                <w:tcPr>
                  <w:tcW w:w="534" w:type="pct"/>
                  <w:tcBorders>
                    <w:left w:val="single" w:color="auto" w:sz="4" w:space="0"/>
                    <w:right w:val="single" w:color="auto" w:sz="4" w:space="0"/>
                  </w:tcBorders>
                  <w:vAlign w:val="center"/>
                </w:tcPr>
                <w:p w14:paraId="16EBF38F">
                  <w:pPr>
                    <w:spacing w:line="240" w:lineRule="auto"/>
                    <w:ind w:firstLine="0" w:firstLineChars="0"/>
                    <w:jc w:val="center"/>
                    <w:rPr>
                      <w:sz w:val="21"/>
                      <w:szCs w:val="21"/>
                    </w:rPr>
                  </w:pPr>
                  <w:r>
                    <w:rPr>
                      <w:rFonts w:hint="eastAsia"/>
                      <w:sz w:val="21"/>
                      <w:szCs w:val="21"/>
                    </w:rPr>
                    <w:t>3.5</w:t>
                  </w:r>
                </w:p>
              </w:tc>
            </w:tr>
            <w:tr w14:paraId="2C531DDE">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410" w:type="pct"/>
                  <w:vMerge w:val="continue"/>
                  <w:vAlign w:val="center"/>
                </w:tcPr>
                <w:p w14:paraId="057BC5D1">
                  <w:pPr>
                    <w:spacing w:line="240" w:lineRule="auto"/>
                    <w:ind w:firstLine="0" w:firstLineChars="0"/>
                    <w:jc w:val="center"/>
                    <w:rPr>
                      <w:sz w:val="21"/>
                      <w:szCs w:val="21"/>
                    </w:rPr>
                  </w:pPr>
                </w:p>
              </w:tc>
              <w:tc>
                <w:tcPr>
                  <w:tcW w:w="580" w:type="pct"/>
                  <w:vAlign w:val="center"/>
                </w:tcPr>
                <w:p w14:paraId="58C94FD9">
                  <w:pPr>
                    <w:spacing w:line="240" w:lineRule="auto"/>
                    <w:ind w:firstLine="0" w:firstLineChars="0"/>
                    <w:jc w:val="center"/>
                    <w:rPr>
                      <w:sz w:val="21"/>
                      <w:szCs w:val="21"/>
                    </w:rPr>
                  </w:pPr>
                  <w:r>
                    <w:rPr>
                      <w:sz w:val="21"/>
                      <w:szCs w:val="21"/>
                    </w:rPr>
                    <w:t>二氧化硫</w:t>
                  </w:r>
                </w:p>
              </w:tc>
              <w:tc>
                <w:tcPr>
                  <w:tcW w:w="679" w:type="pct"/>
                  <w:tcBorders>
                    <w:left w:val="single" w:color="auto" w:sz="4" w:space="0"/>
                    <w:right w:val="single" w:color="auto" w:sz="4" w:space="0"/>
                  </w:tcBorders>
                  <w:vAlign w:val="center"/>
                </w:tcPr>
                <w:p w14:paraId="67136570">
                  <w:pPr>
                    <w:spacing w:line="240" w:lineRule="auto"/>
                    <w:ind w:firstLine="0" w:firstLineChars="0"/>
                    <w:jc w:val="center"/>
                    <w:rPr>
                      <w:sz w:val="21"/>
                      <w:szCs w:val="21"/>
                    </w:rPr>
                  </w:pPr>
                  <w:r>
                    <w:rPr>
                      <w:rFonts w:hint="eastAsia"/>
                      <w:sz w:val="21"/>
                      <w:szCs w:val="21"/>
                    </w:rPr>
                    <w:t>850</w:t>
                  </w:r>
                </w:p>
              </w:tc>
              <w:tc>
                <w:tcPr>
                  <w:tcW w:w="753" w:type="pct"/>
                  <w:tcBorders>
                    <w:left w:val="single" w:color="auto" w:sz="4" w:space="0"/>
                    <w:right w:val="single" w:color="auto" w:sz="4" w:space="0"/>
                  </w:tcBorders>
                  <w:vAlign w:val="center"/>
                </w:tcPr>
                <w:p w14:paraId="76D30952">
                  <w:pPr>
                    <w:spacing w:line="240" w:lineRule="auto"/>
                    <w:ind w:firstLine="0" w:firstLineChars="0"/>
                    <w:jc w:val="center"/>
                    <w:rPr>
                      <w:sz w:val="21"/>
                      <w:szCs w:val="21"/>
                    </w:rPr>
                  </w:pPr>
                  <w:r>
                    <w:rPr>
                      <w:rFonts w:hint="eastAsia"/>
                      <w:sz w:val="21"/>
                      <w:szCs w:val="21"/>
                    </w:rPr>
                    <w:t>/</w:t>
                  </w:r>
                </w:p>
              </w:tc>
              <w:tc>
                <w:tcPr>
                  <w:tcW w:w="724" w:type="pct"/>
                  <w:tcBorders>
                    <w:left w:val="single" w:color="auto" w:sz="4" w:space="0"/>
                    <w:right w:val="single" w:color="auto" w:sz="4" w:space="0"/>
                  </w:tcBorders>
                  <w:vAlign w:val="center"/>
                </w:tcPr>
                <w:p w14:paraId="60BB3B48">
                  <w:pPr>
                    <w:spacing w:line="240" w:lineRule="auto"/>
                    <w:ind w:firstLine="0" w:firstLineChars="0"/>
                    <w:jc w:val="center"/>
                    <w:rPr>
                      <w:sz w:val="21"/>
                      <w:szCs w:val="21"/>
                    </w:rPr>
                  </w:pPr>
                  <w:r>
                    <w:rPr>
                      <w:rFonts w:hint="eastAsia"/>
                      <w:sz w:val="21"/>
                      <w:szCs w:val="21"/>
                    </w:rPr>
                    <w:t>/</w:t>
                  </w:r>
                </w:p>
              </w:tc>
              <w:tc>
                <w:tcPr>
                  <w:tcW w:w="654" w:type="pct"/>
                  <w:tcBorders>
                    <w:left w:val="single" w:color="auto" w:sz="4" w:space="0"/>
                    <w:right w:val="single" w:color="auto" w:sz="4" w:space="0"/>
                  </w:tcBorders>
                  <w:vAlign w:val="center"/>
                </w:tcPr>
                <w:p w14:paraId="388C1A44">
                  <w:pPr>
                    <w:spacing w:line="240" w:lineRule="auto"/>
                    <w:ind w:firstLine="0" w:firstLineChars="0"/>
                    <w:jc w:val="center"/>
                    <w:rPr>
                      <w:sz w:val="21"/>
                      <w:szCs w:val="21"/>
                    </w:rPr>
                  </w:pPr>
                  <w:r>
                    <w:rPr>
                      <w:rFonts w:hint="eastAsia"/>
                      <w:sz w:val="21"/>
                      <w:szCs w:val="21"/>
                    </w:rPr>
                    <w:t>/</w:t>
                  </w:r>
                </w:p>
              </w:tc>
              <w:tc>
                <w:tcPr>
                  <w:tcW w:w="662" w:type="pct"/>
                  <w:tcBorders>
                    <w:left w:val="single" w:color="auto" w:sz="4" w:space="0"/>
                    <w:right w:val="single" w:color="auto" w:sz="4" w:space="0"/>
                  </w:tcBorders>
                  <w:vAlign w:val="center"/>
                </w:tcPr>
                <w:p w14:paraId="59DA7DDE">
                  <w:pPr>
                    <w:spacing w:line="240" w:lineRule="auto"/>
                    <w:ind w:firstLine="0" w:firstLineChars="0"/>
                    <w:jc w:val="center"/>
                    <w:rPr>
                      <w:sz w:val="21"/>
                      <w:szCs w:val="21"/>
                    </w:rPr>
                  </w:pPr>
                  <w:r>
                    <w:rPr>
                      <w:rFonts w:hint="eastAsia"/>
                      <w:sz w:val="21"/>
                      <w:szCs w:val="21"/>
                    </w:rPr>
                    <w:t>850</w:t>
                  </w:r>
                </w:p>
              </w:tc>
              <w:tc>
                <w:tcPr>
                  <w:tcW w:w="534" w:type="pct"/>
                  <w:tcBorders>
                    <w:left w:val="single" w:color="auto" w:sz="4" w:space="0"/>
                    <w:right w:val="single" w:color="auto" w:sz="4" w:space="0"/>
                  </w:tcBorders>
                  <w:vAlign w:val="center"/>
                </w:tcPr>
                <w:p w14:paraId="3177D311">
                  <w:pPr>
                    <w:spacing w:line="240" w:lineRule="auto"/>
                    <w:ind w:firstLine="0" w:firstLineChars="0"/>
                    <w:jc w:val="center"/>
                    <w:rPr>
                      <w:sz w:val="21"/>
                      <w:szCs w:val="21"/>
                    </w:rPr>
                  </w:pPr>
                  <w:r>
                    <w:rPr>
                      <w:rFonts w:hint="eastAsia"/>
                      <w:sz w:val="21"/>
                      <w:szCs w:val="21"/>
                    </w:rPr>
                    <w:t>/</w:t>
                  </w:r>
                </w:p>
              </w:tc>
            </w:tr>
            <w:tr w14:paraId="20C98280">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jc w:val="center"/>
              </w:trPr>
              <w:tc>
                <w:tcPr>
                  <w:tcW w:w="410" w:type="pct"/>
                  <w:vMerge w:val="continue"/>
                  <w:vAlign w:val="center"/>
                </w:tcPr>
                <w:p w14:paraId="5DFC2A33">
                  <w:pPr>
                    <w:spacing w:line="240" w:lineRule="auto"/>
                    <w:ind w:firstLine="0" w:firstLineChars="0"/>
                    <w:jc w:val="center"/>
                    <w:rPr>
                      <w:sz w:val="21"/>
                      <w:szCs w:val="21"/>
                    </w:rPr>
                  </w:pPr>
                </w:p>
              </w:tc>
              <w:tc>
                <w:tcPr>
                  <w:tcW w:w="580" w:type="pct"/>
                  <w:vAlign w:val="center"/>
                </w:tcPr>
                <w:p w14:paraId="0696B7E2">
                  <w:pPr>
                    <w:spacing w:line="240" w:lineRule="auto"/>
                    <w:ind w:firstLine="0" w:firstLineChars="0"/>
                    <w:jc w:val="center"/>
                    <w:rPr>
                      <w:sz w:val="21"/>
                      <w:szCs w:val="21"/>
                    </w:rPr>
                  </w:pPr>
                  <w:r>
                    <w:rPr>
                      <w:sz w:val="21"/>
                      <w:szCs w:val="21"/>
                    </w:rPr>
                    <w:t>氮氧化物</w:t>
                  </w:r>
                </w:p>
              </w:tc>
              <w:tc>
                <w:tcPr>
                  <w:tcW w:w="679" w:type="pct"/>
                  <w:tcBorders>
                    <w:left w:val="single" w:color="auto" w:sz="4" w:space="0"/>
                    <w:right w:val="single" w:color="auto" w:sz="4" w:space="0"/>
                  </w:tcBorders>
                  <w:vAlign w:val="center"/>
                </w:tcPr>
                <w:p w14:paraId="382A79EC">
                  <w:pPr>
                    <w:spacing w:line="240" w:lineRule="auto"/>
                    <w:ind w:firstLine="0" w:firstLineChars="0"/>
                    <w:jc w:val="center"/>
                    <w:rPr>
                      <w:sz w:val="21"/>
                      <w:szCs w:val="21"/>
                    </w:rPr>
                  </w:pPr>
                  <w:r>
                    <w:rPr>
                      <w:rFonts w:hint="eastAsia"/>
                      <w:sz w:val="21"/>
                      <w:szCs w:val="21"/>
                    </w:rPr>
                    <w:t>/</w:t>
                  </w:r>
                </w:p>
              </w:tc>
              <w:tc>
                <w:tcPr>
                  <w:tcW w:w="753" w:type="pct"/>
                  <w:tcBorders>
                    <w:left w:val="single" w:color="auto" w:sz="4" w:space="0"/>
                    <w:right w:val="single" w:color="auto" w:sz="4" w:space="0"/>
                  </w:tcBorders>
                  <w:vAlign w:val="center"/>
                </w:tcPr>
                <w:p w14:paraId="5BA673C4">
                  <w:pPr>
                    <w:spacing w:line="240" w:lineRule="auto"/>
                    <w:ind w:firstLine="0" w:firstLineChars="0"/>
                    <w:jc w:val="center"/>
                    <w:rPr>
                      <w:sz w:val="21"/>
                      <w:szCs w:val="21"/>
                    </w:rPr>
                  </w:pPr>
                  <w:r>
                    <w:rPr>
                      <w:rFonts w:hint="eastAsia"/>
                      <w:sz w:val="21"/>
                      <w:szCs w:val="21"/>
                    </w:rPr>
                    <w:t>/</w:t>
                  </w:r>
                </w:p>
              </w:tc>
              <w:tc>
                <w:tcPr>
                  <w:tcW w:w="724" w:type="pct"/>
                  <w:tcBorders>
                    <w:left w:val="single" w:color="auto" w:sz="4" w:space="0"/>
                    <w:right w:val="single" w:color="auto" w:sz="4" w:space="0"/>
                  </w:tcBorders>
                  <w:vAlign w:val="center"/>
                </w:tcPr>
                <w:p w14:paraId="6D5B8C6A">
                  <w:pPr>
                    <w:spacing w:line="240" w:lineRule="auto"/>
                    <w:ind w:firstLine="0" w:firstLineChars="0"/>
                    <w:jc w:val="center"/>
                    <w:rPr>
                      <w:sz w:val="21"/>
                      <w:szCs w:val="21"/>
                    </w:rPr>
                  </w:pPr>
                  <w:r>
                    <w:rPr>
                      <w:rFonts w:hint="eastAsia"/>
                      <w:sz w:val="21"/>
                      <w:szCs w:val="21"/>
                    </w:rPr>
                    <w:t>240</w:t>
                  </w:r>
                </w:p>
              </w:tc>
              <w:tc>
                <w:tcPr>
                  <w:tcW w:w="654" w:type="pct"/>
                  <w:tcBorders>
                    <w:left w:val="single" w:color="auto" w:sz="4" w:space="0"/>
                    <w:right w:val="single" w:color="auto" w:sz="4" w:space="0"/>
                  </w:tcBorders>
                  <w:vAlign w:val="center"/>
                </w:tcPr>
                <w:p w14:paraId="57EF56B9">
                  <w:pPr>
                    <w:spacing w:line="240" w:lineRule="auto"/>
                    <w:ind w:firstLine="0" w:firstLineChars="0"/>
                    <w:jc w:val="center"/>
                    <w:rPr>
                      <w:sz w:val="21"/>
                      <w:szCs w:val="21"/>
                    </w:rPr>
                  </w:pPr>
                  <w:r>
                    <w:rPr>
                      <w:rFonts w:hint="eastAsia"/>
                      <w:sz w:val="21"/>
                      <w:szCs w:val="21"/>
                    </w:rPr>
                    <w:t>0.77</w:t>
                  </w:r>
                </w:p>
              </w:tc>
              <w:tc>
                <w:tcPr>
                  <w:tcW w:w="662" w:type="pct"/>
                  <w:tcBorders>
                    <w:left w:val="single" w:color="auto" w:sz="4" w:space="0"/>
                    <w:right w:val="single" w:color="auto" w:sz="4" w:space="0"/>
                  </w:tcBorders>
                  <w:vAlign w:val="center"/>
                </w:tcPr>
                <w:p w14:paraId="07ABDE4A">
                  <w:pPr>
                    <w:spacing w:line="240" w:lineRule="auto"/>
                    <w:ind w:firstLine="0" w:firstLineChars="0"/>
                    <w:jc w:val="center"/>
                    <w:rPr>
                      <w:sz w:val="21"/>
                      <w:szCs w:val="21"/>
                    </w:rPr>
                  </w:pPr>
                  <w:r>
                    <w:rPr>
                      <w:rFonts w:hint="eastAsia"/>
                      <w:sz w:val="21"/>
                      <w:szCs w:val="21"/>
                    </w:rPr>
                    <w:t>240</w:t>
                  </w:r>
                </w:p>
              </w:tc>
              <w:tc>
                <w:tcPr>
                  <w:tcW w:w="534" w:type="pct"/>
                  <w:tcBorders>
                    <w:left w:val="single" w:color="auto" w:sz="4" w:space="0"/>
                    <w:right w:val="single" w:color="auto" w:sz="4" w:space="0"/>
                  </w:tcBorders>
                  <w:vAlign w:val="center"/>
                </w:tcPr>
                <w:p w14:paraId="770FB4B5">
                  <w:pPr>
                    <w:spacing w:line="240" w:lineRule="auto"/>
                    <w:ind w:firstLine="0" w:firstLineChars="0"/>
                    <w:jc w:val="center"/>
                    <w:rPr>
                      <w:sz w:val="21"/>
                      <w:szCs w:val="21"/>
                    </w:rPr>
                  </w:pPr>
                  <w:r>
                    <w:rPr>
                      <w:rFonts w:hint="eastAsia"/>
                      <w:sz w:val="21"/>
                      <w:szCs w:val="21"/>
                    </w:rPr>
                    <w:t>0.77</w:t>
                  </w:r>
                </w:p>
              </w:tc>
            </w:tr>
            <w:tr w14:paraId="3C953E32">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jc w:val="center"/>
              </w:trPr>
              <w:tc>
                <w:tcPr>
                  <w:tcW w:w="410" w:type="pct"/>
                  <w:vMerge w:val="continue"/>
                  <w:vAlign w:val="center"/>
                </w:tcPr>
                <w:p w14:paraId="2275BEE2">
                  <w:pPr>
                    <w:spacing w:line="240" w:lineRule="auto"/>
                    <w:ind w:firstLine="0" w:firstLineChars="0"/>
                    <w:jc w:val="center"/>
                    <w:rPr>
                      <w:sz w:val="21"/>
                      <w:szCs w:val="21"/>
                    </w:rPr>
                  </w:pPr>
                </w:p>
              </w:tc>
              <w:tc>
                <w:tcPr>
                  <w:tcW w:w="580" w:type="pct"/>
                  <w:vAlign w:val="center"/>
                </w:tcPr>
                <w:p w14:paraId="49F11EDD">
                  <w:pPr>
                    <w:spacing w:line="240" w:lineRule="auto"/>
                    <w:ind w:firstLine="0" w:firstLineChars="0"/>
                    <w:jc w:val="center"/>
                    <w:rPr>
                      <w:sz w:val="21"/>
                      <w:szCs w:val="21"/>
                    </w:rPr>
                  </w:pPr>
                  <w:r>
                    <w:rPr>
                      <w:rFonts w:hint="eastAsia"/>
                      <w:sz w:val="21"/>
                      <w:szCs w:val="21"/>
                    </w:rPr>
                    <w:t>烟气黑度</w:t>
                  </w:r>
                </w:p>
              </w:tc>
              <w:tc>
                <w:tcPr>
                  <w:tcW w:w="1433" w:type="pct"/>
                  <w:gridSpan w:val="2"/>
                  <w:tcBorders>
                    <w:left w:val="single" w:color="auto" w:sz="4" w:space="0"/>
                    <w:right w:val="single" w:color="auto" w:sz="4" w:space="0"/>
                  </w:tcBorders>
                  <w:vAlign w:val="center"/>
                </w:tcPr>
                <w:p w14:paraId="4AD2F532">
                  <w:pPr>
                    <w:spacing w:line="240" w:lineRule="auto"/>
                    <w:ind w:firstLine="0" w:firstLineChars="0"/>
                    <w:jc w:val="center"/>
                    <w:rPr>
                      <w:sz w:val="21"/>
                      <w:szCs w:val="21"/>
                    </w:rPr>
                  </w:pPr>
                  <w:r>
                    <w:rPr>
                      <w:rFonts w:hint="eastAsia"/>
                      <w:sz w:val="21"/>
                      <w:szCs w:val="21"/>
                    </w:rPr>
                    <w:t>1（林格曼级）</w:t>
                  </w:r>
                </w:p>
              </w:tc>
              <w:tc>
                <w:tcPr>
                  <w:tcW w:w="724" w:type="pct"/>
                  <w:tcBorders>
                    <w:left w:val="single" w:color="auto" w:sz="4" w:space="0"/>
                    <w:right w:val="single" w:color="auto" w:sz="4" w:space="0"/>
                  </w:tcBorders>
                  <w:vAlign w:val="center"/>
                </w:tcPr>
                <w:p w14:paraId="60561605">
                  <w:pPr>
                    <w:spacing w:line="240" w:lineRule="auto"/>
                    <w:ind w:firstLine="0" w:firstLineChars="0"/>
                    <w:jc w:val="center"/>
                    <w:rPr>
                      <w:sz w:val="21"/>
                      <w:szCs w:val="21"/>
                    </w:rPr>
                  </w:pPr>
                  <w:r>
                    <w:rPr>
                      <w:rFonts w:hint="eastAsia"/>
                      <w:sz w:val="21"/>
                      <w:szCs w:val="21"/>
                    </w:rPr>
                    <w:t>/</w:t>
                  </w:r>
                </w:p>
              </w:tc>
              <w:tc>
                <w:tcPr>
                  <w:tcW w:w="654" w:type="pct"/>
                  <w:tcBorders>
                    <w:left w:val="single" w:color="auto" w:sz="4" w:space="0"/>
                    <w:right w:val="single" w:color="auto" w:sz="4" w:space="0"/>
                  </w:tcBorders>
                  <w:vAlign w:val="center"/>
                </w:tcPr>
                <w:p w14:paraId="3D759D35">
                  <w:pPr>
                    <w:spacing w:line="240" w:lineRule="auto"/>
                    <w:ind w:firstLine="0" w:firstLineChars="0"/>
                    <w:jc w:val="center"/>
                    <w:rPr>
                      <w:sz w:val="21"/>
                      <w:szCs w:val="21"/>
                    </w:rPr>
                  </w:pPr>
                  <w:r>
                    <w:rPr>
                      <w:rFonts w:hint="eastAsia"/>
                      <w:sz w:val="21"/>
                      <w:szCs w:val="21"/>
                    </w:rPr>
                    <w:t>/</w:t>
                  </w:r>
                </w:p>
              </w:tc>
              <w:tc>
                <w:tcPr>
                  <w:tcW w:w="1196" w:type="pct"/>
                  <w:gridSpan w:val="2"/>
                  <w:tcBorders>
                    <w:left w:val="single" w:color="auto" w:sz="4" w:space="0"/>
                    <w:right w:val="single" w:color="auto" w:sz="4" w:space="0"/>
                  </w:tcBorders>
                  <w:vAlign w:val="center"/>
                </w:tcPr>
                <w:p w14:paraId="5EEAC7EA">
                  <w:pPr>
                    <w:spacing w:line="240" w:lineRule="auto"/>
                    <w:ind w:firstLine="0" w:firstLineChars="0"/>
                    <w:jc w:val="center"/>
                    <w:rPr>
                      <w:sz w:val="21"/>
                      <w:szCs w:val="21"/>
                    </w:rPr>
                  </w:pPr>
                  <w:r>
                    <w:rPr>
                      <w:rFonts w:hint="eastAsia"/>
                      <w:sz w:val="21"/>
                      <w:szCs w:val="21"/>
                    </w:rPr>
                    <w:t>1（林格曼级）</w:t>
                  </w:r>
                </w:p>
              </w:tc>
            </w:tr>
            <w:tr w14:paraId="28107503">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jc w:val="center"/>
              </w:trPr>
              <w:tc>
                <w:tcPr>
                  <w:tcW w:w="5000" w:type="pct"/>
                  <w:gridSpan w:val="8"/>
                  <w:tcBorders>
                    <w:right w:val="single" w:color="auto" w:sz="4" w:space="0"/>
                  </w:tcBorders>
                  <w:vAlign w:val="center"/>
                </w:tcPr>
                <w:p w14:paraId="2F5F638E">
                  <w:pPr>
                    <w:autoSpaceDE w:val="0"/>
                    <w:autoSpaceDN w:val="0"/>
                    <w:adjustRightInd w:val="0"/>
                    <w:snapToGrid w:val="0"/>
                    <w:spacing w:line="240" w:lineRule="auto"/>
                    <w:ind w:firstLine="0" w:firstLineChars="0"/>
                    <w:rPr>
                      <w:rFonts w:cs="宋体"/>
                      <w:szCs w:val="21"/>
                    </w:rPr>
                  </w:pPr>
                  <w:r>
                    <w:rPr>
                      <w:rFonts w:hint="eastAsia"/>
                      <w:kern w:val="0"/>
                      <w:sz w:val="21"/>
                      <w:szCs w:val="21"/>
                    </w:rPr>
                    <w:t>注：</w:t>
                  </w:r>
                  <w:r>
                    <w:rPr>
                      <w:kern w:val="0"/>
                      <w:sz w:val="21"/>
                      <w:szCs w:val="21"/>
                    </w:rPr>
                    <w:t>根据现场调查，项目排气筒周围200m范</w:t>
                  </w:r>
                  <w:r>
                    <w:rPr>
                      <w:color w:val="000000" w:themeColor="text1"/>
                      <w:kern w:val="0"/>
                      <w:sz w:val="21"/>
                      <w:szCs w:val="21"/>
                      <w14:textFill>
                        <w14:solidFill>
                          <w14:schemeClr w14:val="tx1"/>
                        </w14:solidFill>
                      </w14:textFill>
                    </w:rPr>
                    <w:t>围内</w:t>
                  </w:r>
                  <w:r>
                    <w:rPr>
                      <w:rFonts w:hint="eastAsia"/>
                      <w:color w:val="000000" w:themeColor="text1"/>
                      <w:kern w:val="0"/>
                      <w:sz w:val="21"/>
                      <w:szCs w:val="21"/>
                      <w14:textFill>
                        <w14:solidFill>
                          <w14:schemeClr w14:val="tx1"/>
                        </w14:solidFill>
                      </w14:textFill>
                    </w:rPr>
                    <w:t>最高建筑为本项目的原料仓，原料仓高度7m，</w:t>
                  </w:r>
                  <w:r>
                    <w:rPr>
                      <w:rFonts w:hint="eastAsia"/>
                      <w:kern w:val="0"/>
                      <w:sz w:val="21"/>
                      <w:szCs w:val="21"/>
                    </w:rPr>
                    <w:t>无比排气筒高的建筑。</w:t>
                  </w:r>
                </w:p>
              </w:tc>
            </w:tr>
          </w:tbl>
          <w:p w14:paraId="33BCADB3">
            <w:pPr>
              <w:ind w:firstLine="480"/>
            </w:pPr>
            <w:r>
              <w:rPr>
                <w:rFonts w:hint="eastAsia"/>
              </w:rPr>
              <w:t>②DA002排气筒</w:t>
            </w:r>
          </w:p>
          <w:p w14:paraId="37ED52A0">
            <w:pPr>
              <w:ind w:firstLine="480"/>
            </w:pPr>
            <w:r>
              <w:rPr>
                <w:rFonts w:hint="eastAsia"/>
              </w:rPr>
              <w:t>项目</w:t>
            </w:r>
            <w:r>
              <w:t>导热油炉使用柴油为燃料，废气</w:t>
            </w:r>
            <w:r>
              <w:rPr>
                <w:rFonts w:hint="eastAsia"/>
              </w:rPr>
              <w:t>经15m高DA002排气筒排放，</w:t>
            </w:r>
            <w:r>
              <w:t>导热油炉也称为有机热载体锅炉</w:t>
            </w:r>
            <w:r>
              <w:rPr>
                <w:rFonts w:hint="eastAsia"/>
              </w:rPr>
              <w:t>，属于锅炉中的一种，因此</w:t>
            </w:r>
            <w:r>
              <w:t>导热油炉</w:t>
            </w:r>
            <w:r>
              <w:rPr>
                <w:rFonts w:hint="eastAsia"/>
              </w:rPr>
              <w:t>废气排放</w:t>
            </w:r>
            <w:r>
              <w:t>执行《锅炉大气污染物排放标准》（GB13271-2014）表2中燃油锅炉大气污染物排放限值，详见下表。</w:t>
            </w:r>
          </w:p>
          <w:p w14:paraId="6BE374A7">
            <w:pPr>
              <w:pStyle w:val="11"/>
              <w:widowControl/>
              <w:spacing w:after="0" w:line="240" w:lineRule="auto"/>
              <w:ind w:left="480" w:firstLine="0" w:firstLineChars="0"/>
              <w:jc w:val="center"/>
              <w:rPr>
                <w:b/>
                <w:sz w:val="21"/>
                <w:szCs w:val="21"/>
              </w:rPr>
            </w:pPr>
            <w:r>
              <w:rPr>
                <w:b/>
                <w:sz w:val="21"/>
                <w:szCs w:val="21"/>
              </w:rPr>
              <w:t>表</w:t>
            </w:r>
            <w:r>
              <w:rPr>
                <w:rFonts w:hint="eastAsia"/>
                <w:b/>
                <w:sz w:val="21"/>
                <w:szCs w:val="21"/>
              </w:rPr>
              <w:t>3-7</w:t>
            </w:r>
            <w:r>
              <w:rPr>
                <w:b/>
                <w:sz w:val="21"/>
                <w:szCs w:val="21"/>
              </w:rPr>
              <w:t xml:space="preserve"> </w:t>
            </w:r>
            <w:r>
              <w:rPr>
                <w:rFonts w:hint="eastAsia"/>
                <w:b/>
                <w:sz w:val="21"/>
                <w:szCs w:val="21"/>
              </w:rPr>
              <w:t xml:space="preserve"> DA002排气筒</w:t>
            </w:r>
            <w:r>
              <w:rPr>
                <w:b/>
                <w:sz w:val="21"/>
                <w:szCs w:val="21"/>
              </w:rPr>
              <w:t>大气污染物排放</w:t>
            </w:r>
            <w:r>
              <w:rPr>
                <w:rFonts w:hint="eastAsia"/>
                <w:b/>
                <w:sz w:val="21"/>
                <w:szCs w:val="21"/>
              </w:rPr>
              <w:t>标准</w:t>
            </w:r>
            <w:r>
              <w:rPr>
                <w:b/>
                <w:sz w:val="21"/>
                <w:szCs w:val="21"/>
              </w:rPr>
              <w:t xml:space="preserve">  单位：mg/m</w:t>
            </w:r>
            <w:r>
              <w:rPr>
                <w:b/>
                <w:sz w:val="21"/>
                <w:szCs w:val="21"/>
                <w:vertAlign w:val="superscript"/>
              </w:rPr>
              <w:t>3</w:t>
            </w:r>
          </w:p>
          <w:tbl>
            <w:tblPr>
              <w:tblStyle w:val="26"/>
              <w:tblW w:w="483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56"/>
              <w:gridCol w:w="3171"/>
              <w:gridCol w:w="2025"/>
            </w:tblGrid>
            <w:tr w14:paraId="5AC0F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1926" w:type="pct"/>
                  <w:vMerge w:val="restart"/>
                  <w:tcBorders>
                    <w:top w:val="single" w:color="auto" w:sz="4" w:space="0"/>
                    <w:left w:val="single" w:color="auto" w:sz="4" w:space="0"/>
                    <w:bottom w:val="single" w:color="auto" w:sz="4" w:space="0"/>
                    <w:right w:val="single" w:color="auto" w:sz="4" w:space="0"/>
                  </w:tcBorders>
                  <w:vAlign w:val="center"/>
                </w:tcPr>
                <w:p w14:paraId="420E8177">
                  <w:pPr>
                    <w:spacing w:line="240" w:lineRule="auto"/>
                    <w:ind w:firstLine="0" w:firstLineChars="0"/>
                    <w:jc w:val="center"/>
                    <w:rPr>
                      <w:b/>
                      <w:bCs/>
                      <w:sz w:val="21"/>
                      <w:szCs w:val="21"/>
                    </w:rPr>
                  </w:pPr>
                  <w:r>
                    <w:rPr>
                      <w:b/>
                      <w:bCs/>
                      <w:sz w:val="21"/>
                      <w:szCs w:val="21"/>
                    </w:rPr>
                    <w:t>污染物项目</w:t>
                  </w:r>
                </w:p>
              </w:tc>
              <w:tc>
                <w:tcPr>
                  <w:tcW w:w="1876" w:type="pct"/>
                  <w:tcBorders>
                    <w:top w:val="single" w:color="auto" w:sz="4" w:space="0"/>
                    <w:left w:val="single" w:color="auto" w:sz="4" w:space="0"/>
                    <w:bottom w:val="single" w:color="auto" w:sz="4" w:space="0"/>
                    <w:right w:val="single" w:color="auto" w:sz="4" w:space="0"/>
                  </w:tcBorders>
                  <w:vAlign w:val="center"/>
                </w:tcPr>
                <w:p w14:paraId="51268C36">
                  <w:pPr>
                    <w:spacing w:line="240" w:lineRule="auto"/>
                    <w:ind w:firstLine="0" w:firstLineChars="0"/>
                    <w:jc w:val="center"/>
                    <w:rPr>
                      <w:b/>
                      <w:bCs/>
                      <w:sz w:val="21"/>
                      <w:szCs w:val="21"/>
                    </w:rPr>
                  </w:pPr>
                  <w:r>
                    <w:rPr>
                      <w:b/>
                      <w:bCs/>
                      <w:sz w:val="21"/>
                      <w:szCs w:val="21"/>
                    </w:rPr>
                    <w:t>限值</w:t>
                  </w:r>
                </w:p>
              </w:tc>
              <w:tc>
                <w:tcPr>
                  <w:tcW w:w="1196" w:type="pct"/>
                  <w:vMerge w:val="restart"/>
                  <w:tcBorders>
                    <w:top w:val="single" w:color="auto" w:sz="4" w:space="0"/>
                    <w:left w:val="single" w:color="auto" w:sz="4" w:space="0"/>
                    <w:bottom w:val="single" w:color="auto" w:sz="4" w:space="0"/>
                    <w:right w:val="single" w:color="auto" w:sz="4" w:space="0"/>
                  </w:tcBorders>
                  <w:vAlign w:val="center"/>
                </w:tcPr>
                <w:p w14:paraId="3CD4ED93">
                  <w:pPr>
                    <w:spacing w:line="240" w:lineRule="auto"/>
                    <w:ind w:firstLine="0" w:firstLineChars="0"/>
                    <w:jc w:val="center"/>
                    <w:rPr>
                      <w:b/>
                      <w:bCs/>
                      <w:sz w:val="21"/>
                      <w:szCs w:val="21"/>
                    </w:rPr>
                  </w:pPr>
                  <w:r>
                    <w:rPr>
                      <w:b/>
                      <w:bCs/>
                      <w:sz w:val="21"/>
                      <w:szCs w:val="21"/>
                    </w:rPr>
                    <w:t>污染物排放监控位置</w:t>
                  </w:r>
                </w:p>
              </w:tc>
            </w:tr>
            <w:tr w14:paraId="077BB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1926" w:type="pct"/>
                  <w:vMerge w:val="continue"/>
                  <w:tcBorders>
                    <w:top w:val="single" w:color="auto" w:sz="4" w:space="0"/>
                    <w:left w:val="single" w:color="auto" w:sz="4" w:space="0"/>
                    <w:bottom w:val="single" w:color="auto" w:sz="4" w:space="0"/>
                    <w:right w:val="single" w:color="auto" w:sz="4" w:space="0"/>
                  </w:tcBorders>
                  <w:vAlign w:val="center"/>
                </w:tcPr>
                <w:p w14:paraId="3C7F5ACE">
                  <w:pPr>
                    <w:spacing w:line="240" w:lineRule="auto"/>
                    <w:ind w:firstLine="0" w:firstLineChars="0"/>
                    <w:jc w:val="center"/>
                    <w:rPr>
                      <w:sz w:val="21"/>
                      <w:szCs w:val="21"/>
                    </w:rPr>
                  </w:pPr>
                </w:p>
              </w:tc>
              <w:tc>
                <w:tcPr>
                  <w:tcW w:w="1876" w:type="pct"/>
                  <w:tcBorders>
                    <w:top w:val="single" w:color="auto" w:sz="4" w:space="0"/>
                    <w:left w:val="single" w:color="auto" w:sz="4" w:space="0"/>
                    <w:bottom w:val="single" w:color="auto" w:sz="4" w:space="0"/>
                    <w:right w:val="single" w:color="auto" w:sz="4" w:space="0"/>
                  </w:tcBorders>
                  <w:vAlign w:val="center"/>
                </w:tcPr>
                <w:p w14:paraId="7D69CA79">
                  <w:pPr>
                    <w:spacing w:line="240" w:lineRule="auto"/>
                    <w:ind w:firstLine="0" w:firstLineChars="0"/>
                    <w:jc w:val="center"/>
                    <w:rPr>
                      <w:sz w:val="21"/>
                      <w:szCs w:val="21"/>
                    </w:rPr>
                  </w:pPr>
                  <w:r>
                    <w:rPr>
                      <w:b/>
                      <w:bCs/>
                      <w:sz w:val="21"/>
                      <w:szCs w:val="21"/>
                    </w:rPr>
                    <w:t>燃油锅炉</w:t>
                  </w:r>
                </w:p>
              </w:tc>
              <w:tc>
                <w:tcPr>
                  <w:tcW w:w="1196" w:type="pct"/>
                  <w:vMerge w:val="continue"/>
                  <w:tcBorders>
                    <w:top w:val="single" w:color="auto" w:sz="4" w:space="0"/>
                    <w:left w:val="single" w:color="auto" w:sz="4" w:space="0"/>
                    <w:bottom w:val="single" w:color="auto" w:sz="4" w:space="0"/>
                    <w:right w:val="single" w:color="auto" w:sz="4" w:space="0"/>
                  </w:tcBorders>
                  <w:vAlign w:val="center"/>
                </w:tcPr>
                <w:p w14:paraId="382CA058">
                  <w:pPr>
                    <w:spacing w:line="240" w:lineRule="auto"/>
                    <w:ind w:firstLine="0" w:firstLineChars="0"/>
                    <w:jc w:val="center"/>
                    <w:rPr>
                      <w:sz w:val="21"/>
                      <w:szCs w:val="21"/>
                    </w:rPr>
                  </w:pPr>
                </w:p>
              </w:tc>
            </w:tr>
            <w:tr w14:paraId="4450B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26" w:type="pct"/>
                  <w:tcBorders>
                    <w:top w:val="single" w:color="auto" w:sz="4" w:space="0"/>
                    <w:left w:val="single" w:color="auto" w:sz="4" w:space="0"/>
                    <w:bottom w:val="single" w:color="auto" w:sz="4" w:space="0"/>
                    <w:right w:val="single" w:color="auto" w:sz="4" w:space="0"/>
                  </w:tcBorders>
                  <w:vAlign w:val="center"/>
                </w:tcPr>
                <w:p w14:paraId="1D115522">
                  <w:pPr>
                    <w:spacing w:line="240" w:lineRule="auto"/>
                    <w:ind w:firstLine="0" w:firstLineChars="0"/>
                    <w:jc w:val="center"/>
                    <w:rPr>
                      <w:sz w:val="21"/>
                      <w:szCs w:val="21"/>
                    </w:rPr>
                  </w:pPr>
                  <w:r>
                    <w:rPr>
                      <w:sz w:val="21"/>
                      <w:szCs w:val="21"/>
                    </w:rPr>
                    <w:t>颗粒物</w:t>
                  </w:r>
                </w:p>
              </w:tc>
              <w:tc>
                <w:tcPr>
                  <w:tcW w:w="1876" w:type="pct"/>
                  <w:tcBorders>
                    <w:top w:val="single" w:color="auto" w:sz="4" w:space="0"/>
                    <w:left w:val="single" w:color="auto" w:sz="4" w:space="0"/>
                    <w:bottom w:val="single" w:color="auto" w:sz="4" w:space="0"/>
                    <w:right w:val="single" w:color="auto" w:sz="4" w:space="0"/>
                  </w:tcBorders>
                  <w:vAlign w:val="center"/>
                </w:tcPr>
                <w:p w14:paraId="0A7804AB">
                  <w:pPr>
                    <w:spacing w:line="240" w:lineRule="auto"/>
                    <w:ind w:firstLine="0" w:firstLineChars="0"/>
                    <w:jc w:val="center"/>
                    <w:rPr>
                      <w:sz w:val="21"/>
                      <w:szCs w:val="21"/>
                    </w:rPr>
                  </w:pPr>
                  <w:r>
                    <w:rPr>
                      <w:sz w:val="21"/>
                      <w:szCs w:val="21"/>
                    </w:rPr>
                    <w:t>30</w:t>
                  </w:r>
                </w:p>
              </w:tc>
              <w:tc>
                <w:tcPr>
                  <w:tcW w:w="1196" w:type="pct"/>
                  <w:vMerge w:val="restart"/>
                  <w:tcBorders>
                    <w:top w:val="single" w:color="auto" w:sz="4" w:space="0"/>
                    <w:left w:val="single" w:color="auto" w:sz="4" w:space="0"/>
                    <w:bottom w:val="single" w:color="auto" w:sz="4" w:space="0"/>
                    <w:right w:val="single" w:color="auto" w:sz="4" w:space="0"/>
                  </w:tcBorders>
                  <w:vAlign w:val="center"/>
                </w:tcPr>
                <w:p w14:paraId="28FABF54">
                  <w:pPr>
                    <w:spacing w:line="240" w:lineRule="auto"/>
                    <w:ind w:firstLine="0" w:firstLineChars="0"/>
                    <w:jc w:val="center"/>
                    <w:rPr>
                      <w:sz w:val="21"/>
                      <w:szCs w:val="21"/>
                    </w:rPr>
                  </w:pPr>
                  <w:r>
                    <w:rPr>
                      <w:sz w:val="21"/>
                      <w:szCs w:val="21"/>
                    </w:rPr>
                    <w:t>烟囱或烟道</w:t>
                  </w:r>
                </w:p>
              </w:tc>
            </w:tr>
            <w:tr w14:paraId="11028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6" w:type="pct"/>
                  <w:tcBorders>
                    <w:top w:val="single" w:color="auto" w:sz="4" w:space="0"/>
                    <w:left w:val="single" w:color="auto" w:sz="4" w:space="0"/>
                    <w:bottom w:val="single" w:color="auto" w:sz="4" w:space="0"/>
                    <w:right w:val="single" w:color="auto" w:sz="4" w:space="0"/>
                  </w:tcBorders>
                  <w:vAlign w:val="center"/>
                </w:tcPr>
                <w:p w14:paraId="104D7487">
                  <w:pPr>
                    <w:spacing w:line="240" w:lineRule="auto"/>
                    <w:ind w:firstLine="0" w:firstLineChars="0"/>
                    <w:jc w:val="center"/>
                    <w:rPr>
                      <w:sz w:val="21"/>
                      <w:szCs w:val="21"/>
                    </w:rPr>
                  </w:pPr>
                  <w:r>
                    <w:rPr>
                      <w:sz w:val="21"/>
                      <w:szCs w:val="21"/>
                    </w:rPr>
                    <w:t>二氧化硫</w:t>
                  </w:r>
                </w:p>
              </w:tc>
              <w:tc>
                <w:tcPr>
                  <w:tcW w:w="1876" w:type="pct"/>
                  <w:tcBorders>
                    <w:top w:val="single" w:color="auto" w:sz="4" w:space="0"/>
                    <w:left w:val="single" w:color="auto" w:sz="4" w:space="0"/>
                    <w:bottom w:val="single" w:color="auto" w:sz="4" w:space="0"/>
                    <w:right w:val="single" w:color="auto" w:sz="4" w:space="0"/>
                  </w:tcBorders>
                  <w:vAlign w:val="center"/>
                </w:tcPr>
                <w:p w14:paraId="576D54F8">
                  <w:pPr>
                    <w:spacing w:line="240" w:lineRule="auto"/>
                    <w:ind w:firstLine="0" w:firstLineChars="0"/>
                    <w:jc w:val="center"/>
                    <w:rPr>
                      <w:sz w:val="21"/>
                      <w:szCs w:val="21"/>
                    </w:rPr>
                  </w:pPr>
                  <w:r>
                    <w:rPr>
                      <w:sz w:val="21"/>
                      <w:szCs w:val="21"/>
                    </w:rPr>
                    <w:t>200</w:t>
                  </w:r>
                </w:p>
              </w:tc>
              <w:tc>
                <w:tcPr>
                  <w:tcW w:w="1196" w:type="pct"/>
                  <w:vMerge w:val="continue"/>
                  <w:tcBorders>
                    <w:top w:val="single" w:color="auto" w:sz="4" w:space="0"/>
                    <w:left w:val="single" w:color="auto" w:sz="4" w:space="0"/>
                    <w:bottom w:val="single" w:color="auto" w:sz="4" w:space="0"/>
                    <w:right w:val="single" w:color="auto" w:sz="4" w:space="0"/>
                  </w:tcBorders>
                  <w:vAlign w:val="center"/>
                </w:tcPr>
                <w:p w14:paraId="48148D98">
                  <w:pPr>
                    <w:spacing w:line="240" w:lineRule="auto"/>
                    <w:ind w:firstLine="0" w:firstLineChars="0"/>
                    <w:jc w:val="center"/>
                    <w:rPr>
                      <w:sz w:val="21"/>
                      <w:szCs w:val="21"/>
                    </w:rPr>
                  </w:pPr>
                </w:p>
              </w:tc>
            </w:tr>
            <w:tr w14:paraId="7C2C2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6" w:type="pct"/>
                  <w:tcBorders>
                    <w:top w:val="single" w:color="auto" w:sz="4" w:space="0"/>
                    <w:left w:val="single" w:color="auto" w:sz="4" w:space="0"/>
                    <w:bottom w:val="single" w:color="auto" w:sz="4" w:space="0"/>
                    <w:right w:val="single" w:color="auto" w:sz="4" w:space="0"/>
                  </w:tcBorders>
                  <w:vAlign w:val="center"/>
                </w:tcPr>
                <w:p w14:paraId="1E226C1B">
                  <w:pPr>
                    <w:spacing w:line="240" w:lineRule="auto"/>
                    <w:ind w:firstLine="0" w:firstLineChars="0"/>
                    <w:jc w:val="center"/>
                    <w:rPr>
                      <w:sz w:val="21"/>
                      <w:szCs w:val="21"/>
                    </w:rPr>
                  </w:pPr>
                  <w:r>
                    <w:rPr>
                      <w:sz w:val="21"/>
                      <w:szCs w:val="21"/>
                    </w:rPr>
                    <w:t>氮氧化物</w:t>
                  </w:r>
                </w:p>
              </w:tc>
              <w:tc>
                <w:tcPr>
                  <w:tcW w:w="1876" w:type="pct"/>
                  <w:tcBorders>
                    <w:top w:val="single" w:color="auto" w:sz="4" w:space="0"/>
                    <w:left w:val="single" w:color="auto" w:sz="4" w:space="0"/>
                    <w:bottom w:val="single" w:color="auto" w:sz="4" w:space="0"/>
                    <w:right w:val="single" w:color="auto" w:sz="4" w:space="0"/>
                  </w:tcBorders>
                  <w:vAlign w:val="center"/>
                </w:tcPr>
                <w:p w14:paraId="0174257E">
                  <w:pPr>
                    <w:spacing w:line="240" w:lineRule="auto"/>
                    <w:ind w:firstLine="0" w:firstLineChars="0"/>
                    <w:jc w:val="center"/>
                    <w:rPr>
                      <w:sz w:val="21"/>
                      <w:szCs w:val="21"/>
                    </w:rPr>
                  </w:pPr>
                  <w:r>
                    <w:rPr>
                      <w:sz w:val="21"/>
                      <w:szCs w:val="21"/>
                    </w:rPr>
                    <w:t>250</w:t>
                  </w:r>
                </w:p>
              </w:tc>
              <w:tc>
                <w:tcPr>
                  <w:tcW w:w="1196" w:type="pct"/>
                  <w:vMerge w:val="continue"/>
                  <w:tcBorders>
                    <w:top w:val="single" w:color="auto" w:sz="4" w:space="0"/>
                    <w:left w:val="single" w:color="auto" w:sz="4" w:space="0"/>
                    <w:bottom w:val="single" w:color="auto" w:sz="4" w:space="0"/>
                    <w:right w:val="single" w:color="auto" w:sz="4" w:space="0"/>
                  </w:tcBorders>
                  <w:vAlign w:val="center"/>
                </w:tcPr>
                <w:p w14:paraId="5820B7E4">
                  <w:pPr>
                    <w:spacing w:line="240" w:lineRule="auto"/>
                    <w:ind w:firstLine="0" w:firstLineChars="0"/>
                    <w:jc w:val="center"/>
                    <w:rPr>
                      <w:sz w:val="21"/>
                      <w:szCs w:val="21"/>
                    </w:rPr>
                  </w:pPr>
                </w:p>
              </w:tc>
            </w:tr>
            <w:tr w14:paraId="1C115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6" w:type="pct"/>
                  <w:tcBorders>
                    <w:top w:val="single" w:color="auto" w:sz="4" w:space="0"/>
                    <w:left w:val="single" w:color="auto" w:sz="4" w:space="0"/>
                    <w:bottom w:val="single" w:color="auto" w:sz="4" w:space="0"/>
                    <w:right w:val="single" w:color="auto" w:sz="4" w:space="0"/>
                  </w:tcBorders>
                  <w:vAlign w:val="center"/>
                </w:tcPr>
                <w:p w14:paraId="159C19A9">
                  <w:pPr>
                    <w:spacing w:line="240" w:lineRule="auto"/>
                    <w:ind w:firstLine="0" w:firstLineChars="0"/>
                    <w:jc w:val="center"/>
                    <w:rPr>
                      <w:sz w:val="21"/>
                      <w:szCs w:val="21"/>
                    </w:rPr>
                  </w:pPr>
                  <w:r>
                    <w:rPr>
                      <w:sz w:val="21"/>
                      <w:szCs w:val="21"/>
                    </w:rPr>
                    <w:t>烟气黑度（林格曼黑度，级）</w:t>
                  </w:r>
                </w:p>
              </w:tc>
              <w:tc>
                <w:tcPr>
                  <w:tcW w:w="1876" w:type="pct"/>
                  <w:tcBorders>
                    <w:top w:val="single" w:color="auto" w:sz="4" w:space="0"/>
                    <w:left w:val="single" w:color="auto" w:sz="4" w:space="0"/>
                    <w:bottom w:val="single" w:color="auto" w:sz="4" w:space="0"/>
                    <w:right w:val="single" w:color="auto" w:sz="4" w:space="0"/>
                  </w:tcBorders>
                  <w:vAlign w:val="center"/>
                </w:tcPr>
                <w:p w14:paraId="45608BF9">
                  <w:pPr>
                    <w:spacing w:line="240" w:lineRule="auto"/>
                    <w:ind w:firstLine="0" w:firstLineChars="0"/>
                    <w:jc w:val="center"/>
                    <w:rPr>
                      <w:sz w:val="21"/>
                      <w:szCs w:val="21"/>
                    </w:rPr>
                  </w:pPr>
                  <w:r>
                    <w:rPr>
                      <w:rFonts w:hint="eastAsia"/>
                      <w:sz w:val="21"/>
                      <w:szCs w:val="21"/>
                    </w:rPr>
                    <w:t>≤</w:t>
                  </w:r>
                  <w:r>
                    <w:rPr>
                      <w:sz w:val="21"/>
                      <w:szCs w:val="21"/>
                    </w:rPr>
                    <w:t>1</w:t>
                  </w:r>
                </w:p>
              </w:tc>
              <w:tc>
                <w:tcPr>
                  <w:tcW w:w="1196" w:type="pct"/>
                  <w:tcBorders>
                    <w:top w:val="single" w:color="auto" w:sz="4" w:space="0"/>
                    <w:left w:val="single" w:color="auto" w:sz="4" w:space="0"/>
                    <w:bottom w:val="single" w:color="auto" w:sz="4" w:space="0"/>
                    <w:right w:val="single" w:color="auto" w:sz="4" w:space="0"/>
                  </w:tcBorders>
                  <w:vAlign w:val="center"/>
                </w:tcPr>
                <w:p w14:paraId="469E1732">
                  <w:pPr>
                    <w:spacing w:line="240" w:lineRule="auto"/>
                    <w:ind w:firstLine="0" w:firstLineChars="0"/>
                    <w:jc w:val="center"/>
                    <w:rPr>
                      <w:sz w:val="21"/>
                      <w:szCs w:val="21"/>
                    </w:rPr>
                  </w:pPr>
                  <w:r>
                    <w:rPr>
                      <w:sz w:val="21"/>
                      <w:szCs w:val="21"/>
                    </w:rPr>
                    <w:t>烟囱排放口</w:t>
                  </w:r>
                </w:p>
              </w:tc>
            </w:tr>
            <w:tr w14:paraId="356EC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tcBorders>
                    <w:top w:val="single" w:color="auto" w:sz="4" w:space="0"/>
                    <w:left w:val="single" w:color="auto" w:sz="4" w:space="0"/>
                    <w:bottom w:val="single" w:color="auto" w:sz="4" w:space="0"/>
                    <w:right w:val="single" w:color="auto" w:sz="4" w:space="0"/>
                  </w:tcBorders>
                  <w:vAlign w:val="center"/>
                </w:tcPr>
                <w:p w14:paraId="040734C1">
                  <w:pPr>
                    <w:spacing w:line="240" w:lineRule="auto"/>
                    <w:ind w:firstLine="0" w:firstLineChars="0"/>
                    <w:rPr>
                      <w:sz w:val="21"/>
                      <w:szCs w:val="21"/>
                    </w:rPr>
                  </w:pPr>
                  <w:r>
                    <w:rPr>
                      <w:rFonts w:hint="eastAsia"/>
                      <w:color w:val="000000" w:themeColor="text1"/>
                      <w:kern w:val="0"/>
                      <w:sz w:val="21"/>
                      <w:szCs w:val="21"/>
                      <w14:textFill>
                        <w14:solidFill>
                          <w14:schemeClr w14:val="tx1"/>
                        </w14:solidFill>
                      </w14:textFill>
                    </w:rPr>
                    <w:t>注：</w:t>
                  </w:r>
                  <w:r>
                    <w:rPr>
                      <w:color w:val="000000" w:themeColor="text1"/>
                      <w:kern w:val="0"/>
                      <w:sz w:val="21"/>
                      <w:szCs w:val="21"/>
                      <w14:textFill>
                        <w14:solidFill>
                          <w14:schemeClr w14:val="tx1"/>
                        </w14:solidFill>
                      </w14:textFill>
                    </w:rPr>
                    <w:t>根据现场调查，项目排气筒周围200m范围内</w:t>
                  </w:r>
                  <w:r>
                    <w:rPr>
                      <w:rFonts w:hint="eastAsia"/>
                      <w:color w:val="000000" w:themeColor="text1"/>
                      <w:kern w:val="0"/>
                      <w:sz w:val="21"/>
                      <w:szCs w:val="21"/>
                      <w14:textFill>
                        <w14:solidFill>
                          <w14:schemeClr w14:val="tx1"/>
                        </w14:solidFill>
                      </w14:textFill>
                    </w:rPr>
                    <w:t>最高建筑为本项目的本项目的原料仓，原料仓高度7m，无比排气筒高的建筑。</w:t>
                  </w:r>
                </w:p>
              </w:tc>
            </w:tr>
          </w:tbl>
          <w:p w14:paraId="70813348">
            <w:pPr>
              <w:ind w:firstLine="480"/>
            </w:pPr>
            <w:r>
              <w:rPr>
                <w:rFonts w:hint="eastAsia"/>
              </w:rPr>
              <w:t>③DA003排气筒</w:t>
            </w:r>
          </w:p>
          <w:p w14:paraId="087C988B">
            <w:pPr>
              <w:ind w:firstLine="480"/>
              <w:rPr>
                <w:rFonts w:cs="宋体"/>
              </w:rPr>
            </w:pPr>
            <w:r>
              <w:rPr>
                <w:rFonts w:hint="eastAsia"/>
              </w:rPr>
              <w:t>沥青生产线卸料口、沥青储罐废气经收集后一同引至“电捕焦油器+</w:t>
            </w:r>
            <w:r>
              <w:rPr>
                <w:rFonts w:hint="eastAsia"/>
                <w:color w:val="000000" w:themeColor="text1"/>
                <w14:textFill>
                  <w14:solidFill>
                    <w14:schemeClr w14:val="tx1"/>
                  </w14:solidFill>
                </w14:textFill>
              </w:rPr>
              <w:t>三级活</w:t>
            </w:r>
            <w:r>
              <w:rPr>
                <w:rFonts w:hint="eastAsia"/>
              </w:rPr>
              <w:t>性炭吸附装置”处理后经15m高DA003排气筒排放。DA003排气筒主要污染物为沥青烟、苯并[a]芘、非甲烷总烃和颗粒物。DA003排气筒执行</w:t>
            </w:r>
            <w:r>
              <w:rPr>
                <w:rFonts w:hint="eastAsia" w:cs="宋体"/>
              </w:rPr>
              <w:t>《大气污染物综合排放标准》（GB16297-1996）表2中二级标准，详见下表。</w:t>
            </w:r>
          </w:p>
          <w:p w14:paraId="16DC7176">
            <w:pPr>
              <w:spacing w:line="240" w:lineRule="auto"/>
              <w:ind w:firstLine="422"/>
              <w:jc w:val="center"/>
              <w:rPr>
                <w:b/>
                <w:sz w:val="21"/>
                <w:szCs w:val="21"/>
              </w:rPr>
            </w:pPr>
            <w:r>
              <w:rPr>
                <w:b/>
                <w:sz w:val="21"/>
                <w:szCs w:val="21"/>
              </w:rPr>
              <w:t>表</w:t>
            </w:r>
            <w:r>
              <w:rPr>
                <w:rFonts w:hint="eastAsia"/>
                <w:b/>
                <w:sz w:val="21"/>
                <w:szCs w:val="21"/>
              </w:rPr>
              <w:t xml:space="preserve">3-8 </w:t>
            </w:r>
            <w:r>
              <w:rPr>
                <w:b/>
                <w:sz w:val="21"/>
                <w:szCs w:val="21"/>
              </w:rPr>
              <w:t xml:space="preserve"> </w:t>
            </w:r>
            <w:r>
              <w:rPr>
                <w:rFonts w:hint="eastAsia"/>
                <w:b/>
                <w:sz w:val="21"/>
                <w:szCs w:val="21"/>
              </w:rPr>
              <w:t>DA003排气筒大气污染物</w:t>
            </w:r>
            <w:r>
              <w:rPr>
                <w:b/>
                <w:sz w:val="21"/>
                <w:szCs w:val="21"/>
              </w:rPr>
              <w:t>排放标准</w:t>
            </w:r>
          </w:p>
          <w:tbl>
            <w:tblPr>
              <w:tblStyle w:val="26"/>
              <w:tblW w:w="4785"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38"/>
              <w:gridCol w:w="1722"/>
              <w:gridCol w:w="1979"/>
              <w:gridCol w:w="1818"/>
              <w:gridCol w:w="1100"/>
            </w:tblGrid>
            <w:tr w14:paraId="7C3740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5" w:hRule="atLeast"/>
                <w:jc w:val="center"/>
              </w:trPr>
              <w:tc>
                <w:tcPr>
                  <w:tcW w:w="1040" w:type="pct"/>
                  <w:vMerge w:val="restart"/>
                  <w:tcBorders>
                    <w:top w:val="single" w:color="000000" w:sz="4" w:space="0"/>
                    <w:left w:val="single" w:color="000000" w:sz="4" w:space="0"/>
                    <w:right w:val="single" w:color="000000" w:sz="4" w:space="0"/>
                  </w:tcBorders>
                  <w:vAlign w:val="center"/>
                </w:tcPr>
                <w:p w14:paraId="42316453">
                  <w:pPr>
                    <w:spacing w:line="240" w:lineRule="auto"/>
                    <w:ind w:firstLine="0" w:firstLineChars="0"/>
                    <w:jc w:val="center"/>
                    <w:rPr>
                      <w:b/>
                      <w:bCs/>
                      <w:sz w:val="21"/>
                      <w:szCs w:val="21"/>
                    </w:rPr>
                  </w:pPr>
                  <w:r>
                    <w:rPr>
                      <w:b/>
                      <w:bCs/>
                      <w:sz w:val="21"/>
                      <w:szCs w:val="21"/>
                    </w:rPr>
                    <w:t>污染源</w:t>
                  </w:r>
                </w:p>
              </w:tc>
              <w:tc>
                <w:tcPr>
                  <w:tcW w:w="1030" w:type="pct"/>
                  <w:vMerge w:val="restart"/>
                  <w:tcBorders>
                    <w:top w:val="single" w:color="000000" w:sz="4" w:space="0"/>
                    <w:left w:val="single" w:color="000000" w:sz="4" w:space="0"/>
                    <w:bottom w:val="single" w:color="000000" w:sz="4" w:space="0"/>
                    <w:right w:val="single" w:color="000000" w:sz="4" w:space="0"/>
                  </w:tcBorders>
                  <w:vAlign w:val="center"/>
                </w:tcPr>
                <w:p w14:paraId="64D2C7DE">
                  <w:pPr>
                    <w:spacing w:line="240" w:lineRule="auto"/>
                    <w:ind w:firstLine="0" w:firstLineChars="0"/>
                    <w:jc w:val="center"/>
                    <w:rPr>
                      <w:b/>
                      <w:bCs/>
                      <w:sz w:val="21"/>
                      <w:szCs w:val="21"/>
                    </w:rPr>
                  </w:pPr>
                  <w:r>
                    <w:rPr>
                      <w:b/>
                      <w:bCs/>
                      <w:sz w:val="21"/>
                      <w:szCs w:val="21"/>
                    </w:rPr>
                    <w:t>污染物</w:t>
                  </w:r>
                </w:p>
              </w:tc>
              <w:tc>
                <w:tcPr>
                  <w:tcW w:w="1184" w:type="pct"/>
                  <w:vMerge w:val="restart"/>
                  <w:tcBorders>
                    <w:top w:val="single" w:color="000000" w:sz="4" w:space="0"/>
                    <w:left w:val="single" w:color="000000" w:sz="4" w:space="0"/>
                    <w:bottom w:val="single" w:color="000000" w:sz="4" w:space="0"/>
                    <w:right w:val="single" w:color="auto" w:sz="4" w:space="0"/>
                  </w:tcBorders>
                  <w:vAlign w:val="center"/>
                </w:tcPr>
                <w:p w14:paraId="1EC61A2B">
                  <w:pPr>
                    <w:spacing w:line="240" w:lineRule="auto"/>
                    <w:ind w:firstLine="0" w:firstLineChars="0"/>
                    <w:jc w:val="center"/>
                    <w:rPr>
                      <w:b/>
                      <w:bCs/>
                      <w:sz w:val="21"/>
                      <w:szCs w:val="21"/>
                    </w:rPr>
                  </w:pPr>
                  <w:r>
                    <w:rPr>
                      <w:b/>
                      <w:bCs/>
                      <w:sz w:val="21"/>
                      <w:szCs w:val="21"/>
                    </w:rPr>
                    <w:t>最高允许排放浓度（mg/m</w:t>
                  </w:r>
                  <w:r>
                    <w:rPr>
                      <w:b/>
                      <w:bCs/>
                      <w:sz w:val="21"/>
                      <w:szCs w:val="21"/>
                      <w:vertAlign w:val="superscript"/>
                    </w:rPr>
                    <w:t>3</w:t>
                  </w:r>
                  <w:r>
                    <w:rPr>
                      <w:b/>
                      <w:bCs/>
                      <w:sz w:val="21"/>
                      <w:szCs w:val="21"/>
                    </w:rPr>
                    <w:t>）</w:t>
                  </w:r>
                </w:p>
              </w:tc>
              <w:tc>
                <w:tcPr>
                  <w:tcW w:w="1743" w:type="pct"/>
                  <w:gridSpan w:val="2"/>
                  <w:tcBorders>
                    <w:top w:val="single" w:color="000000" w:sz="4" w:space="0"/>
                    <w:left w:val="single" w:color="auto" w:sz="4" w:space="0"/>
                    <w:bottom w:val="single" w:color="auto" w:sz="4" w:space="0"/>
                    <w:right w:val="single" w:color="000000" w:sz="4" w:space="0"/>
                  </w:tcBorders>
                  <w:vAlign w:val="center"/>
                </w:tcPr>
                <w:p w14:paraId="1118F1E6">
                  <w:pPr>
                    <w:spacing w:line="240" w:lineRule="auto"/>
                    <w:ind w:firstLine="0" w:firstLineChars="0"/>
                    <w:jc w:val="center"/>
                    <w:rPr>
                      <w:b/>
                      <w:bCs/>
                      <w:sz w:val="21"/>
                      <w:szCs w:val="21"/>
                    </w:rPr>
                  </w:pPr>
                  <w:r>
                    <w:rPr>
                      <w:b/>
                      <w:bCs/>
                      <w:sz w:val="21"/>
                      <w:szCs w:val="21"/>
                    </w:rPr>
                    <w:t>最高允许排放速率</w:t>
                  </w:r>
                </w:p>
              </w:tc>
            </w:tr>
            <w:tr w14:paraId="4559A5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7" w:hRule="atLeast"/>
                <w:jc w:val="center"/>
              </w:trPr>
              <w:tc>
                <w:tcPr>
                  <w:tcW w:w="1040" w:type="pct"/>
                  <w:vMerge w:val="continue"/>
                  <w:tcBorders>
                    <w:left w:val="single" w:color="000000" w:sz="4" w:space="0"/>
                    <w:bottom w:val="single" w:color="000000" w:sz="4" w:space="0"/>
                    <w:right w:val="single" w:color="000000" w:sz="4" w:space="0"/>
                  </w:tcBorders>
                  <w:vAlign w:val="center"/>
                </w:tcPr>
                <w:p w14:paraId="0DB69507">
                  <w:pPr>
                    <w:spacing w:line="240" w:lineRule="auto"/>
                    <w:ind w:firstLine="0" w:firstLineChars="0"/>
                    <w:jc w:val="center"/>
                    <w:rPr>
                      <w:b/>
                      <w:bCs/>
                      <w:sz w:val="21"/>
                      <w:szCs w:val="21"/>
                    </w:rPr>
                  </w:pPr>
                </w:p>
              </w:tc>
              <w:tc>
                <w:tcPr>
                  <w:tcW w:w="1030" w:type="pct"/>
                  <w:vMerge w:val="continue"/>
                  <w:tcBorders>
                    <w:top w:val="single" w:color="000000" w:sz="4" w:space="0"/>
                    <w:left w:val="single" w:color="000000" w:sz="4" w:space="0"/>
                    <w:bottom w:val="single" w:color="000000" w:sz="4" w:space="0"/>
                    <w:right w:val="single" w:color="000000" w:sz="4" w:space="0"/>
                  </w:tcBorders>
                  <w:vAlign w:val="center"/>
                </w:tcPr>
                <w:p w14:paraId="45821AA3">
                  <w:pPr>
                    <w:spacing w:line="240" w:lineRule="auto"/>
                    <w:ind w:firstLine="0" w:firstLineChars="0"/>
                    <w:jc w:val="center"/>
                    <w:rPr>
                      <w:b/>
                      <w:bCs/>
                      <w:sz w:val="21"/>
                      <w:szCs w:val="21"/>
                    </w:rPr>
                  </w:pPr>
                </w:p>
              </w:tc>
              <w:tc>
                <w:tcPr>
                  <w:tcW w:w="1184" w:type="pct"/>
                  <w:vMerge w:val="continue"/>
                  <w:tcBorders>
                    <w:top w:val="single" w:color="000000" w:sz="4" w:space="0"/>
                    <w:left w:val="single" w:color="000000" w:sz="4" w:space="0"/>
                    <w:bottom w:val="single" w:color="000000" w:sz="4" w:space="0"/>
                    <w:right w:val="single" w:color="auto" w:sz="4" w:space="0"/>
                  </w:tcBorders>
                  <w:vAlign w:val="center"/>
                </w:tcPr>
                <w:p w14:paraId="445906F7">
                  <w:pPr>
                    <w:spacing w:line="240" w:lineRule="auto"/>
                    <w:ind w:firstLine="0" w:firstLineChars="0"/>
                    <w:jc w:val="center"/>
                    <w:rPr>
                      <w:b/>
                      <w:bCs/>
                      <w:sz w:val="21"/>
                      <w:szCs w:val="21"/>
                    </w:rPr>
                  </w:pPr>
                </w:p>
              </w:tc>
              <w:tc>
                <w:tcPr>
                  <w:tcW w:w="1088" w:type="pct"/>
                  <w:tcBorders>
                    <w:top w:val="single" w:color="auto" w:sz="4" w:space="0"/>
                    <w:left w:val="single" w:color="auto" w:sz="4" w:space="0"/>
                    <w:bottom w:val="single" w:color="000000" w:sz="4" w:space="0"/>
                    <w:right w:val="single" w:color="000000" w:sz="4" w:space="0"/>
                  </w:tcBorders>
                  <w:vAlign w:val="center"/>
                </w:tcPr>
                <w:p w14:paraId="3281EA0F">
                  <w:pPr>
                    <w:spacing w:line="240" w:lineRule="auto"/>
                    <w:ind w:firstLine="0" w:firstLineChars="0"/>
                    <w:jc w:val="center"/>
                    <w:rPr>
                      <w:b/>
                      <w:bCs/>
                      <w:sz w:val="21"/>
                      <w:szCs w:val="21"/>
                    </w:rPr>
                  </w:pPr>
                  <w:r>
                    <w:rPr>
                      <w:b/>
                      <w:bCs/>
                      <w:sz w:val="21"/>
                      <w:szCs w:val="21"/>
                    </w:rPr>
                    <w:t>排气筒高度（m）</w:t>
                  </w:r>
                </w:p>
              </w:tc>
              <w:tc>
                <w:tcPr>
                  <w:tcW w:w="655" w:type="pct"/>
                  <w:tcBorders>
                    <w:top w:val="single" w:color="auto" w:sz="4" w:space="0"/>
                    <w:left w:val="single" w:color="000000" w:sz="4" w:space="0"/>
                    <w:bottom w:val="single" w:color="000000" w:sz="4" w:space="0"/>
                    <w:right w:val="single" w:color="000000" w:sz="4" w:space="0"/>
                  </w:tcBorders>
                  <w:vAlign w:val="center"/>
                </w:tcPr>
                <w:p w14:paraId="39E28C9F">
                  <w:pPr>
                    <w:spacing w:line="240" w:lineRule="auto"/>
                    <w:ind w:firstLine="0" w:firstLineChars="0"/>
                    <w:jc w:val="center"/>
                    <w:rPr>
                      <w:b/>
                      <w:bCs/>
                      <w:sz w:val="21"/>
                      <w:szCs w:val="21"/>
                    </w:rPr>
                  </w:pPr>
                  <w:r>
                    <w:rPr>
                      <w:b/>
                      <w:bCs/>
                      <w:sz w:val="21"/>
                      <w:szCs w:val="21"/>
                    </w:rPr>
                    <w:t>速率</w:t>
                  </w:r>
                </w:p>
                <w:p w14:paraId="4A50DB74">
                  <w:pPr>
                    <w:spacing w:line="240" w:lineRule="auto"/>
                    <w:ind w:firstLine="0" w:firstLineChars="0"/>
                    <w:jc w:val="center"/>
                    <w:rPr>
                      <w:b/>
                      <w:bCs/>
                      <w:sz w:val="21"/>
                      <w:szCs w:val="21"/>
                    </w:rPr>
                  </w:pPr>
                  <w:r>
                    <w:rPr>
                      <w:b/>
                      <w:bCs/>
                      <w:sz w:val="21"/>
                      <w:szCs w:val="21"/>
                    </w:rPr>
                    <w:t>(kg/h)</w:t>
                  </w:r>
                </w:p>
              </w:tc>
            </w:tr>
            <w:tr w14:paraId="108D5F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jc w:val="center"/>
              </w:trPr>
              <w:tc>
                <w:tcPr>
                  <w:tcW w:w="1040" w:type="pct"/>
                  <w:vMerge w:val="restart"/>
                  <w:tcBorders>
                    <w:top w:val="single" w:color="000000" w:sz="4" w:space="0"/>
                    <w:left w:val="single" w:color="000000" w:sz="4" w:space="0"/>
                    <w:right w:val="single" w:color="000000" w:sz="4" w:space="0"/>
                  </w:tcBorders>
                  <w:vAlign w:val="center"/>
                </w:tcPr>
                <w:p w14:paraId="4519340E">
                  <w:pPr>
                    <w:spacing w:line="240" w:lineRule="auto"/>
                    <w:ind w:firstLine="0" w:firstLineChars="0"/>
                    <w:jc w:val="center"/>
                    <w:rPr>
                      <w:sz w:val="21"/>
                      <w:szCs w:val="21"/>
                    </w:rPr>
                  </w:pPr>
                  <w:r>
                    <w:rPr>
                      <w:sz w:val="21"/>
                      <w:szCs w:val="21"/>
                    </w:rPr>
                    <w:t>沥青储罐、卸料口（DA00</w:t>
                  </w:r>
                  <w:r>
                    <w:rPr>
                      <w:rFonts w:hint="eastAsia"/>
                      <w:sz w:val="21"/>
                      <w:szCs w:val="21"/>
                    </w:rPr>
                    <w:t>3</w:t>
                  </w:r>
                  <w:r>
                    <w:rPr>
                      <w:sz w:val="21"/>
                      <w:szCs w:val="21"/>
                    </w:rPr>
                    <w:t>排气筒）</w:t>
                  </w:r>
                </w:p>
              </w:tc>
              <w:tc>
                <w:tcPr>
                  <w:tcW w:w="1030" w:type="pct"/>
                  <w:tcBorders>
                    <w:top w:val="single" w:color="000000" w:sz="4" w:space="0"/>
                    <w:left w:val="single" w:color="000000" w:sz="4" w:space="0"/>
                    <w:bottom w:val="single" w:color="000000" w:sz="4" w:space="0"/>
                    <w:right w:val="single" w:color="000000" w:sz="4" w:space="0"/>
                  </w:tcBorders>
                  <w:vAlign w:val="center"/>
                </w:tcPr>
                <w:p w14:paraId="0C07A3CB">
                  <w:pPr>
                    <w:spacing w:line="240" w:lineRule="auto"/>
                    <w:ind w:firstLine="0" w:firstLineChars="0"/>
                    <w:jc w:val="center"/>
                    <w:rPr>
                      <w:sz w:val="21"/>
                      <w:szCs w:val="21"/>
                    </w:rPr>
                  </w:pPr>
                  <w:r>
                    <w:rPr>
                      <w:sz w:val="21"/>
                      <w:szCs w:val="21"/>
                    </w:rPr>
                    <w:t>沥青烟</w:t>
                  </w:r>
                </w:p>
              </w:tc>
              <w:tc>
                <w:tcPr>
                  <w:tcW w:w="1184" w:type="pct"/>
                  <w:tcBorders>
                    <w:top w:val="single" w:color="000000" w:sz="4" w:space="0"/>
                    <w:left w:val="single" w:color="000000" w:sz="4" w:space="0"/>
                    <w:bottom w:val="single" w:color="000000" w:sz="4" w:space="0"/>
                    <w:right w:val="single" w:color="000000" w:sz="4" w:space="0"/>
                  </w:tcBorders>
                  <w:vAlign w:val="center"/>
                </w:tcPr>
                <w:p w14:paraId="637BA559">
                  <w:pPr>
                    <w:spacing w:line="240" w:lineRule="auto"/>
                    <w:ind w:firstLine="0" w:firstLineChars="0"/>
                    <w:jc w:val="center"/>
                    <w:rPr>
                      <w:sz w:val="21"/>
                      <w:szCs w:val="21"/>
                    </w:rPr>
                  </w:pPr>
                  <w:r>
                    <w:rPr>
                      <w:sz w:val="21"/>
                      <w:szCs w:val="21"/>
                    </w:rPr>
                    <w:t>75</w:t>
                  </w:r>
                </w:p>
              </w:tc>
              <w:tc>
                <w:tcPr>
                  <w:tcW w:w="1088" w:type="pct"/>
                  <w:tcBorders>
                    <w:top w:val="single" w:color="000000" w:sz="4" w:space="0"/>
                    <w:left w:val="single" w:color="000000" w:sz="4" w:space="0"/>
                    <w:bottom w:val="single" w:color="000000" w:sz="4" w:space="0"/>
                    <w:right w:val="single" w:color="000000" w:sz="4" w:space="0"/>
                  </w:tcBorders>
                  <w:vAlign w:val="center"/>
                </w:tcPr>
                <w:p w14:paraId="57D6CBBF">
                  <w:pPr>
                    <w:spacing w:line="240" w:lineRule="auto"/>
                    <w:ind w:firstLine="0" w:firstLineChars="0"/>
                    <w:jc w:val="center"/>
                    <w:rPr>
                      <w:sz w:val="21"/>
                      <w:szCs w:val="21"/>
                    </w:rPr>
                  </w:pPr>
                  <w:r>
                    <w:rPr>
                      <w:sz w:val="21"/>
                      <w:szCs w:val="21"/>
                    </w:rPr>
                    <w:t>15</w:t>
                  </w:r>
                </w:p>
              </w:tc>
              <w:tc>
                <w:tcPr>
                  <w:tcW w:w="655" w:type="pct"/>
                  <w:tcBorders>
                    <w:top w:val="single" w:color="000000" w:sz="4" w:space="0"/>
                    <w:left w:val="single" w:color="000000" w:sz="4" w:space="0"/>
                    <w:bottom w:val="single" w:color="000000" w:sz="4" w:space="0"/>
                    <w:right w:val="single" w:color="000000" w:sz="4" w:space="0"/>
                  </w:tcBorders>
                  <w:vAlign w:val="center"/>
                </w:tcPr>
                <w:p w14:paraId="60777D6E">
                  <w:pPr>
                    <w:spacing w:line="240" w:lineRule="auto"/>
                    <w:ind w:firstLine="0" w:firstLineChars="0"/>
                    <w:jc w:val="center"/>
                    <w:rPr>
                      <w:sz w:val="21"/>
                      <w:szCs w:val="21"/>
                    </w:rPr>
                  </w:pPr>
                  <w:r>
                    <w:rPr>
                      <w:sz w:val="21"/>
                      <w:szCs w:val="21"/>
                    </w:rPr>
                    <w:t>0.18</w:t>
                  </w:r>
                </w:p>
              </w:tc>
            </w:tr>
            <w:tr w14:paraId="5C3C6B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jc w:val="center"/>
              </w:trPr>
              <w:tc>
                <w:tcPr>
                  <w:tcW w:w="1040" w:type="pct"/>
                  <w:vMerge w:val="continue"/>
                  <w:tcBorders>
                    <w:left w:val="single" w:color="000000" w:sz="4" w:space="0"/>
                    <w:right w:val="single" w:color="000000" w:sz="4" w:space="0"/>
                  </w:tcBorders>
                  <w:vAlign w:val="center"/>
                </w:tcPr>
                <w:p w14:paraId="6EA5661B">
                  <w:pPr>
                    <w:spacing w:line="240" w:lineRule="auto"/>
                    <w:ind w:firstLine="0" w:firstLineChars="0"/>
                    <w:jc w:val="center"/>
                    <w:rPr>
                      <w:sz w:val="21"/>
                      <w:szCs w:val="21"/>
                    </w:rPr>
                  </w:pPr>
                </w:p>
              </w:tc>
              <w:tc>
                <w:tcPr>
                  <w:tcW w:w="1030" w:type="pct"/>
                  <w:tcBorders>
                    <w:top w:val="single" w:color="000000" w:sz="4" w:space="0"/>
                    <w:left w:val="single" w:color="000000" w:sz="4" w:space="0"/>
                    <w:bottom w:val="single" w:color="000000" w:sz="4" w:space="0"/>
                    <w:right w:val="single" w:color="000000" w:sz="4" w:space="0"/>
                  </w:tcBorders>
                  <w:vAlign w:val="center"/>
                </w:tcPr>
                <w:p w14:paraId="25070D38">
                  <w:pPr>
                    <w:spacing w:line="240" w:lineRule="auto"/>
                    <w:ind w:firstLine="0" w:firstLineChars="0"/>
                    <w:jc w:val="center"/>
                    <w:rPr>
                      <w:sz w:val="21"/>
                      <w:szCs w:val="21"/>
                    </w:rPr>
                  </w:pPr>
                  <w:r>
                    <w:rPr>
                      <w:sz w:val="21"/>
                      <w:szCs w:val="21"/>
                    </w:rPr>
                    <w:t>苯并[a]芘</w:t>
                  </w:r>
                </w:p>
              </w:tc>
              <w:tc>
                <w:tcPr>
                  <w:tcW w:w="1184" w:type="pct"/>
                  <w:tcBorders>
                    <w:top w:val="single" w:color="000000" w:sz="4" w:space="0"/>
                    <w:left w:val="single" w:color="000000" w:sz="4" w:space="0"/>
                    <w:bottom w:val="single" w:color="000000" w:sz="4" w:space="0"/>
                    <w:right w:val="single" w:color="000000" w:sz="4" w:space="0"/>
                  </w:tcBorders>
                  <w:vAlign w:val="center"/>
                </w:tcPr>
                <w:p w14:paraId="37175A38">
                  <w:pPr>
                    <w:spacing w:line="240" w:lineRule="auto"/>
                    <w:ind w:firstLine="0" w:firstLineChars="0"/>
                    <w:jc w:val="center"/>
                    <w:rPr>
                      <w:sz w:val="21"/>
                      <w:szCs w:val="21"/>
                    </w:rPr>
                  </w:pPr>
                  <w:r>
                    <w:rPr>
                      <w:sz w:val="21"/>
                      <w:szCs w:val="21"/>
                    </w:rPr>
                    <w:t>0.30×10</w:t>
                  </w:r>
                  <w:r>
                    <w:rPr>
                      <w:sz w:val="21"/>
                      <w:szCs w:val="21"/>
                      <w:vertAlign w:val="superscript"/>
                    </w:rPr>
                    <w:t>-3</w:t>
                  </w:r>
                </w:p>
              </w:tc>
              <w:tc>
                <w:tcPr>
                  <w:tcW w:w="1088" w:type="pct"/>
                  <w:tcBorders>
                    <w:top w:val="single" w:color="000000" w:sz="4" w:space="0"/>
                    <w:left w:val="single" w:color="000000" w:sz="4" w:space="0"/>
                    <w:bottom w:val="single" w:color="000000" w:sz="4" w:space="0"/>
                    <w:right w:val="single" w:color="000000" w:sz="4" w:space="0"/>
                  </w:tcBorders>
                  <w:vAlign w:val="center"/>
                </w:tcPr>
                <w:p w14:paraId="584EF66D">
                  <w:pPr>
                    <w:spacing w:line="240" w:lineRule="auto"/>
                    <w:ind w:firstLine="0" w:firstLineChars="0"/>
                    <w:jc w:val="center"/>
                    <w:rPr>
                      <w:sz w:val="21"/>
                      <w:szCs w:val="21"/>
                    </w:rPr>
                  </w:pPr>
                  <w:r>
                    <w:rPr>
                      <w:sz w:val="21"/>
                      <w:szCs w:val="21"/>
                    </w:rPr>
                    <w:t>15</w:t>
                  </w:r>
                </w:p>
              </w:tc>
              <w:tc>
                <w:tcPr>
                  <w:tcW w:w="655" w:type="pct"/>
                  <w:tcBorders>
                    <w:top w:val="single" w:color="000000" w:sz="4" w:space="0"/>
                    <w:left w:val="single" w:color="000000" w:sz="4" w:space="0"/>
                    <w:bottom w:val="single" w:color="000000" w:sz="4" w:space="0"/>
                    <w:right w:val="single" w:color="000000" w:sz="4" w:space="0"/>
                  </w:tcBorders>
                  <w:vAlign w:val="center"/>
                </w:tcPr>
                <w:p w14:paraId="57D1B620">
                  <w:pPr>
                    <w:spacing w:line="240" w:lineRule="auto"/>
                    <w:ind w:firstLine="0" w:firstLineChars="0"/>
                    <w:jc w:val="center"/>
                    <w:rPr>
                      <w:sz w:val="21"/>
                      <w:szCs w:val="21"/>
                    </w:rPr>
                  </w:pPr>
                  <w:r>
                    <w:rPr>
                      <w:sz w:val="21"/>
                      <w:szCs w:val="21"/>
                    </w:rPr>
                    <w:t>0.05×10</w:t>
                  </w:r>
                  <w:r>
                    <w:rPr>
                      <w:sz w:val="21"/>
                      <w:szCs w:val="21"/>
                      <w:vertAlign w:val="superscript"/>
                    </w:rPr>
                    <w:t>-3</w:t>
                  </w:r>
                </w:p>
              </w:tc>
            </w:tr>
            <w:tr w14:paraId="647ED4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jc w:val="center"/>
              </w:trPr>
              <w:tc>
                <w:tcPr>
                  <w:tcW w:w="1040" w:type="pct"/>
                  <w:vMerge w:val="continue"/>
                  <w:tcBorders>
                    <w:left w:val="single" w:color="000000" w:sz="4" w:space="0"/>
                    <w:right w:val="single" w:color="000000" w:sz="4" w:space="0"/>
                  </w:tcBorders>
                  <w:vAlign w:val="center"/>
                </w:tcPr>
                <w:p w14:paraId="760F56DD">
                  <w:pPr>
                    <w:spacing w:line="240" w:lineRule="auto"/>
                    <w:ind w:firstLine="0" w:firstLineChars="0"/>
                    <w:jc w:val="center"/>
                    <w:rPr>
                      <w:sz w:val="21"/>
                      <w:szCs w:val="21"/>
                    </w:rPr>
                  </w:pPr>
                </w:p>
              </w:tc>
              <w:tc>
                <w:tcPr>
                  <w:tcW w:w="1030" w:type="pct"/>
                  <w:tcBorders>
                    <w:top w:val="single" w:color="000000" w:sz="4" w:space="0"/>
                    <w:left w:val="single" w:color="000000" w:sz="4" w:space="0"/>
                    <w:bottom w:val="single" w:color="000000" w:sz="4" w:space="0"/>
                    <w:right w:val="single" w:color="000000" w:sz="4" w:space="0"/>
                  </w:tcBorders>
                  <w:vAlign w:val="center"/>
                </w:tcPr>
                <w:p w14:paraId="55D325F9">
                  <w:pPr>
                    <w:spacing w:line="240" w:lineRule="auto"/>
                    <w:ind w:firstLine="0" w:firstLineChars="0"/>
                    <w:jc w:val="center"/>
                    <w:rPr>
                      <w:sz w:val="21"/>
                      <w:szCs w:val="21"/>
                    </w:rPr>
                  </w:pPr>
                  <w:r>
                    <w:rPr>
                      <w:sz w:val="21"/>
                      <w:szCs w:val="21"/>
                    </w:rPr>
                    <w:t>非甲烷总烃</w:t>
                  </w:r>
                </w:p>
              </w:tc>
              <w:tc>
                <w:tcPr>
                  <w:tcW w:w="1184" w:type="pct"/>
                  <w:tcBorders>
                    <w:top w:val="single" w:color="000000" w:sz="4" w:space="0"/>
                    <w:left w:val="single" w:color="000000" w:sz="4" w:space="0"/>
                    <w:bottom w:val="single" w:color="000000" w:sz="4" w:space="0"/>
                    <w:right w:val="single" w:color="000000" w:sz="4" w:space="0"/>
                  </w:tcBorders>
                  <w:vAlign w:val="center"/>
                </w:tcPr>
                <w:p w14:paraId="59860DCD">
                  <w:pPr>
                    <w:spacing w:line="240" w:lineRule="auto"/>
                    <w:ind w:firstLine="0" w:firstLineChars="0"/>
                    <w:jc w:val="center"/>
                    <w:rPr>
                      <w:sz w:val="21"/>
                      <w:szCs w:val="21"/>
                    </w:rPr>
                  </w:pPr>
                  <w:r>
                    <w:rPr>
                      <w:sz w:val="21"/>
                      <w:szCs w:val="21"/>
                    </w:rPr>
                    <w:t>120</w:t>
                  </w:r>
                </w:p>
              </w:tc>
              <w:tc>
                <w:tcPr>
                  <w:tcW w:w="1088" w:type="pct"/>
                  <w:tcBorders>
                    <w:top w:val="single" w:color="000000" w:sz="4" w:space="0"/>
                    <w:left w:val="single" w:color="000000" w:sz="4" w:space="0"/>
                    <w:bottom w:val="single" w:color="000000" w:sz="4" w:space="0"/>
                    <w:right w:val="single" w:color="000000" w:sz="4" w:space="0"/>
                  </w:tcBorders>
                  <w:vAlign w:val="center"/>
                </w:tcPr>
                <w:p w14:paraId="70F83118">
                  <w:pPr>
                    <w:spacing w:line="240" w:lineRule="auto"/>
                    <w:ind w:firstLine="0" w:firstLineChars="0"/>
                    <w:jc w:val="center"/>
                    <w:rPr>
                      <w:sz w:val="21"/>
                      <w:szCs w:val="21"/>
                    </w:rPr>
                  </w:pPr>
                  <w:r>
                    <w:rPr>
                      <w:sz w:val="21"/>
                      <w:szCs w:val="21"/>
                    </w:rPr>
                    <w:t>15</w:t>
                  </w:r>
                </w:p>
              </w:tc>
              <w:tc>
                <w:tcPr>
                  <w:tcW w:w="655" w:type="pct"/>
                  <w:tcBorders>
                    <w:top w:val="single" w:color="000000" w:sz="4" w:space="0"/>
                    <w:left w:val="single" w:color="000000" w:sz="4" w:space="0"/>
                    <w:bottom w:val="single" w:color="000000" w:sz="4" w:space="0"/>
                    <w:right w:val="single" w:color="000000" w:sz="4" w:space="0"/>
                  </w:tcBorders>
                  <w:vAlign w:val="center"/>
                </w:tcPr>
                <w:p w14:paraId="5D9C09E9">
                  <w:pPr>
                    <w:spacing w:line="240" w:lineRule="auto"/>
                    <w:ind w:firstLine="0" w:firstLineChars="0"/>
                    <w:jc w:val="center"/>
                    <w:rPr>
                      <w:sz w:val="21"/>
                      <w:szCs w:val="21"/>
                    </w:rPr>
                  </w:pPr>
                  <w:r>
                    <w:rPr>
                      <w:sz w:val="21"/>
                      <w:szCs w:val="21"/>
                    </w:rPr>
                    <w:t>10</w:t>
                  </w:r>
                </w:p>
              </w:tc>
            </w:tr>
            <w:tr w14:paraId="710723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jc w:val="center"/>
              </w:trPr>
              <w:tc>
                <w:tcPr>
                  <w:tcW w:w="1040" w:type="pct"/>
                  <w:vMerge w:val="continue"/>
                  <w:tcBorders>
                    <w:left w:val="single" w:color="000000" w:sz="4" w:space="0"/>
                    <w:right w:val="single" w:color="000000" w:sz="4" w:space="0"/>
                  </w:tcBorders>
                  <w:vAlign w:val="center"/>
                </w:tcPr>
                <w:p w14:paraId="11F7CAC4">
                  <w:pPr>
                    <w:spacing w:line="240" w:lineRule="auto"/>
                    <w:ind w:firstLine="0" w:firstLineChars="0"/>
                    <w:jc w:val="center"/>
                    <w:rPr>
                      <w:sz w:val="21"/>
                      <w:szCs w:val="21"/>
                    </w:rPr>
                  </w:pPr>
                </w:p>
              </w:tc>
              <w:tc>
                <w:tcPr>
                  <w:tcW w:w="1030" w:type="pct"/>
                  <w:tcBorders>
                    <w:top w:val="single" w:color="000000" w:sz="4" w:space="0"/>
                    <w:left w:val="single" w:color="000000" w:sz="4" w:space="0"/>
                    <w:bottom w:val="single" w:color="000000" w:sz="4" w:space="0"/>
                    <w:right w:val="single" w:color="000000" w:sz="4" w:space="0"/>
                  </w:tcBorders>
                  <w:vAlign w:val="center"/>
                </w:tcPr>
                <w:p w14:paraId="59862EAD">
                  <w:pPr>
                    <w:spacing w:line="240" w:lineRule="auto"/>
                    <w:ind w:firstLine="0" w:firstLineChars="0"/>
                    <w:jc w:val="center"/>
                    <w:rPr>
                      <w:sz w:val="21"/>
                      <w:szCs w:val="21"/>
                    </w:rPr>
                  </w:pPr>
                  <w:r>
                    <w:rPr>
                      <w:rFonts w:hint="eastAsia"/>
                      <w:sz w:val="21"/>
                      <w:szCs w:val="21"/>
                    </w:rPr>
                    <w:t>颗粒物</w:t>
                  </w:r>
                </w:p>
              </w:tc>
              <w:tc>
                <w:tcPr>
                  <w:tcW w:w="1184" w:type="pct"/>
                  <w:tcBorders>
                    <w:top w:val="single" w:color="000000" w:sz="4" w:space="0"/>
                    <w:left w:val="single" w:color="000000" w:sz="4" w:space="0"/>
                    <w:bottom w:val="single" w:color="000000" w:sz="4" w:space="0"/>
                    <w:right w:val="single" w:color="000000" w:sz="4" w:space="0"/>
                  </w:tcBorders>
                  <w:vAlign w:val="center"/>
                </w:tcPr>
                <w:p w14:paraId="2366363E">
                  <w:pPr>
                    <w:spacing w:line="240" w:lineRule="auto"/>
                    <w:ind w:firstLine="0" w:firstLineChars="0"/>
                    <w:jc w:val="center"/>
                    <w:rPr>
                      <w:sz w:val="21"/>
                      <w:szCs w:val="21"/>
                    </w:rPr>
                  </w:pPr>
                  <w:r>
                    <w:rPr>
                      <w:rFonts w:hint="eastAsia"/>
                      <w:sz w:val="21"/>
                      <w:szCs w:val="21"/>
                    </w:rPr>
                    <w:t>120</w:t>
                  </w:r>
                </w:p>
              </w:tc>
              <w:tc>
                <w:tcPr>
                  <w:tcW w:w="1088" w:type="pct"/>
                  <w:tcBorders>
                    <w:top w:val="single" w:color="000000" w:sz="4" w:space="0"/>
                    <w:left w:val="single" w:color="000000" w:sz="4" w:space="0"/>
                    <w:bottom w:val="single" w:color="000000" w:sz="4" w:space="0"/>
                    <w:right w:val="single" w:color="000000" w:sz="4" w:space="0"/>
                  </w:tcBorders>
                  <w:vAlign w:val="center"/>
                </w:tcPr>
                <w:p w14:paraId="7A954593">
                  <w:pPr>
                    <w:spacing w:line="240" w:lineRule="auto"/>
                    <w:ind w:firstLine="0" w:firstLineChars="0"/>
                    <w:jc w:val="center"/>
                    <w:rPr>
                      <w:sz w:val="21"/>
                      <w:szCs w:val="21"/>
                    </w:rPr>
                  </w:pPr>
                  <w:r>
                    <w:rPr>
                      <w:rFonts w:hint="eastAsia"/>
                      <w:sz w:val="21"/>
                      <w:szCs w:val="21"/>
                    </w:rPr>
                    <w:t>15</w:t>
                  </w:r>
                </w:p>
              </w:tc>
              <w:tc>
                <w:tcPr>
                  <w:tcW w:w="655" w:type="pct"/>
                  <w:tcBorders>
                    <w:top w:val="single" w:color="000000" w:sz="4" w:space="0"/>
                    <w:left w:val="single" w:color="000000" w:sz="4" w:space="0"/>
                    <w:bottom w:val="single" w:color="000000" w:sz="4" w:space="0"/>
                    <w:right w:val="single" w:color="000000" w:sz="4" w:space="0"/>
                  </w:tcBorders>
                  <w:vAlign w:val="center"/>
                </w:tcPr>
                <w:p w14:paraId="050653E8">
                  <w:pPr>
                    <w:spacing w:line="240" w:lineRule="auto"/>
                    <w:ind w:firstLine="0" w:firstLineChars="0"/>
                    <w:jc w:val="center"/>
                    <w:rPr>
                      <w:sz w:val="21"/>
                      <w:szCs w:val="21"/>
                    </w:rPr>
                  </w:pPr>
                  <w:r>
                    <w:rPr>
                      <w:rFonts w:hint="eastAsia"/>
                      <w:sz w:val="21"/>
                      <w:szCs w:val="21"/>
                    </w:rPr>
                    <w:t>3.5</w:t>
                  </w:r>
                </w:p>
              </w:tc>
            </w:tr>
            <w:tr w14:paraId="42E57C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00" w:type="pct"/>
                  <w:gridSpan w:val="5"/>
                  <w:tcBorders>
                    <w:left w:val="single" w:color="000000" w:sz="4" w:space="0"/>
                    <w:bottom w:val="single" w:color="000000" w:sz="4" w:space="0"/>
                    <w:right w:val="single" w:color="000000" w:sz="4" w:space="0"/>
                  </w:tcBorders>
                  <w:vAlign w:val="center"/>
                </w:tcPr>
                <w:p w14:paraId="315AFC4C">
                  <w:pPr>
                    <w:spacing w:line="240" w:lineRule="auto"/>
                    <w:ind w:firstLine="0" w:firstLineChars="0"/>
                    <w:jc w:val="left"/>
                    <w:rPr>
                      <w:sz w:val="21"/>
                      <w:szCs w:val="21"/>
                    </w:rPr>
                  </w:pPr>
                  <w:r>
                    <w:rPr>
                      <w:rFonts w:hint="eastAsia"/>
                      <w:kern w:val="0"/>
                      <w:sz w:val="21"/>
                      <w:szCs w:val="21"/>
                    </w:rPr>
                    <w:t>注：</w:t>
                  </w:r>
                  <w:r>
                    <w:rPr>
                      <w:kern w:val="0"/>
                      <w:sz w:val="21"/>
                      <w:szCs w:val="21"/>
                    </w:rPr>
                    <w:t>根据现场调查，项目排气筒周围200m范围内</w:t>
                  </w:r>
                  <w:r>
                    <w:rPr>
                      <w:rFonts w:hint="eastAsia"/>
                      <w:kern w:val="0"/>
                      <w:sz w:val="21"/>
                      <w:szCs w:val="21"/>
                    </w:rPr>
                    <w:t>最高建筑为本项目的</w:t>
                  </w:r>
                  <w:r>
                    <w:rPr>
                      <w:rFonts w:hint="eastAsia"/>
                      <w:color w:val="000000" w:themeColor="text1"/>
                      <w:kern w:val="0"/>
                      <w:sz w:val="21"/>
                      <w:szCs w:val="21"/>
                      <w14:textFill>
                        <w14:solidFill>
                          <w14:schemeClr w14:val="tx1"/>
                        </w14:solidFill>
                      </w14:textFill>
                    </w:rPr>
                    <w:t>本项目的原料仓，原料仓高度7m，</w:t>
                  </w:r>
                  <w:r>
                    <w:rPr>
                      <w:rFonts w:hint="eastAsia"/>
                      <w:kern w:val="0"/>
                      <w:sz w:val="21"/>
                      <w:szCs w:val="21"/>
                    </w:rPr>
                    <w:t>无比排气筒高的建筑。</w:t>
                  </w:r>
                </w:p>
              </w:tc>
            </w:tr>
          </w:tbl>
          <w:p w14:paraId="1018FAFA">
            <w:pPr>
              <w:ind w:firstLine="480"/>
            </w:pPr>
            <w:r>
              <w:rPr>
                <w:rFonts w:hAnsi="宋体"/>
              </w:rPr>
              <w:t>（</w:t>
            </w:r>
            <w:r>
              <w:t>2</w:t>
            </w:r>
            <w:r>
              <w:rPr>
                <w:rFonts w:hAnsi="宋体"/>
              </w:rPr>
              <w:t>）无组织排放</w:t>
            </w:r>
          </w:p>
          <w:p w14:paraId="1FE17FC1">
            <w:pPr>
              <w:ind w:firstLine="480"/>
              <w:rPr>
                <w:color w:val="000000"/>
              </w:rPr>
            </w:pPr>
            <w:r>
              <w:rPr>
                <w:rFonts w:hAnsi="宋体"/>
              </w:rPr>
              <w:t>①</w:t>
            </w:r>
            <w:r>
              <w:t>项目产生的无组织废气主要为未收集的</w:t>
            </w:r>
            <w:r>
              <w:rPr>
                <w:bCs/>
              </w:rPr>
              <w:t>沥青拌合楼卸料口废气（主要污染物为</w:t>
            </w:r>
            <w:r>
              <w:t>非甲烷总烃、沥青烟、</w:t>
            </w:r>
            <w:r>
              <w:rPr>
                <w:rFonts w:hint="eastAsia"/>
              </w:rPr>
              <w:t>颗粒物、</w:t>
            </w:r>
            <w:r>
              <w:rPr>
                <w:spacing w:val="-1"/>
              </w:rPr>
              <w:t>苯并[a]</w:t>
            </w:r>
            <w:r>
              <w:t>芘</w:t>
            </w:r>
            <w:r>
              <w:rPr>
                <w:bCs/>
              </w:rPr>
              <w:t>）、</w:t>
            </w:r>
            <w:r>
              <w:t>矿粉筒仓仓顶自带布袋除尘器处理后排放粉尘、运输扬尘、</w:t>
            </w:r>
            <w:r>
              <w:rPr>
                <w:rFonts w:hint="eastAsia"/>
              </w:rPr>
              <w:t>砂石料仓库</w:t>
            </w:r>
            <w:r>
              <w:t>、</w:t>
            </w:r>
            <w:r>
              <w:rPr>
                <w:rFonts w:hint="eastAsia"/>
              </w:rPr>
              <w:t>砂石料</w:t>
            </w:r>
            <w:r>
              <w:t>输送</w:t>
            </w:r>
            <w:r>
              <w:rPr>
                <w:rFonts w:hint="eastAsia"/>
              </w:rPr>
              <w:t>和</w:t>
            </w:r>
            <w:r>
              <w:t>上料粉尘。</w:t>
            </w:r>
            <w:r>
              <w:rPr>
                <w:rFonts w:hint="eastAsia"/>
              </w:rPr>
              <w:t>厂界</w:t>
            </w:r>
            <w:r>
              <w:t>无组织废气排放执行《大气污染物综合排放标准》（GB16297-1996）表2标准限值要求</w:t>
            </w:r>
            <w:r>
              <w:rPr>
                <w:rFonts w:hint="eastAsia"/>
              </w:rPr>
              <w:t>，</w:t>
            </w:r>
            <w:r>
              <w:rPr>
                <w:rFonts w:hint="eastAsia"/>
                <w:color w:val="000000"/>
                <w:kern w:val="0"/>
              </w:rPr>
              <w:t>见表3-9</w:t>
            </w:r>
            <w:r>
              <w:rPr>
                <w:color w:val="000000"/>
              </w:rPr>
              <w:t>。</w:t>
            </w:r>
          </w:p>
          <w:p w14:paraId="38AD9B50">
            <w:pPr>
              <w:ind w:firstLine="422"/>
              <w:jc w:val="center"/>
              <w:rPr>
                <w:b/>
                <w:color w:val="000000"/>
                <w:szCs w:val="21"/>
              </w:rPr>
            </w:pPr>
            <w:r>
              <w:rPr>
                <w:rFonts w:hint="eastAsia"/>
                <w:b/>
                <w:color w:val="000000"/>
                <w:sz w:val="21"/>
                <w:szCs w:val="21"/>
              </w:rPr>
              <w:t>表3-9  厂界无组织排放</w:t>
            </w:r>
            <w:r>
              <w:rPr>
                <w:b/>
                <w:color w:val="000000"/>
                <w:sz w:val="21"/>
                <w:szCs w:val="21"/>
              </w:rPr>
              <w:t xml:space="preserve">限值     </w:t>
            </w:r>
            <w:r>
              <w:rPr>
                <w:b/>
                <w:color w:val="000000"/>
                <w:szCs w:val="21"/>
              </w:rPr>
              <w:t xml:space="preserve">  </w:t>
            </w:r>
          </w:p>
          <w:tbl>
            <w:tblPr>
              <w:tblStyle w:val="26"/>
              <w:tblW w:w="4560" w:type="pct"/>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8"/>
              <w:gridCol w:w="1171"/>
              <w:gridCol w:w="1405"/>
              <w:gridCol w:w="1354"/>
              <w:gridCol w:w="2276"/>
            </w:tblGrid>
            <w:tr w14:paraId="4AD98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103" w:type="pct"/>
                  <w:vAlign w:val="center"/>
                </w:tcPr>
                <w:p w14:paraId="55C47832">
                  <w:pPr>
                    <w:spacing w:line="240" w:lineRule="auto"/>
                    <w:ind w:firstLine="0" w:firstLineChars="0"/>
                    <w:jc w:val="center"/>
                    <w:rPr>
                      <w:sz w:val="21"/>
                      <w:szCs w:val="21"/>
                    </w:rPr>
                  </w:pPr>
                  <w:r>
                    <w:rPr>
                      <w:sz w:val="21"/>
                      <w:szCs w:val="21"/>
                    </w:rPr>
                    <w:t>污染物项目</w:t>
                  </w:r>
                </w:p>
              </w:tc>
              <w:tc>
                <w:tcPr>
                  <w:tcW w:w="735" w:type="pct"/>
                  <w:vAlign w:val="center"/>
                </w:tcPr>
                <w:p w14:paraId="4A316A0F">
                  <w:pPr>
                    <w:spacing w:line="240" w:lineRule="auto"/>
                    <w:ind w:firstLine="0" w:firstLineChars="0"/>
                    <w:jc w:val="center"/>
                    <w:rPr>
                      <w:sz w:val="21"/>
                      <w:szCs w:val="21"/>
                    </w:rPr>
                  </w:pPr>
                  <w:r>
                    <w:rPr>
                      <w:rFonts w:hint="eastAsia"/>
                      <w:sz w:val="21"/>
                      <w:szCs w:val="21"/>
                    </w:rPr>
                    <w:t>NMHC</w:t>
                  </w:r>
                </w:p>
              </w:tc>
              <w:tc>
                <w:tcPr>
                  <w:tcW w:w="882" w:type="pct"/>
                  <w:vAlign w:val="center"/>
                </w:tcPr>
                <w:p w14:paraId="68C980D3">
                  <w:pPr>
                    <w:spacing w:line="240" w:lineRule="auto"/>
                    <w:ind w:firstLine="0" w:firstLineChars="0"/>
                    <w:jc w:val="center"/>
                    <w:rPr>
                      <w:sz w:val="21"/>
                      <w:szCs w:val="21"/>
                    </w:rPr>
                  </w:pPr>
                  <w:r>
                    <w:rPr>
                      <w:rFonts w:hint="eastAsia"/>
                      <w:sz w:val="21"/>
                      <w:szCs w:val="21"/>
                    </w:rPr>
                    <w:t>苯并[a]芘</w:t>
                  </w:r>
                </w:p>
              </w:tc>
              <w:tc>
                <w:tcPr>
                  <w:tcW w:w="850" w:type="pct"/>
                  <w:vAlign w:val="center"/>
                </w:tcPr>
                <w:p w14:paraId="58F0EC3E">
                  <w:pPr>
                    <w:spacing w:line="240" w:lineRule="auto"/>
                    <w:ind w:firstLine="0" w:firstLineChars="0"/>
                    <w:jc w:val="center"/>
                    <w:rPr>
                      <w:sz w:val="21"/>
                      <w:szCs w:val="21"/>
                    </w:rPr>
                  </w:pPr>
                  <w:r>
                    <w:rPr>
                      <w:rFonts w:hint="eastAsia"/>
                      <w:sz w:val="21"/>
                      <w:szCs w:val="21"/>
                    </w:rPr>
                    <w:t>颗粒物</w:t>
                  </w:r>
                </w:p>
              </w:tc>
              <w:tc>
                <w:tcPr>
                  <w:tcW w:w="1428" w:type="pct"/>
                  <w:vAlign w:val="center"/>
                </w:tcPr>
                <w:p w14:paraId="47DAA957">
                  <w:pPr>
                    <w:spacing w:line="240" w:lineRule="auto"/>
                    <w:ind w:firstLine="0" w:firstLineChars="0"/>
                    <w:jc w:val="center"/>
                    <w:rPr>
                      <w:sz w:val="21"/>
                      <w:szCs w:val="21"/>
                    </w:rPr>
                  </w:pPr>
                  <w:r>
                    <w:rPr>
                      <w:rFonts w:hint="eastAsia"/>
                      <w:sz w:val="21"/>
                      <w:szCs w:val="21"/>
                    </w:rPr>
                    <w:t>沥青烟</w:t>
                  </w:r>
                </w:p>
              </w:tc>
            </w:tr>
            <w:tr w14:paraId="3282F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exact"/>
              </w:trPr>
              <w:tc>
                <w:tcPr>
                  <w:tcW w:w="1103" w:type="pct"/>
                  <w:vAlign w:val="center"/>
                </w:tcPr>
                <w:p w14:paraId="7187CE02">
                  <w:pPr>
                    <w:spacing w:line="240" w:lineRule="auto"/>
                    <w:ind w:firstLine="0" w:firstLineChars="0"/>
                    <w:jc w:val="center"/>
                    <w:rPr>
                      <w:sz w:val="21"/>
                      <w:szCs w:val="21"/>
                    </w:rPr>
                  </w:pPr>
                  <w:r>
                    <w:rPr>
                      <w:sz w:val="21"/>
                      <w:szCs w:val="21"/>
                    </w:rPr>
                    <w:t>排放限值</w:t>
                  </w:r>
                </w:p>
              </w:tc>
              <w:tc>
                <w:tcPr>
                  <w:tcW w:w="735" w:type="pct"/>
                  <w:vAlign w:val="center"/>
                </w:tcPr>
                <w:p w14:paraId="4FCE6C11">
                  <w:pPr>
                    <w:spacing w:line="240" w:lineRule="auto"/>
                    <w:ind w:firstLine="0" w:firstLineChars="0"/>
                    <w:jc w:val="center"/>
                    <w:rPr>
                      <w:sz w:val="21"/>
                      <w:szCs w:val="21"/>
                    </w:rPr>
                  </w:pPr>
                  <w:r>
                    <w:rPr>
                      <w:rFonts w:hint="eastAsia"/>
                      <w:sz w:val="21"/>
                      <w:szCs w:val="21"/>
                    </w:rPr>
                    <w:t>4.0</w:t>
                  </w:r>
                  <w:r>
                    <w:rPr>
                      <w:sz w:val="21"/>
                      <w:szCs w:val="21"/>
                    </w:rPr>
                    <w:t>mg/m</w:t>
                  </w:r>
                  <w:r>
                    <w:rPr>
                      <w:sz w:val="21"/>
                      <w:szCs w:val="21"/>
                      <w:vertAlign w:val="superscript"/>
                    </w:rPr>
                    <w:t>3</w:t>
                  </w:r>
                </w:p>
              </w:tc>
              <w:tc>
                <w:tcPr>
                  <w:tcW w:w="882" w:type="pct"/>
                  <w:vAlign w:val="center"/>
                </w:tcPr>
                <w:p w14:paraId="3B7B29A6">
                  <w:pPr>
                    <w:spacing w:line="240" w:lineRule="auto"/>
                    <w:ind w:firstLine="0" w:firstLineChars="0"/>
                    <w:jc w:val="center"/>
                    <w:rPr>
                      <w:sz w:val="21"/>
                      <w:szCs w:val="21"/>
                    </w:rPr>
                  </w:pPr>
                  <w:r>
                    <w:rPr>
                      <w:rFonts w:hint="eastAsia"/>
                      <w:sz w:val="21"/>
                      <w:szCs w:val="21"/>
                    </w:rPr>
                    <w:t>0.008</w:t>
                  </w:r>
                  <w:r>
                    <w:rPr>
                      <w:sz w:val="21"/>
                      <w:szCs w:val="21"/>
                    </w:rPr>
                    <w:t>μg/m</w:t>
                  </w:r>
                  <w:r>
                    <w:rPr>
                      <w:sz w:val="21"/>
                      <w:szCs w:val="21"/>
                      <w:vertAlign w:val="superscript"/>
                    </w:rPr>
                    <w:t>3</w:t>
                  </w:r>
                </w:p>
              </w:tc>
              <w:tc>
                <w:tcPr>
                  <w:tcW w:w="850" w:type="pct"/>
                  <w:vAlign w:val="center"/>
                </w:tcPr>
                <w:p w14:paraId="4C5C3D53">
                  <w:pPr>
                    <w:spacing w:line="240" w:lineRule="auto"/>
                    <w:ind w:firstLine="0" w:firstLineChars="0"/>
                    <w:jc w:val="center"/>
                    <w:rPr>
                      <w:sz w:val="21"/>
                      <w:szCs w:val="21"/>
                    </w:rPr>
                  </w:pPr>
                  <w:r>
                    <w:rPr>
                      <w:rFonts w:hint="eastAsia"/>
                      <w:sz w:val="21"/>
                      <w:szCs w:val="21"/>
                    </w:rPr>
                    <w:t>1.0</w:t>
                  </w:r>
                  <w:r>
                    <w:rPr>
                      <w:sz w:val="21"/>
                      <w:szCs w:val="21"/>
                    </w:rPr>
                    <w:t>mg/m</w:t>
                  </w:r>
                  <w:r>
                    <w:rPr>
                      <w:sz w:val="21"/>
                      <w:szCs w:val="21"/>
                      <w:vertAlign w:val="superscript"/>
                    </w:rPr>
                    <w:t>3</w:t>
                  </w:r>
                </w:p>
              </w:tc>
              <w:tc>
                <w:tcPr>
                  <w:tcW w:w="1428" w:type="pct"/>
                  <w:vAlign w:val="center"/>
                </w:tcPr>
                <w:p w14:paraId="14F93705">
                  <w:pPr>
                    <w:spacing w:line="240" w:lineRule="auto"/>
                    <w:ind w:firstLine="0" w:firstLineChars="0"/>
                    <w:jc w:val="center"/>
                    <w:rPr>
                      <w:sz w:val="21"/>
                      <w:szCs w:val="21"/>
                    </w:rPr>
                  </w:pPr>
                  <w:r>
                    <w:rPr>
                      <w:sz w:val="21"/>
                      <w:szCs w:val="21"/>
                    </w:rPr>
                    <w:t>生产设备不得有明显的无组织排放存在</w:t>
                  </w:r>
                </w:p>
              </w:tc>
            </w:tr>
          </w:tbl>
          <w:p w14:paraId="17EE70A2">
            <w:pPr>
              <w:ind w:firstLine="480"/>
              <w:rPr>
                <w:color w:val="000000"/>
              </w:rPr>
            </w:pPr>
            <w:r>
              <w:rPr>
                <w:rFonts w:hint="eastAsia"/>
                <w:color w:val="000000"/>
              </w:rPr>
              <w:t>②</w:t>
            </w:r>
            <w:r>
              <w:rPr>
                <w:kern w:val="0"/>
              </w:rPr>
              <w:t>项目厂区内VOCs</w:t>
            </w:r>
            <w:r>
              <w:rPr>
                <w:rFonts w:hint="eastAsia"/>
                <w:kern w:val="0"/>
              </w:rPr>
              <w:t>（以非甲烷总烃计）</w:t>
            </w:r>
            <w:r>
              <w:rPr>
                <w:kern w:val="0"/>
              </w:rPr>
              <w:t>无组织排放监控点浓度执行《挥发性有机物无组织排放控制标准</w:t>
            </w:r>
            <w:r>
              <w:rPr>
                <w:rFonts w:hint="eastAsia"/>
                <w:kern w:val="0"/>
              </w:rPr>
              <w:t>（</w:t>
            </w:r>
            <w:r>
              <w:rPr>
                <w:kern w:val="0"/>
              </w:rPr>
              <w:t>GB37822-2019</w:t>
            </w:r>
            <w:r>
              <w:rPr>
                <w:rFonts w:hint="eastAsia"/>
                <w:kern w:val="0"/>
              </w:rPr>
              <w:t>）</w:t>
            </w:r>
            <w:r>
              <w:rPr>
                <w:kern w:val="0"/>
              </w:rPr>
              <w:t>》表A1中规定的限值要求，标准限值见</w:t>
            </w:r>
            <w:r>
              <w:rPr>
                <w:rFonts w:hint="eastAsia"/>
                <w:kern w:val="0"/>
              </w:rPr>
              <w:t>下</w:t>
            </w:r>
            <w:r>
              <w:rPr>
                <w:kern w:val="0"/>
              </w:rPr>
              <w:t>表。</w:t>
            </w:r>
          </w:p>
          <w:p w14:paraId="34EE09F9">
            <w:pPr>
              <w:ind w:firstLine="422"/>
              <w:jc w:val="center"/>
              <w:rPr>
                <w:b/>
                <w:color w:val="000000"/>
                <w:sz w:val="21"/>
                <w:szCs w:val="21"/>
              </w:rPr>
            </w:pPr>
          </w:p>
          <w:p w14:paraId="246C030F">
            <w:pPr>
              <w:pStyle w:val="2"/>
              <w:ind w:firstLine="480"/>
            </w:pPr>
          </w:p>
          <w:p w14:paraId="260EA23E">
            <w:pPr>
              <w:ind w:firstLine="422"/>
              <w:jc w:val="center"/>
              <w:rPr>
                <w:b/>
                <w:color w:val="000000"/>
                <w:szCs w:val="21"/>
              </w:rPr>
            </w:pPr>
            <w:r>
              <w:rPr>
                <w:rFonts w:hint="eastAsia"/>
                <w:b/>
                <w:color w:val="000000"/>
                <w:sz w:val="21"/>
                <w:szCs w:val="21"/>
              </w:rPr>
              <w:t xml:space="preserve">表3-10  </w:t>
            </w:r>
            <w:r>
              <w:rPr>
                <w:b/>
                <w:color w:val="000000"/>
                <w:sz w:val="21"/>
                <w:szCs w:val="21"/>
              </w:rPr>
              <w:t>厂区内NMHC无组织排放限值表</w:t>
            </w:r>
            <w:r>
              <w:rPr>
                <w:b/>
                <w:color w:val="000000"/>
                <w:szCs w:val="21"/>
              </w:rPr>
              <w:t xml:space="preserve">       </w:t>
            </w:r>
          </w:p>
          <w:tbl>
            <w:tblPr>
              <w:tblStyle w:val="26"/>
              <w:tblW w:w="4566" w:type="pct"/>
              <w:tblInd w:w="40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2"/>
              <w:gridCol w:w="1418"/>
              <w:gridCol w:w="2616"/>
              <w:gridCol w:w="2549"/>
            </w:tblGrid>
            <w:tr w14:paraId="3E777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873" w:type="pct"/>
                  <w:vAlign w:val="center"/>
                </w:tcPr>
                <w:p w14:paraId="55594386">
                  <w:pPr>
                    <w:spacing w:line="240" w:lineRule="auto"/>
                    <w:ind w:firstLine="0" w:firstLineChars="0"/>
                    <w:jc w:val="center"/>
                    <w:rPr>
                      <w:b/>
                      <w:bCs/>
                      <w:sz w:val="21"/>
                      <w:szCs w:val="21"/>
                    </w:rPr>
                  </w:pPr>
                  <w:r>
                    <w:rPr>
                      <w:b/>
                      <w:bCs/>
                      <w:sz w:val="21"/>
                      <w:szCs w:val="21"/>
                    </w:rPr>
                    <w:t>污染物项目</w:t>
                  </w:r>
                </w:p>
              </w:tc>
              <w:tc>
                <w:tcPr>
                  <w:tcW w:w="889" w:type="pct"/>
                  <w:vAlign w:val="center"/>
                </w:tcPr>
                <w:p w14:paraId="3CB0B910">
                  <w:pPr>
                    <w:spacing w:line="240" w:lineRule="auto"/>
                    <w:ind w:firstLine="0" w:firstLineChars="0"/>
                    <w:jc w:val="center"/>
                    <w:rPr>
                      <w:b/>
                      <w:bCs/>
                      <w:sz w:val="21"/>
                      <w:szCs w:val="21"/>
                    </w:rPr>
                  </w:pPr>
                  <w:r>
                    <w:rPr>
                      <w:b/>
                      <w:bCs/>
                      <w:sz w:val="21"/>
                      <w:szCs w:val="21"/>
                    </w:rPr>
                    <w:t>排放限值</w:t>
                  </w:r>
                </w:p>
              </w:tc>
              <w:tc>
                <w:tcPr>
                  <w:tcW w:w="1639" w:type="pct"/>
                  <w:vAlign w:val="center"/>
                </w:tcPr>
                <w:p w14:paraId="7727158D">
                  <w:pPr>
                    <w:spacing w:line="240" w:lineRule="auto"/>
                    <w:ind w:firstLine="0" w:firstLineChars="0"/>
                    <w:jc w:val="center"/>
                    <w:rPr>
                      <w:b/>
                      <w:bCs/>
                      <w:sz w:val="21"/>
                      <w:szCs w:val="21"/>
                    </w:rPr>
                  </w:pPr>
                  <w:r>
                    <w:rPr>
                      <w:b/>
                      <w:bCs/>
                      <w:sz w:val="21"/>
                      <w:szCs w:val="21"/>
                    </w:rPr>
                    <w:t>限值含义</w:t>
                  </w:r>
                </w:p>
              </w:tc>
              <w:tc>
                <w:tcPr>
                  <w:tcW w:w="1597" w:type="pct"/>
                  <w:vAlign w:val="center"/>
                </w:tcPr>
                <w:p w14:paraId="25E0BD14">
                  <w:pPr>
                    <w:spacing w:line="240" w:lineRule="auto"/>
                    <w:ind w:firstLine="0" w:firstLineChars="0"/>
                    <w:jc w:val="center"/>
                    <w:rPr>
                      <w:b/>
                      <w:bCs/>
                      <w:sz w:val="21"/>
                      <w:szCs w:val="21"/>
                    </w:rPr>
                  </w:pPr>
                  <w:r>
                    <w:rPr>
                      <w:b/>
                      <w:bCs/>
                      <w:sz w:val="21"/>
                      <w:szCs w:val="21"/>
                    </w:rPr>
                    <w:t>无组织排放监控位置</w:t>
                  </w:r>
                </w:p>
              </w:tc>
            </w:tr>
            <w:tr w14:paraId="72409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873" w:type="pct"/>
                  <w:vMerge w:val="restart"/>
                  <w:vAlign w:val="center"/>
                </w:tcPr>
                <w:p w14:paraId="04DD9B01">
                  <w:pPr>
                    <w:spacing w:line="240" w:lineRule="auto"/>
                    <w:ind w:firstLine="0" w:firstLineChars="0"/>
                    <w:jc w:val="center"/>
                    <w:rPr>
                      <w:sz w:val="21"/>
                      <w:szCs w:val="21"/>
                    </w:rPr>
                  </w:pPr>
                  <w:r>
                    <w:rPr>
                      <w:sz w:val="21"/>
                      <w:szCs w:val="21"/>
                    </w:rPr>
                    <w:t>NMHC</w:t>
                  </w:r>
                </w:p>
              </w:tc>
              <w:tc>
                <w:tcPr>
                  <w:tcW w:w="889" w:type="pct"/>
                  <w:vAlign w:val="center"/>
                </w:tcPr>
                <w:p w14:paraId="17E76F09">
                  <w:pPr>
                    <w:spacing w:line="240" w:lineRule="auto"/>
                    <w:ind w:firstLine="0" w:firstLineChars="0"/>
                    <w:jc w:val="center"/>
                    <w:rPr>
                      <w:sz w:val="21"/>
                      <w:szCs w:val="21"/>
                    </w:rPr>
                  </w:pPr>
                  <w:r>
                    <w:rPr>
                      <w:sz w:val="21"/>
                      <w:szCs w:val="21"/>
                    </w:rPr>
                    <w:t>10mg/m</w:t>
                  </w:r>
                  <w:r>
                    <w:rPr>
                      <w:sz w:val="21"/>
                      <w:szCs w:val="21"/>
                      <w:vertAlign w:val="superscript"/>
                    </w:rPr>
                    <w:t>3</w:t>
                  </w:r>
                </w:p>
              </w:tc>
              <w:tc>
                <w:tcPr>
                  <w:tcW w:w="1639" w:type="pct"/>
                  <w:vAlign w:val="center"/>
                </w:tcPr>
                <w:p w14:paraId="69267A2C">
                  <w:pPr>
                    <w:spacing w:line="240" w:lineRule="auto"/>
                    <w:ind w:firstLine="0" w:firstLineChars="0"/>
                    <w:jc w:val="center"/>
                    <w:rPr>
                      <w:sz w:val="21"/>
                      <w:szCs w:val="21"/>
                    </w:rPr>
                  </w:pPr>
                  <w:r>
                    <w:rPr>
                      <w:sz w:val="21"/>
                      <w:szCs w:val="21"/>
                    </w:rPr>
                    <w:t>监控点处1h平均浓度值</w:t>
                  </w:r>
                </w:p>
              </w:tc>
              <w:tc>
                <w:tcPr>
                  <w:tcW w:w="1597" w:type="pct"/>
                  <w:vMerge w:val="restart"/>
                  <w:vAlign w:val="center"/>
                </w:tcPr>
                <w:p w14:paraId="14186739">
                  <w:pPr>
                    <w:spacing w:line="240" w:lineRule="auto"/>
                    <w:ind w:firstLine="0" w:firstLineChars="0"/>
                    <w:jc w:val="center"/>
                    <w:rPr>
                      <w:sz w:val="21"/>
                      <w:szCs w:val="21"/>
                    </w:rPr>
                  </w:pPr>
                  <w:r>
                    <w:rPr>
                      <w:sz w:val="21"/>
                      <w:szCs w:val="21"/>
                    </w:rPr>
                    <w:t>在厂房外设置监控点</w:t>
                  </w:r>
                </w:p>
              </w:tc>
            </w:tr>
            <w:tr w14:paraId="4CFD1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873" w:type="pct"/>
                  <w:vMerge w:val="continue"/>
                  <w:vAlign w:val="center"/>
                </w:tcPr>
                <w:p w14:paraId="68D48872">
                  <w:pPr>
                    <w:spacing w:line="240" w:lineRule="auto"/>
                    <w:ind w:firstLine="0" w:firstLineChars="0"/>
                    <w:jc w:val="center"/>
                    <w:rPr>
                      <w:sz w:val="21"/>
                      <w:szCs w:val="21"/>
                    </w:rPr>
                  </w:pPr>
                </w:p>
              </w:tc>
              <w:tc>
                <w:tcPr>
                  <w:tcW w:w="889" w:type="pct"/>
                  <w:vAlign w:val="center"/>
                </w:tcPr>
                <w:p w14:paraId="559CCD55">
                  <w:pPr>
                    <w:spacing w:line="240" w:lineRule="auto"/>
                    <w:ind w:firstLine="0" w:firstLineChars="0"/>
                    <w:jc w:val="center"/>
                    <w:rPr>
                      <w:sz w:val="21"/>
                      <w:szCs w:val="21"/>
                    </w:rPr>
                  </w:pPr>
                  <w:r>
                    <w:rPr>
                      <w:sz w:val="21"/>
                      <w:szCs w:val="21"/>
                    </w:rPr>
                    <w:t>30mg/m</w:t>
                  </w:r>
                  <w:r>
                    <w:rPr>
                      <w:sz w:val="21"/>
                      <w:szCs w:val="21"/>
                      <w:vertAlign w:val="superscript"/>
                    </w:rPr>
                    <w:t>3</w:t>
                  </w:r>
                </w:p>
              </w:tc>
              <w:tc>
                <w:tcPr>
                  <w:tcW w:w="1639" w:type="pct"/>
                  <w:vAlign w:val="center"/>
                </w:tcPr>
                <w:p w14:paraId="4EAB2293">
                  <w:pPr>
                    <w:spacing w:line="240" w:lineRule="auto"/>
                    <w:ind w:firstLine="0" w:firstLineChars="0"/>
                    <w:jc w:val="center"/>
                    <w:rPr>
                      <w:sz w:val="21"/>
                      <w:szCs w:val="21"/>
                    </w:rPr>
                  </w:pPr>
                  <w:r>
                    <w:rPr>
                      <w:sz w:val="21"/>
                      <w:szCs w:val="21"/>
                    </w:rPr>
                    <w:t>监控点处任意一次浓度值</w:t>
                  </w:r>
                </w:p>
              </w:tc>
              <w:tc>
                <w:tcPr>
                  <w:tcW w:w="1597" w:type="pct"/>
                  <w:vMerge w:val="continue"/>
                  <w:vAlign w:val="center"/>
                </w:tcPr>
                <w:p w14:paraId="25DDCD81">
                  <w:pPr>
                    <w:adjustRightInd w:val="0"/>
                    <w:snapToGrid w:val="0"/>
                    <w:spacing w:line="240" w:lineRule="auto"/>
                    <w:ind w:firstLine="480"/>
                    <w:jc w:val="center"/>
                    <w:rPr>
                      <w:color w:val="000000"/>
                      <w:szCs w:val="21"/>
                    </w:rPr>
                  </w:pPr>
                </w:p>
              </w:tc>
            </w:tr>
          </w:tbl>
          <w:p w14:paraId="4E30E9B7">
            <w:pPr>
              <w:adjustRightInd w:val="0"/>
              <w:snapToGrid w:val="0"/>
              <w:ind w:firstLine="480"/>
            </w:pPr>
            <w:r>
              <w:rPr>
                <w:rFonts w:ascii="宋体" w:hAnsi="宋体"/>
              </w:rPr>
              <w:t>③</w:t>
            </w:r>
            <w:r>
              <w:rPr>
                <w:rFonts w:hint="eastAsia"/>
              </w:rPr>
              <w:t>恶臭污染物厂界标准值执行《恶臭污染物排放标准》（GB14554-93）表1标准值二级标准，标准限值见下表。</w:t>
            </w:r>
          </w:p>
          <w:p w14:paraId="350D4A40">
            <w:pPr>
              <w:spacing w:line="240" w:lineRule="auto"/>
              <w:ind w:firstLine="422"/>
              <w:contextualSpacing/>
              <w:jc w:val="center"/>
              <w:rPr>
                <w:b/>
                <w:bCs/>
                <w:sz w:val="21"/>
                <w:szCs w:val="21"/>
              </w:rPr>
            </w:pPr>
            <w:r>
              <w:rPr>
                <w:b/>
                <w:bCs/>
                <w:sz w:val="21"/>
                <w:szCs w:val="21"/>
              </w:rPr>
              <w:t>表</w:t>
            </w:r>
            <w:r>
              <w:rPr>
                <w:rFonts w:hint="eastAsia"/>
                <w:b/>
                <w:bCs/>
                <w:sz w:val="21"/>
                <w:szCs w:val="21"/>
              </w:rPr>
              <w:t xml:space="preserve">3-11 </w:t>
            </w:r>
            <w:r>
              <w:rPr>
                <w:b/>
                <w:bCs/>
                <w:sz w:val="21"/>
                <w:szCs w:val="21"/>
              </w:rPr>
              <w:t xml:space="preserve"> </w:t>
            </w:r>
            <w:r>
              <w:rPr>
                <w:rFonts w:hint="eastAsia"/>
                <w:b/>
                <w:bCs/>
                <w:sz w:val="21"/>
                <w:szCs w:val="21"/>
              </w:rPr>
              <w:t>恶臭污染物厂界标准值</w:t>
            </w:r>
          </w:p>
          <w:tbl>
            <w:tblPr>
              <w:tblStyle w:val="26"/>
              <w:tblW w:w="4295"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66"/>
              <w:gridCol w:w="2662"/>
              <w:gridCol w:w="3065"/>
            </w:tblGrid>
            <w:tr w14:paraId="1DA740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78" w:type="pct"/>
                  <w:tcBorders>
                    <w:tl2br w:val="nil"/>
                    <w:tr2bl w:val="nil"/>
                  </w:tcBorders>
                  <w:tcMar>
                    <w:top w:w="0" w:type="dxa"/>
                    <w:left w:w="0" w:type="dxa"/>
                    <w:bottom w:w="0" w:type="dxa"/>
                    <w:right w:w="0" w:type="dxa"/>
                  </w:tcMar>
                  <w:vAlign w:val="center"/>
                </w:tcPr>
                <w:p w14:paraId="6FA6578C">
                  <w:pPr>
                    <w:spacing w:line="240" w:lineRule="auto"/>
                    <w:ind w:firstLine="0" w:firstLineChars="0"/>
                    <w:contextualSpacing/>
                    <w:jc w:val="center"/>
                    <w:rPr>
                      <w:b/>
                      <w:bCs/>
                      <w:sz w:val="21"/>
                      <w:szCs w:val="21"/>
                    </w:rPr>
                  </w:pPr>
                  <w:r>
                    <w:rPr>
                      <w:b/>
                      <w:bCs/>
                      <w:sz w:val="21"/>
                      <w:szCs w:val="21"/>
                    </w:rPr>
                    <w:t>污染物</w:t>
                  </w:r>
                </w:p>
              </w:tc>
              <w:tc>
                <w:tcPr>
                  <w:tcW w:w="1776" w:type="pct"/>
                  <w:tcBorders>
                    <w:tl2br w:val="nil"/>
                    <w:tr2bl w:val="nil"/>
                  </w:tcBorders>
                  <w:tcMar>
                    <w:top w:w="0" w:type="dxa"/>
                    <w:left w:w="0" w:type="dxa"/>
                    <w:bottom w:w="0" w:type="dxa"/>
                    <w:right w:w="0" w:type="dxa"/>
                  </w:tcMar>
                  <w:vAlign w:val="center"/>
                </w:tcPr>
                <w:p w14:paraId="1C623680">
                  <w:pPr>
                    <w:spacing w:line="240" w:lineRule="auto"/>
                    <w:ind w:firstLine="0" w:firstLineChars="0"/>
                    <w:contextualSpacing/>
                    <w:jc w:val="center"/>
                    <w:rPr>
                      <w:b/>
                      <w:bCs/>
                      <w:sz w:val="21"/>
                      <w:szCs w:val="21"/>
                    </w:rPr>
                  </w:pPr>
                  <w:r>
                    <w:rPr>
                      <w:b/>
                      <w:bCs/>
                      <w:sz w:val="21"/>
                      <w:szCs w:val="21"/>
                    </w:rPr>
                    <w:t>排放限值</w:t>
                  </w:r>
                </w:p>
              </w:tc>
              <w:tc>
                <w:tcPr>
                  <w:tcW w:w="2045" w:type="pct"/>
                  <w:tcBorders>
                    <w:tl2br w:val="nil"/>
                    <w:tr2bl w:val="nil"/>
                  </w:tcBorders>
                  <w:tcMar>
                    <w:top w:w="0" w:type="dxa"/>
                    <w:left w:w="0" w:type="dxa"/>
                    <w:bottom w:w="0" w:type="dxa"/>
                    <w:right w:w="0" w:type="dxa"/>
                  </w:tcMar>
                  <w:vAlign w:val="center"/>
                </w:tcPr>
                <w:p w14:paraId="1CB92410">
                  <w:pPr>
                    <w:spacing w:line="240" w:lineRule="auto"/>
                    <w:ind w:firstLine="0" w:firstLineChars="0"/>
                    <w:contextualSpacing/>
                    <w:jc w:val="center"/>
                    <w:rPr>
                      <w:b/>
                      <w:bCs/>
                      <w:sz w:val="21"/>
                      <w:szCs w:val="21"/>
                    </w:rPr>
                  </w:pPr>
                  <w:r>
                    <w:rPr>
                      <w:rFonts w:hint="eastAsia"/>
                      <w:b/>
                      <w:bCs/>
                      <w:sz w:val="21"/>
                      <w:szCs w:val="21"/>
                    </w:rPr>
                    <w:t>单位</w:t>
                  </w:r>
                </w:p>
              </w:tc>
            </w:tr>
            <w:tr w14:paraId="17F928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78" w:type="pct"/>
                  <w:tcBorders>
                    <w:tl2br w:val="nil"/>
                    <w:tr2bl w:val="nil"/>
                  </w:tcBorders>
                  <w:tcMar>
                    <w:top w:w="0" w:type="dxa"/>
                    <w:left w:w="0" w:type="dxa"/>
                    <w:bottom w:w="0" w:type="dxa"/>
                    <w:right w:w="0" w:type="dxa"/>
                  </w:tcMar>
                  <w:vAlign w:val="center"/>
                </w:tcPr>
                <w:p w14:paraId="475FDF9E">
                  <w:pPr>
                    <w:spacing w:line="240" w:lineRule="auto"/>
                    <w:ind w:firstLine="0" w:firstLineChars="0"/>
                    <w:contextualSpacing/>
                    <w:jc w:val="center"/>
                    <w:rPr>
                      <w:sz w:val="21"/>
                      <w:szCs w:val="21"/>
                    </w:rPr>
                  </w:pPr>
                  <w:r>
                    <w:rPr>
                      <w:rFonts w:hint="eastAsia"/>
                      <w:sz w:val="21"/>
                      <w:szCs w:val="21"/>
                    </w:rPr>
                    <w:t>臭气浓度</w:t>
                  </w:r>
                </w:p>
              </w:tc>
              <w:tc>
                <w:tcPr>
                  <w:tcW w:w="1776" w:type="pct"/>
                  <w:tcBorders>
                    <w:tl2br w:val="nil"/>
                    <w:tr2bl w:val="nil"/>
                  </w:tcBorders>
                  <w:tcMar>
                    <w:top w:w="0" w:type="dxa"/>
                    <w:left w:w="0" w:type="dxa"/>
                    <w:bottom w:w="0" w:type="dxa"/>
                    <w:right w:w="0" w:type="dxa"/>
                  </w:tcMar>
                  <w:vAlign w:val="center"/>
                </w:tcPr>
                <w:p w14:paraId="5FE9CCD7">
                  <w:pPr>
                    <w:widowControl/>
                    <w:spacing w:line="240" w:lineRule="auto"/>
                    <w:ind w:firstLine="0" w:firstLineChars="0"/>
                    <w:contextualSpacing/>
                    <w:jc w:val="center"/>
                    <w:rPr>
                      <w:sz w:val="21"/>
                      <w:szCs w:val="21"/>
                    </w:rPr>
                  </w:pPr>
                  <w:r>
                    <w:rPr>
                      <w:rFonts w:hint="eastAsia"/>
                      <w:sz w:val="21"/>
                      <w:szCs w:val="21"/>
                    </w:rPr>
                    <w:t>20</w:t>
                  </w:r>
                </w:p>
              </w:tc>
              <w:tc>
                <w:tcPr>
                  <w:tcW w:w="2045" w:type="pct"/>
                  <w:tcBorders>
                    <w:tl2br w:val="nil"/>
                    <w:tr2bl w:val="nil"/>
                  </w:tcBorders>
                  <w:tcMar>
                    <w:top w:w="0" w:type="dxa"/>
                    <w:left w:w="0" w:type="dxa"/>
                    <w:bottom w:w="0" w:type="dxa"/>
                    <w:right w:w="0" w:type="dxa"/>
                  </w:tcMar>
                  <w:vAlign w:val="center"/>
                </w:tcPr>
                <w:p w14:paraId="05CC1181">
                  <w:pPr>
                    <w:spacing w:line="240" w:lineRule="auto"/>
                    <w:ind w:firstLine="0" w:firstLineChars="0"/>
                    <w:contextualSpacing/>
                    <w:jc w:val="center"/>
                    <w:rPr>
                      <w:sz w:val="21"/>
                      <w:szCs w:val="21"/>
                    </w:rPr>
                  </w:pPr>
                  <w:r>
                    <w:rPr>
                      <w:rFonts w:hint="eastAsia"/>
                      <w:sz w:val="21"/>
                      <w:szCs w:val="21"/>
                    </w:rPr>
                    <w:t>无量纲</w:t>
                  </w:r>
                </w:p>
              </w:tc>
            </w:tr>
          </w:tbl>
          <w:p w14:paraId="624D6B1D">
            <w:pPr>
              <w:ind w:firstLine="482"/>
              <w:rPr>
                <w:b/>
                <w:bCs/>
              </w:rPr>
            </w:pPr>
            <w:r>
              <w:rPr>
                <w:rFonts w:hint="eastAsia"/>
                <w:b/>
                <w:bCs/>
              </w:rPr>
              <w:t>2、废水</w:t>
            </w:r>
          </w:p>
          <w:p w14:paraId="6BCAF474">
            <w:pPr>
              <w:widowControl/>
              <w:ind w:firstLine="480"/>
              <w:rPr>
                <w:color w:val="000000" w:themeColor="text1"/>
                <w14:textFill>
                  <w14:solidFill>
                    <w14:schemeClr w14:val="tx1"/>
                  </w14:solidFill>
                </w14:textFill>
              </w:rPr>
            </w:pPr>
            <w:r>
              <w:rPr>
                <w:rFonts w:hint="eastAsia" w:cs="宋体"/>
              </w:rPr>
              <w:t>项目运营期废水主要为运输车辆车轮清洗废水、员工生活废水、初期雨水，其中车轮清洗废水经洗车池收集后循环使用，定期</w:t>
            </w:r>
            <w:r>
              <w:rPr>
                <w:rFonts w:hint="eastAsia" w:cs="宋体"/>
                <w:color w:val="000000" w:themeColor="text1"/>
                <w14:textFill>
                  <w14:solidFill>
                    <w14:schemeClr w14:val="tx1"/>
                  </w14:solidFill>
                </w14:textFill>
              </w:rPr>
              <w:t>补充损耗水量即可；初期雨水收集处理后回用于厂区洒水降尘及绿化，不外排；食堂废水经油水分离器处理后与其他生活废水经化粪池、一体化污水处理设备处理后</w:t>
            </w:r>
            <w:r>
              <w:rPr>
                <w:color w:val="000000" w:themeColor="text1"/>
                <w14:textFill>
                  <w14:solidFill>
                    <w14:schemeClr w14:val="tx1"/>
                  </w14:solidFill>
                </w14:textFill>
              </w:rPr>
              <w:t>满足</w:t>
            </w:r>
            <w:r>
              <w:rPr>
                <w:rFonts w:hint="eastAsia"/>
                <w:color w:val="000000" w:themeColor="text1"/>
                <w14:textFill>
                  <w14:solidFill>
                    <w14:schemeClr w14:val="tx1"/>
                  </w14:solidFill>
                </w14:textFill>
              </w:rPr>
              <w:t>《城市污水再生利用  城市杂用水水质》（GB/T 18920-2020）中城市绿化、道路清扫用水标准后用于厂区绿化和道路清扫，不外排，标准值如下</w:t>
            </w:r>
            <w:r>
              <w:rPr>
                <w:color w:val="000000" w:themeColor="text1"/>
                <w14:textFill>
                  <w14:solidFill>
                    <w14:schemeClr w14:val="tx1"/>
                  </w14:solidFill>
                </w14:textFill>
              </w:rPr>
              <w:t>。</w:t>
            </w:r>
          </w:p>
          <w:p w14:paraId="5B3DB937">
            <w:pPr>
              <w:pStyle w:val="75"/>
              <w:adjustRightInd/>
              <w:snapToGrid/>
              <w:spacing w:line="360" w:lineRule="auto"/>
              <w:ind w:firstLine="422"/>
              <w:rPr>
                <w:sz w:val="21"/>
                <w:szCs w:val="21"/>
              </w:rPr>
            </w:pPr>
            <w:r>
              <w:rPr>
                <w:sz w:val="21"/>
                <w:szCs w:val="21"/>
              </w:rPr>
              <w:t>表3-</w:t>
            </w:r>
            <w:r>
              <w:rPr>
                <w:rFonts w:hint="eastAsia"/>
                <w:sz w:val="21"/>
                <w:szCs w:val="21"/>
              </w:rPr>
              <w:t xml:space="preserve">12  </w:t>
            </w:r>
            <w:r>
              <w:rPr>
                <w:sz w:val="21"/>
                <w:szCs w:val="21"/>
              </w:rPr>
              <w:t xml:space="preserve"> </w:t>
            </w:r>
            <w:r>
              <w:rPr>
                <w:rFonts w:hint="eastAsia"/>
                <w:sz w:val="21"/>
                <w:szCs w:val="21"/>
              </w:rPr>
              <w:t>城市杂用水水质基本控制项目及限值</w:t>
            </w:r>
            <w:r>
              <w:rPr>
                <w:sz w:val="21"/>
                <w:szCs w:val="21"/>
              </w:rPr>
              <w:t xml:space="preserve">   </w:t>
            </w:r>
          </w:p>
          <w:tbl>
            <w:tblPr>
              <w:tblStyle w:val="2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1"/>
              <w:gridCol w:w="4625"/>
              <w:gridCol w:w="653"/>
              <w:gridCol w:w="2781"/>
            </w:tblGrid>
            <w:tr w14:paraId="113D3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84" w:type="pct"/>
                  <w:vAlign w:val="center"/>
                </w:tcPr>
                <w:p w14:paraId="5FC75F18">
                  <w:pPr>
                    <w:spacing w:line="240" w:lineRule="auto"/>
                    <w:ind w:firstLine="0" w:firstLineChars="0"/>
                    <w:jc w:val="center"/>
                    <w:rPr>
                      <w:b/>
                      <w:bCs/>
                      <w:sz w:val="21"/>
                      <w:szCs w:val="21"/>
                    </w:rPr>
                  </w:pPr>
                  <w:r>
                    <w:rPr>
                      <w:rFonts w:hint="eastAsia"/>
                      <w:b/>
                      <w:bCs/>
                      <w:sz w:val="21"/>
                      <w:szCs w:val="21"/>
                    </w:rPr>
                    <w:t>序号</w:t>
                  </w:r>
                </w:p>
              </w:tc>
              <w:tc>
                <w:tcPr>
                  <w:tcW w:w="3022" w:type="pct"/>
                  <w:gridSpan w:val="2"/>
                  <w:vAlign w:val="center"/>
                </w:tcPr>
                <w:p w14:paraId="37B4818A">
                  <w:pPr>
                    <w:spacing w:line="240" w:lineRule="auto"/>
                    <w:ind w:firstLine="0" w:firstLineChars="0"/>
                    <w:jc w:val="center"/>
                    <w:rPr>
                      <w:b/>
                      <w:bCs/>
                      <w:sz w:val="21"/>
                      <w:szCs w:val="21"/>
                    </w:rPr>
                  </w:pPr>
                  <w:r>
                    <w:rPr>
                      <w:rFonts w:hint="eastAsia"/>
                      <w:b/>
                      <w:bCs/>
                      <w:sz w:val="21"/>
                      <w:szCs w:val="21"/>
                    </w:rPr>
                    <w:t>项目指标</w:t>
                  </w:r>
                </w:p>
              </w:tc>
              <w:tc>
                <w:tcPr>
                  <w:tcW w:w="1593" w:type="pct"/>
                  <w:vAlign w:val="center"/>
                </w:tcPr>
                <w:p w14:paraId="72C92CAC">
                  <w:pPr>
                    <w:spacing w:line="240" w:lineRule="auto"/>
                    <w:ind w:firstLine="0" w:firstLineChars="0"/>
                    <w:jc w:val="center"/>
                    <w:rPr>
                      <w:b/>
                      <w:bCs/>
                      <w:sz w:val="21"/>
                      <w:szCs w:val="21"/>
                    </w:rPr>
                  </w:pPr>
                  <w:r>
                    <w:rPr>
                      <w:rFonts w:hint="eastAsia"/>
                      <w:b/>
                      <w:bCs/>
                      <w:sz w:val="21"/>
                      <w:szCs w:val="21"/>
                    </w:rPr>
                    <w:t>城市绿化、道路清扫</w:t>
                  </w:r>
                </w:p>
              </w:tc>
            </w:tr>
            <w:tr w14:paraId="18FFC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84" w:type="pct"/>
                  <w:vAlign w:val="center"/>
                </w:tcPr>
                <w:p w14:paraId="5C246151">
                  <w:pPr>
                    <w:spacing w:line="240" w:lineRule="auto"/>
                    <w:ind w:firstLine="0" w:firstLineChars="0"/>
                    <w:jc w:val="center"/>
                    <w:rPr>
                      <w:sz w:val="21"/>
                      <w:szCs w:val="21"/>
                    </w:rPr>
                  </w:pPr>
                  <w:r>
                    <w:rPr>
                      <w:sz w:val="21"/>
                      <w:szCs w:val="21"/>
                    </w:rPr>
                    <w:t>1</w:t>
                  </w:r>
                </w:p>
              </w:tc>
              <w:tc>
                <w:tcPr>
                  <w:tcW w:w="2648" w:type="pct"/>
                  <w:vAlign w:val="center"/>
                </w:tcPr>
                <w:p w14:paraId="0EA5C037">
                  <w:pPr>
                    <w:spacing w:line="240" w:lineRule="auto"/>
                    <w:ind w:firstLine="0" w:firstLineChars="0"/>
                    <w:jc w:val="center"/>
                    <w:rPr>
                      <w:sz w:val="21"/>
                      <w:szCs w:val="21"/>
                    </w:rPr>
                  </w:pPr>
                  <w:r>
                    <w:rPr>
                      <w:sz w:val="21"/>
                      <w:szCs w:val="21"/>
                    </w:rPr>
                    <w:t>pH</w:t>
                  </w:r>
                </w:p>
              </w:tc>
              <w:tc>
                <w:tcPr>
                  <w:tcW w:w="373" w:type="pct"/>
                  <w:vAlign w:val="center"/>
                </w:tcPr>
                <w:p w14:paraId="007CE170">
                  <w:pPr>
                    <w:spacing w:line="240" w:lineRule="auto"/>
                    <w:ind w:firstLine="0" w:firstLineChars="0"/>
                    <w:jc w:val="center"/>
                    <w:rPr>
                      <w:sz w:val="21"/>
                      <w:szCs w:val="21"/>
                    </w:rPr>
                  </w:pPr>
                </w:p>
              </w:tc>
              <w:tc>
                <w:tcPr>
                  <w:tcW w:w="1593" w:type="pct"/>
                  <w:vAlign w:val="center"/>
                </w:tcPr>
                <w:p w14:paraId="5223F46E">
                  <w:pPr>
                    <w:spacing w:line="240" w:lineRule="auto"/>
                    <w:ind w:firstLine="0" w:firstLineChars="0"/>
                    <w:jc w:val="center"/>
                    <w:rPr>
                      <w:sz w:val="21"/>
                      <w:szCs w:val="21"/>
                    </w:rPr>
                  </w:pPr>
                  <w:r>
                    <w:rPr>
                      <w:sz w:val="21"/>
                      <w:szCs w:val="21"/>
                    </w:rPr>
                    <w:t>6.0～9.0</w:t>
                  </w:r>
                </w:p>
              </w:tc>
            </w:tr>
            <w:tr w14:paraId="4717F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84" w:type="pct"/>
                  <w:vAlign w:val="center"/>
                </w:tcPr>
                <w:p w14:paraId="570DE401">
                  <w:pPr>
                    <w:spacing w:line="240" w:lineRule="auto"/>
                    <w:ind w:firstLine="0" w:firstLineChars="0"/>
                    <w:jc w:val="center"/>
                    <w:rPr>
                      <w:sz w:val="21"/>
                      <w:szCs w:val="21"/>
                    </w:rPr>
                  </w:pPr>
                  <w:r>
                    <w:rPr>
                      <w:sz w:val="21"/>
                      <w:szCs w:val="21"/>
                    </w:rPr>
                    <w:t>2</w:t>
                  </w:r>
                </w:p>
              </w:tc>
              <w:tc>
                <w:tcPr>
                  <w:tcW w:w="2648" w:type="pct"/>
                  <w:vAlign w:val="center"/>
                </w:tcPr>
                <w:p w14:paraId="76C14482">
                  <w:pPr>
                    <w:spacing w:line="240" w:lineRule="auto"/>
                    <w:ind w:firstLine="0" w:firstLineChars="0"/>
                    <w:jc w:val="center"/>
                    <w:rPr>
                      <w:sz w:val="21"/>
                      <w:szCs w:val="21"/>
                    </w:rPr>
                  </w:pPr>
                  <w:r>
                    <w:rPr>
                      <w:sz w:val="21"/>
                      <w:szCs w:val="21"/>
                    </w:rPr>
                    <w:t>色（度）</w:t>
                  </w:r>
                </w:p>
              </w:tc>
              <w:tc>
                <w:tcPr>
                  <w:tcW w:w="373" w:type="pct"/>
                  <w:vAlign w:val="center"/>
                </w:tcPr>
                <w:p w14:paraId="3DB38D87">
                  <w:pPr>
                    <w:spacing w:line="240" w:lineRule="auto"/>
                    <w:ind w:firstLine="0" w:firstLineChars="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1593" w:type="pct"/>
                  <w:vAlign w:val="center"/>
                </w:tcPr>
                <w:p w14:paraId="413A4CAC">
                  <w:pPr>
                    <w:spacing w:line="240" w:lineRule="auto"/>
                    <w:ind w:firstLine="0" w:firstLineChars="0"/>
                    <w:jc w:val="center"/>
                    <w:rPr>
                      <w:sz w:val="21"/>
                      <w:szCs w:val="21"/>
                    </w:rPr>
                  </w:pPr>
                  <w:r>
                    <w:rPr>
                      <w:sz w:val="21"/>
                      <w:szCs w:val="21"/>
                    </w:rPr>
                    <w:t>30</w:t>
                  </w:r>
                </w:p>
              </w:tc>
            </w:tr>
            <w:tr w14:paraId="49EA2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84" w:type="pct"/>
                  <w:vAlign w:val="center"/>
                </w:tcPr>
                <w:p w14:paraId="481ECCB6">
                  <w:pPr>
                    <w:spacing w:line="240" w:lineRule="auto"/>
                    <w:ind w:firstLine="0" w:firstLineChars="0"/>
                    <w:jc w:val="center"/>
                    <w:rPr>
                      <w:sz w:val="21"/>
                      <w:szCs w:val="21"/>
                    </w:rPr>
                  </w:pPr>
                  <w:r>
                    <w:rPr>
                      <w:sz w:val="21"/>
                      <w:szCs w:val="21"/>
                    </w:rPr>
                    <w:t>3</w:t>
                  </w:r>
                </w:p>
              </w:tc>
              <w:tc>
                <w:tcPr>
                  <w:tcW w:w="2648" w:type="pct"/>
                  <w:vAlign w:val="center"/>
                </w:tcPr>
                <w:p w14:paraId="091ACF5A">
                  <w:pPr>
                    <w:spacing w:line="240" w:lineRule="auto"/>
                    <w:ind w:firstLine="0" w:firstLineChars="0"/>
                    <w:jc w:val="center"/>
                    <w:rPr>
                      <w:sz w:val="21"/>
                      <w:szCs w:val="21"/>
                    </w:rPr>
                  </w:pPr>
                  <w:r>
                    <w:rPr>
                      <w:sz w:val="21"/>
                      <w:szCs w:val="21"/>
                    </w:rPr>
                    <w:t>嗅</w:t>
                  </w:r>
                </w:p>
              </w:tc>
              <w:tc>
                <w:tcPr>
                  <w:tcW w:w="373" w:type="pct"/>
                  <w:vAlign w:val="center"/>
                </w:tcPr>
                <w:p w14:paraId="6A6F6194">
                  <w:pPr>
                    <w:spacing w:line="240" w:lineRule="auto"/>
                    <w:ind w:firstLine="0" w:firstLineChars="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1593" w:type="pct"/>
                  <w:vAlign w:val="center"/>
                </w:tcPr>
                <w:p w14:paraId="46BE97BF">
                  <w:pPr>
                    <w:spacing w:line="240" w:lineRule="auto"/>
                    <w:ind w:firstLine="0" w:firstLineChars="0"/>
                    <w:jc w:val="center"/>
                    <w:rPr>
                      <w:sz w:val="21"/>
                      <w:szCs w:val="21"/>
                    </w:rPr>
                  </w:pPr>
                  <w:r>
                    <w:rPr>
                      <w:sz w:val="21"/>
                      <w:szCs w:val="21"/>
                    </w:rPr>
                    <w:t>无不快感</w:t>
                  </w:r>
                </w:p>
              </w:tc>
            </w:tr>
            <w:tr w14:paraId="01182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84" w:type="pct"/>
                  <w:vAlign w:val="center"/>
                </w:tcPr>
                <w:p w14:paraId="42C6622F">
                  <w:pPr>
                    <w:spacing w:line="240" w:lineRule="auto"/>
                    <w:ind w:firstLine="0" w:firstLineChars="0"/>
                    <w:jc w:val="center"/>
                    <w:rPr>
                      <w:sz w:val="21"/>
                      <w:szCs w:val="21"/>
                    </w:rPr>
                  </w:pPr>
                  <w:r>
                    <w:rPr>
                      <w:sz w:val="21"/>
                      <w:szCs w:val="21"/>
                    </w:rPr>
                    <w:t>4</w:t>
                  </w:r>
                </w:p>
              </w:tc>
              <w:tc>
                <w:tcPr>
                  <w:tcW w:w="2648" w:type="pct"/>
                  <w:vAlign w:val="center"/>
                </w:tcPr>
                <w:p w14:paraId="14B49C10">
                  <w:pPr>
                    <w:spacing w:line="240" w:lineRule="auto"/>
                    <w:ind w:firstLine="0" w:firstLineChars="0"/>
                    <w:jc w:val="center"/>
                    <w:rPr>
                      <w:sz w:val="21"/>
                      <w:szCs w:val="21"/>
                    </w:rPr>
                  </w:pPr>
                  <w:r>
                    <w:rPr>
                      <w:sz w:val="21"/>
                      <w:szCs w:val="21"/>
                    </w:rPr>
                    <w:t>浊度（NTU）</w:t>
                  </w:r>
                </w:p>
              </w:tc>
              <w:tc>
                <w:tcPr>
                  <w:tcW w:w="373" w:type="pct"/>
                  <w:vAlign w:val="center"/>
                </w:tcPr>
                <w:p w14:paraId="47D2B0A2">
                  <w:pPr>
                    <w:spacing w:line="240" w:lineRule="auto"/>
                    <w:ind w:firstLine="0" w:firstLineChars="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1593" w:type="pct"/>
                  <w:vAlign w:val="center"/>
                </w:tcPr>
                <w:p w14:paraId="0E845041">
                  <w:pPr>
                    <w:spacing w:line="240" w:lineRule="auto"/>
                    <w:ind w:firstLine="0" w:firstLineChars="0"/>
                    <w:jc w:val="center"/>
                    <w:rPr>
                      <w:sz w:val="21"/>
                      <w:szCs w:val="21"/>
                    </w:rPr>
                  </w:pPr>
                  <w:r>
                    <w:rPr>
                      <w:sz w:val="21"/>
                      <w:szCs w:val="21"/>
                    </w:rPr>
                    <w:t>10</w:t>
                  </w:r>
                </w:p>
              </w:tc>
            </w:tr>
            <w:tr w14:paraId="0CDFF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84" w:type="pct"/>
                  <w:vAlign w:val="center"/>
                </w:tcPr>
                <w:p w14:paraId="32AD9FEC">
                  <w:pPr>
                    <w:spacing w:line="240" w:lineRule="auto"/>
                    <w:ind w:firstLine="0" w:firstLineChars="0"/>
                    <w:jc w:val="center"/>
                    <w:rPr>
                      <w:sz w:val="21"/>
                      <w:szCs w:val="21"/>
                    </w:rPr>
                  </w:pPr>
                  <w:r>
                    <w:rPr>
                      <w:sz w:val="21"/>
                      <w:szCs w:val="21"/>
                    </w:rPr>
                    <w:t>5</w:t>
                  </w:r>
                </w:p>
              </w:tc>
              <w:tc>
                <w:tcPr>
                  <w:tcW w:w="2648" w:type="pct"/>
                  <w:vAlign w:val="center"/>
                </w:tcPr>
                <w:p w14:paraId="210771BE">
                  <w:pPr>
                    <w:spacing w:line="240" w:lineRule="auto"/>
                    <w:ind w:firstLine="0" w:firstLineChars="0"/>
                    <w:jc w:val="center"/>
                    <w:rPr>
                      <w:sz w:val="21"/>
                      <w:szCs w:val="21"/>
                    </w:rPr>
                  </w:pPr>
                  <w:r>
                    <w:rPr>
                      <w:sz w:val="21"/>
                      <w:szCs w:val="21"/>
                    </w:rPr>
                    <w:t>溶解性总固体（mg/L）</w:t>
                  </w:r>
                </w:p>
              </w:tc>
              <w:tc>
                <w:tcPr>
                  <w:tcW w:w="373" w:type="pct"/>
                  <w:vAlign w:val="center"/>
                </w:tcPr>
                <w:p w14:paraId="07007BFF">
                  <w:pPr>
                    <w:spacing w:line="240" w:lineRule="auto"/>
                    <w:ind w:firstLine="0" w:firstLineChars="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1593" w:type="pct"/>
                  <w:vAlign w:val="center"/>
                </w:tcPr>
                <w:p w14:paraId="6AEF97BA">
                  <w:pPr>
                    <w:spacing w:line="240" w:lineRule="auto"/>
                    <w:ind w:firstLine="0" w:firstLineChars="0"/>
                    <w:jc w:val="center"/>
                    <w:rPr>
                      <w:sz w:val="21"/>
                      <w:szCs w:val="21"/>
                    </w:rPr>
                  </w:pPr>
                  <w:r>
                    <w:rPr>
                      <w:sz w:val="21"/>
                      <w:szCs w:val="21"/>
                    </w:rPr>
                    <w:t>1000</w:t>
                  </w:r>
                </w:p>
              </w:tc>
            </w:tr>
            <w:tr w14:paraId="0ADA2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84" w:type="pct"/>
                  <w:vAlign w:val="center"/>
                </w:tcPr>
                <w:p w14:paraId="73B38A3C">
                  <w:pPr>
                    <w:spacing w:line="240" w:lineRule="auto"/>
                    <w:ind w:firstLine="0" w:firstLineChars="0"/>
                    <w:jc w:val="center"/>
                    <w:rPr>
                      <w:sz w:val="21"/>
                      <w:szCs w:val="21"/>
                    </w:rPr>
                  </w:pPr>
                  <w:r>
                    <w:rPr>
                      <w:sz w:val="21"/>
                      <w:szCs w:val="21"/>
                    </w:rPr>
                    <w:t>6</w:t>
                  </w:r>
                </w:p>
              </w:tc>
              <w:tc>
                <w:tcPr>
                  <w:tcW w:w="2648" w:type="pct"/>
                  <w:vAlign w:val="center"/>
                </w:tcPr>
                <w:p w14:paraId="072139A2">
                  <w:pPr>
                    <w:spacing w:line="240" w:lineRule="auto"/>
                    <w:ind w:firstLine="0" w:firstLineChars="0"/>
                    <w:jc w:val="center"/>
                    <w:rPr>
                      <w:sz w:val="21"/>
                      <w:szCs w:val="21"/>
                    </w:rPr>
                  </w:pPr>
                  <w:r>
                    <w:rPr>
                      <w:sz w:val="21"/>
                      <w:szCs w:val="21"/>
                    </w:rPr>
                    <w:t>BOD5（mg/L）</w:t>
                  </w:r>
                </w:p>
              </w:tc>
              <w:tc>
                <w:tcPr>
                  <w:tcW w:w="373" w:type="pct"/>
                  <w:vAlign w:val="center"/>
                </w:tcPr>
                <w:p w14:paraId="4DAD8E48">
                  <w:pPr>
                    <w:spacing w:line="240" w:lineRule="auto"/>
                    <w:ind w:firstLine="0" w:firstLineChars="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1593" w:type="pct"/>
                  <w:vAlign w:val="center"/>
                </w:tcPr>
                <w:p w14:paraId="60C64CB8">
                  <w:pPr>
                    <w:spacing w:line="240" w:lineRule="auto"/>
                    <w:ind w:firstLine="0" w:firstLineChars="0"/>
                    <w:jc w:val="center"/>
                    <w:rPr>
                      <w:sz w:val="21"/>
                      <w:szCs w:val="21"/>
                    </w:rPr>
                  </w:pPr>
                  <w:r>
                    <w:rPr>
                      <w:rFonts w:hint="eastAsia"/>
                      <w:sz w:val="21"/>
                      <w:szCs w:val="21"/>
                    </w:rPr>
                    <w:t>1</w:t>
                  </w:r>
                  <w:r>
                    <w:rPr>
                      <w:sz w:val="21"/>
                      <w:szCs w:val="21"/>
                    </w:rPr>
                    <w:t>0</w:t>
                  </w:r>
                </w:p>
              </w:tc>
            </w:tr>
            <w:tr w14:paraId="292B2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84" w:type="pct"/>
                  <w:vAlign w:val="center"/>
                </w:tcPr>
                <w:p w14:paraId="73BB27EC">
                  <w:pPr>
                    <w:spacing w:line="240" w:lineRule="auto"/>
                    <w:ind w:firstLine="0" w:firstLineChars="0"/>
                    <w:jc w:val="center"/>
                    <w:rPr>
                      <w:sz w:val="21"/>
                      <w:szCs w:val="21"/>
                    </w:rPr>
                  </w:pPr>
                  <w:r>
                    <w:rPr>
                      <w:sz w:val="21"/>
                      <w:szCs w:val="21"/>
                    </w:rPr>
                    <w:t>7</w:t>
                  </w:r>
                </w:p>
              </w:tc>
              <w:tc>
                <w:tcPr>
                  <w:tcW w:w="2648" w:type="pct"/>
                  <w:vAlign w:val="center"/>
                </w:tcPr>
                <w:p w14:paraId="404F13CF">
                  <w:pPr>
                    <w:spacing w:line="240" w:lineRule="auto"/>
                    <w:ind w:firstLine="0" w:firstLineChars="0"/>
                    <w:jc w:val="center"/>
                    <w:rPr>
                      <w:sz w:val="21"/>
                      <w:szCs w:val="21"/>
                    </w:rPr>
                  </w:pPr>
                  <w:r>
                    <w:rPr>
                      <w:sz w:val="21"/>
                      <w:szCs w:val="21"/>
                    </w:rPr>
                    <w:t>NH3-N（mg/L）</w:t>
                  </w:r>
                </w:p>
              </w:tc>
              <w:tc>
                <w:tcPr>
                  <w:tcW w:w="373" w:type="pct"/>
                  <w:vAlign w:val="center"/>
                </w:tcPr>
                <w:p w14:paraId="0F36C459">
                  <w:pPr>
                    <w:spacing w:line="240" w:lineRule="auto"/>
                    <w:ind w:firstLine="0" w:firstLineChars="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1593" w:type="pct"/>
                  <w:vAlign w:val="center"/>
                </w:tcPr>
                <w:p w14:paraId="6F02E8F9">
                  <w:pPr>
                    <w:spacing w:line="240" w:lineRule="auto"/>
                    <w:ind w:firstLine="0" w:firstLineChars="0"/>
                    <w:jc w:val="center"/>
                    <w:rPr>
                      <w:sz w:val="21"/>
                      <w:szCs w:val="21"/>
                    </w:rPr>
                  </w:pPr>
                  <w:r>
                    <w:rPr>
                      <w:rFonts w:hint="eastAsia"/>
                      <w:sz w:val="21"/>
                      <w:szCs w:val="21"/>
                    </w:rPr>
                    <w:t>8</w:t>
                  </w:r>
                </w:p>
              </w:tc>
            </w:tr>
            <w:tr w14:paraId="10407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84" w:type="pct"/>
                  <w:vAlign w:val="center"/>
                </w:tcPr>
                <w:p w14:paraId="4D1CF94A">
                  <w:pPr>
                    <w:spacing w:line="240" w:lineRule="auto"/>
                    <w:ind w:firstLine="0" w:firstLineChars="0"/>
                    <w:jc w:val="center"/>
                    <w:rPr>
                      <w:sz w:val="21"/>
                      <w:szCs w:val="21"/>
                    </w:rPr>
                  </w:pPr>
                  <w:r>
                    <w:rPr>
                      <w:sz w:val="21"/>
                      <w:szCs w:val="21"/>
                    </w:rPr>
                    <w:t>8</w:t>
                  </w:r>
                </w:p>
              </w:tc>
              <w:tc>
                <w:tcPr>
                  <w:tcW w:w="2648" w:type="pct"/>
                  <w:vAlign w:val="center"/>
                </w:tcPr>
                <w:p w14:paraId="5FC4ACBF">
                  <w:pPr>
                    <w:spacing w:line="240" w:lineRule="auto"/>
                    <w:ind w:firstLine="0" w:firstLineChars="0"/>
                    <w:jc w:val="center"/>
                    <w:rPr>
                      <w:sz w:val="21"/>
                      <w:szCs w:val="21"/>
                    </w:rPr>
                  </w:pPr>
                  <w:r>
                    <w:rPr>
                      <w:sz w:val="21"/>
                      <w:szCs w:val="21"/>
                    </w:rPr>
                    <w:t>阴离子表面活性剂（mg/L）</w:t>
                  </w:r>
                </w:p>
              </w:tc>
              <w:tc>
                <w:tcPr>
                  <w:tcW w:w="373" w:type="pct"/>
                  <w:vAlign w:val="center"/>
                </w:tcPr>
                <w:p w14:paraId="66C4D5A1">
                  <w:pPr>
                    <w:spacing w:line="240" w:lineRule="auto"/>
                    <w:ind w:firstLine="0" w:firstLineChars="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1593" w:type="pct"/>
                  <w:vAlign w:val="center"/>
                </w:tcPr>
                <w:p w14:paraId="5ACD774F">
                  <w:pPr>
                    <w:spacing w:line="240" w:lineRule="auto"/>
                    <w:ind w:firstLine="0" w:firstLineChars="0"/>
                    <w:jc w:val="center"/>
                    <w:rPr>
                      <w:sz w:val="21"/>
                      <w:szCs w:val="21"/>
                    </w:rPr>
                  </w:pPr>
                  <w:r>
                    <w:rPr>
                      <w:rFonts w:hint="eastAsia"/>
                      <w:sz w:val="21"/>
                      <w:szCs w:val="21"/>
                    </w:rPr>
                    <w:t>0.5</w:t>
                  </w:r>
                </w:p>
              </w:tc>
            </w:tr>
            <w:tr w14:paraId="0A3F7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84" w:type="pct"/>
                  <w:vAlign w:val="center"/>
                </w:tcPr>
                <w:p w14:paraId="53EE710F">
                  <w:pPr>
                    <w:spacing w:line="240" w:lineRule="auto"/>
                    <w:ind w:firstLine="0" w:firstLineChars="0"/>
                    <w:jc w:val="center"/>
                    <w:rPr>
                      <w:sz w:val="21"/>
                      <w:szCs w:val="21"/>
                    </w:rPr>
                  </w:pPr>
                  <w:r>
                    <w:rPr>
                      <w:sz w:val="21"/>
                      <w:szCs w:val="21"/>
                    </w:rPr>
                    <w:t>9</w:t>
                  </w:r>
                </w:p>
              </w:tc>
              <w:tc>
                <w:tcPr>
                  <w:tcW w:w="2648" w:type="pct"/>
                  <w:vAlign w:val="center"/>
                </w:tcPr>
                <w:p w14:paraId="2B7EE473">
                  <w:pPr>
                    <w:spacing w:line="240" w:lineRule="auto"/>
                    <w:ind w:firstLine="0" w:firstLineChars="0"/>
                    <w:jc w:val="center"/>
                    <w:rPr>
                      <w:sz w:val="21"/>
                      <w:szCs w:val="21"/>
                    </w:rPr>
                  </w:pPr>
                  <w:r>
                    <w:rPr>
                      <w:sz w:val="21"/>
                      <w:szCs w:val="21"/>
                    </w:rPr>
                    <w:t>铁（mg/L）</w:t>
                  </w:r>
                </w:p>
              </w:tc>
              <w:tc>
                <w:tcPr>
                  <w:tcW w:w="373" w:type="pct"/>
                  <w:vAlign w:val="center"/>
                </w:tcPr>
                <w:p w14:paraId="000AC165">
                  <w:pPr>
                    <w:spacing w:line="240" w:lineRule="auto"/>
                    <w:ind w:firstLine="0" w:firstLineChars="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1593" w:type="pct"/>
                  <w:vAlign w:val="center"/>
                </w:tcPr>
                <w:p w14:paraId="703343A3">
                  <w:pPr>
                    <w:spacing w:line="240" w:lineRule="auto"/>
                    <w:ind w:firstLine="0" w:firstLineChars="0"/>
                    <w:jc w:val="center"/>
                    <w:rPr>
                      <w:sz w:val="21"/>
                      <w:szCs w:val="21"/>
                    </w:rPr>
                  </w:pPr>
                  <w:r>
                    <w:rPr>
                      <w:sz w:val="21"/>
                      <w:szCs w:val="21"/>
                    </w:rPr>
                    <w:t>－</w:t>
                  </w:r>
                </w:p>
              </w:tc>
            </w:tr>
            <w:tr w14:paraId="2F168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84" w:type="pct"/>
                  <w:vAlign w:val="center"/>
                </w:tcPr>
                <w:p w14:paraId="35879152">
                  <w:pPr>
                    <w:spacing w:line="240" w:lineRule="auto"/>
                    <w:ind w:firstLine="0" w:firstLineChars="0"/>
                    <w:jc w:val="center"/>
                    <w:rPr>
                      <w:sz w:val="21"/>
                      <w:szCs w:val="21"/>
                    </w:rPr>
                  </w:pPr>
                  <w:r>
                    <w:rPr>
                      <w:sz w:val="21"/>
                      <w:szCs w:val="21"/>
                    </w:rPr>
                    <w:t>10</w:t>
                  </w:r>
                </w:p>
              </w:tc>
              <w:tc>
                <w:tcPr>
                  <w:tcW w:w="2648" w:type="pct"/>
                  <w:vAlign w:val="center"/>
                </w:tcPr>
                <w:p w14:paraId="3D95E52C">
                  <w:pPr>
                    <w:spacing w:line="240" w:lineRule="auto"/>
                    <w:ind w:firstLine="0" w:firstLineChars="0"/>
                    <w:jc w:val="center"/>
                    <w:rPr>
                      <w:sz w:val="21"/>
                      <w:szCs w:val="21"/>
                    </w:rPr>
                  </w:pPr>
                  <w:r>
                    <w:rPr>
                      <w:sz w:val="21"/>
                      <w:szCs w:val="21"/>
                    </w:rPr>
                    <w:t>锰（mg/L）</w:t>
                  </w:r>
                </w:p>
              </w:tc>
              <w:tc>
                <w:tcPr>
                  <w:tcW w:w="373" w:type="pct"/>
                  <w:vAlign w:val="center"/>
                </w:tcPr>
                <w:p w14:paraId="6ADE88F8">
                  <w:pPr>
                    <w:spacing w:line="240" w:lineRule="auto"/>
                    <w:ind w:firstLine="0" w:firstLineChars="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1593" w:type="pct"/>
                  <w:vAlign w:val="center"/>
                </w:tcPr>
                <w:p w14:paraId="40B1253F">
                  <w:pPr>
                    <w:spacing w:line="240" w:lineRule="auto"/>
                    <w:ind w:firstLine="0" w:firstLineChars="0"/>
                    <w:jc w:val="center"/>
                    <w:rPr>
                      <w:sz w:val="21"/>
                      <w:szCs w:val="21"/>
                    </w:rPr>
                  </w:pPr>
                  <w:r>
                    <w:rPr>
                      <w:rFonts w:hint="eastAsia"/>
                      <w:sz w:val="21"/>
                      <w:szCs w:val="21"/>
                    </w:rPr>
                    <w:t>－</w:t>
                  </w:r>
                </w:p>
              </w:tc>
            </w:tr>
            <w:tr w14:paraId="30177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84" w:type="pct"/>
                  <w:vAlign w:val="center"/>
                </w:tcPr>
                <w:p w14:paraId="7AE000F5">
                  <w:pPr>
                    <w:spacing w:line="240" w:lineRule="auto"/>
                    <w:ind w:firstLine="0" w:firstLineChars="0"/>
                    <w:jc w:val="center"/>
                    <w:rPr>
                      <w:sz w:val="21"/>
                      <w:szCs w:val="21"/>
                    </w:rPr>
                  </w:pPr>
                  <w:r>
                    <w:rPr>
                      <w:sz w:val="21"/>
                      <w:szCs w:val="21"/>
                    </w:rPr>
                    <w:t>11</w:t>
                  </w:r>
                </w:p>
              </w:tc>
              <w:tc>
                <w:tcPr>
                  <w:tcW w:w="2648" w:type="pct"/>
                  <w:vAlign w:val="center"/>
                </w:tcPr>
                <w:p w14:paraId="1C2F16A0">
                  <w:pPr>
                    <w:spacing w:line="240" w:lineRule="auto"/>
                    <w:ind w:firstLine="0" w:firstLineChars="0"/>
                    <w:jc w:val="center"/>
                    <w:rPr>
                      <w:sz w:val="21"/>
                      <w:szCs w:val="21"/>
                    </w:rPr>
                  </w:pPr>
                  <w:r>
                    <w:rPr>
                      <w:sz w:val="21"/>
                      <w:szCs w:val="21"/>
                    </w:rPr>
                    <w:t>溶解氧（mg/L）</w:t>
                  </w:r>
                </w:p>
              </w:tc>
              <w:tc>
                <w:tcPr>
                  <w:tcW w:w="373" w:type="pct"/>
                  <w:vAlign w:val="center"/>
                </w:tcPr>
                <w:p w14:paraId="3C8EFB70">
                  <w:pPr>
                    <w:spacing w:line="240" w:lineRule="auto"/>
                    <w:ind w:firstLine="0" w:firstLineChars="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1593" w:type="pct"/>
                  <w:vAlign w:val="center"/>
                </w:tcPr>
                <w:p w14:paraId="1306CABB">
                  <w:pPr>
                    <w:spacing w:line="240" w:lineRule="auto"/>
                    <w:ind w:firstLine="0" w:firstLineChars="0"/>
                    <w:jc w:val="center"/>
                    <w:rPr>
                      <w:sz w:val="21"/>
                      <w:szCs w:val="21"/>
                    </w:rPr>
                  </w:pPr>
                  <w:r>
                    <w:rPr>
                      <w:rFonts w:hint="eastAsia"/>
                      <w:sz w:val="21"/>
                      <w:szCs w:val="21"/>
                    </w:rPr>
                    <w:t>2</w:t>
                  </w:r>
                  <w:r>
                    <w:rPr>
                      <w:sz w:val="21"/>
                      <w:szCs w:val="21"/>
                    </w:rPr>
                    <w:t>.0</w:t>
                  </w:r>
                </w:p>
              </w:tc>
            </w:tr>
            <w:tr w14:paraId="61EE2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84" w:type="pct"/>
                  <w:vAlign w:val="center"/>
                </w:tcPr>
                <w:p w14:paraId="4025AF01">
                  <w:pPr>
                    <w:spacing w:line="240" w:lineRule="auto"/>
                    <w:ind w:firstLine="0" w:firstLineChars="0"/>
                    <w:jc w:val="center"/>
                    <w:rPr>
                      <w:sz w:val="21"/>
                      <w:szCs w:val="21"/>
                    </w:rPr>
                  </w:pPr>
                  <w:r>
                    <w:rPr>
                      <w:sz w:val="21"/>
                      <w:szCs w:val="21"/>
                    </w:rPr>
                    <w:t>12</w:t>
                  </w:r>
                </w:p>
              </w:tc>
              <w:tc>
                <w:tcPr>
                  <w:tcW w:w="2648" w:type="pct"/>
                  <w:vAlign w:val="center"/>
                </w:tcPr>
                <w:p w14:paraId="2510814B">
                  <w:pPr>
                    <w:spacing w:line="240" w:lineRule="auto"/>
                    <w:ind w:firstLine="0" w:firstLineChars="0"/>
                    <w:jc w:val="center"/>
                    <w:rPr>
                      <w:sz w:val="21"/>
                      <w:szCs w:val="21"/>
                    </w:rPr>
                  </w:pPr>
                  <w:r>
                    <w:rPr>
                      <w:sz w:val="21"/>
                      <w:szCs w:val="21"/>
                    </w:rPr>
                    <w:t>总氯（mg/L）</w:t>
                  </w:r>
                </w:p>
              </w:tc>
              <w:tc>
                <w:tcPr>
                  <w:tcW w:w="373" w:type="pct"/>
                  <w:vAlign w:val="center"/>
                </w:tcPr>
                <w:p w14:paraId="1A782182">
                  <w:pPr>
                    <w:spacing w:line="240" w:lineRule="auto"/>
                    <w:ind w:firstLine="0" w:firstLineChars="0"/>
                    <w:jc w:val="center"/>
                    <w:rPr>
                      <w:rFonts w:asciiTheme="minorEastAsia" w:hAnsiTheme="minorEastAsia" w:eastAsiaTheme="minorEastAsia" w:cstheme="minorEastAsia"/>
                      <w:sz w:val="21"/>
                      <w:szCs w:val="21"/>
                    </w:rPr>
                  </w:pPr>
                </w:p>
              </w:tc>
              <w:tc>
                <w:tcPr>
                  <w:tcW w:w="1593" w:type="pct"/>
                  <w:vAlign w:val="center"/>
                </w:tcPr>
                <w:p w14:paraId="577B327E">
                  <w:pPr>
                    <w:spacing w:line="240" w:lineRule="auto"/>
                    <w:ind w:firstLine="0" w:firstLineChars="0"/>
                    <w:jc w:val="center"/>
                    <w:rPr>
                      <w:sz w:val="21"/>
                      <w:szCs w:val="21"/>
                    </w:rPr>
                  </w:pPr>
                  <w:r>
                    <w:rPr>
                      <w:rFonts w:hint="eastAsia"/>
                      <w:sz w:val="21"/>
                      <w:szCs w:val="21"/>
                    </w:rPr>
                    <w:t>出厂≥</w:t>
                  </w:r>
                  <w:r>
                    <w:rPr>
                      <w:sz w:val="21"/>
                      <w:szCs w:val="21"/>
                    </w:rPr>
                    <w:t>1.0，</w:t>
                  </w:r>
                  <w:r>
                    <w:rPr>
                      <w:rFonts w:hint="eastAsia"/>
                      <w:sz w:val="21"/>
                      <w:szCs w:val="21"/>
                    </w:rPr>
                    <w:t>管网末端≥</w:t>
                  </w:r>
                  <w:r>
                    <w:rPr>
                      <w:sz w:val="21"/>
                      <w:szCs w:val="21"/>
                    </w:rPr>
                    <w:t>0.2</w:t>
                  </w:r>
                </w:p>
              </w:tc>
            </w:tr>
            <w:tr w14:paraId="48A0F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384" w:type="pct"/>
                  <w:vAlign w:val="center"/>
                </w:tcPr>
                <w:p w14:paraId="493400C7">
                  <w:pPr>
                    <w:spacing w:line="240" w:lineRule="auto"/>
                    <w:ind w:firstLine="0" w:firstLineChars="0"/>
                    <w:jc w:val="center"/>
                    <w:rPr>
                      <w:sz w:val="21"/>
                      <w:szCs w:val="21"/>
                    </w:rPr>
                  </w:pPr>
                  <w:r>
                    <w:rPr>
                      <w:sz w:val="21"/>
                      <w:szCs w:val="21"/>
                    </w:rPr>
                    <w:t>13</w:t>
                  </w:r>
                </w:p>
              </w:tc>
              <w:tc>
                <w:tcPr>
                  <w:tcW w:w="2648" w:type="pct"/>
                  <w:vAlign w:val="center"/>
                </w:tcPr>
                <w:p w14:paraId="5A63806D">
                  <w:pPr>
                    <w:spacing w:line="240" w:lineRule="auto"/>
                    <w:ind w:firstLine="0" w:firstLineChars="0"/>
                    <w:jc w:val="center"/>
                    <w:rPr>
                      <w:sz w:val="21"/>
                      <w:szCs w:val="21"/>
                    </w:rPr>
                  </w:pPr>
                  <w:r>
                    <w:rPr>
                      <w:rFonts w:hint="eastAsia"/>
                      <w:sz w:val="21"/>
                      <w:szCs w:val="21"/>
                    </w:rPr>
                    <w:t>大肠埃希氏菌</w:t>
                  </w:r>
                  <w:r>
                    <w:rPr>
                      <w:sz w:val="21"/>
                      <w:szCs w:val="21"/>
                    </w:rPr>
                    <w:t>（</w:t>
                  </w:r>
                  <w:r>
                    <w:rPr>
                      <w:rFonts w:hint="eastAsia"/>
                      <w:sz w:val="21"/>
                      <w:szCs w:val="21"/>
                    </w:rPr>
                    <w:t>MPN</w:t>
                  </w:r>
                  <w:r>
                    <w:rPr>
                      <w:sz w:val="21"/>
                      <w:szCs w:val="21"/>
                    </w:rPr>
                    <w:t>/</w:t>
                  </w:r>
                  <w:r>
                    <w:rPr>
                      <w:rFonts w:hint="eastAsia"/>
                      <w:sz w:val="21"/>
                      <w:szCs w:val="21"/>
                    </w:rPr>
                    <w:t>100m</w:t>
                  </w:r>
                  <w:r>
                    <w:rPr>
                      <w:sz w:val="21"/>
                      <w:szCs w:val="21"/>
                    </w:rPr>
                    <w:t>L</w:t>
                  </w:r>
                  <w:r>
                    <w:rPr>
                      <w:rFonts w:hint="eastAsia"/>
                      <w:sz w:val="21"/>
                      <w:szCs w:val="21"/>
                    </w:rPr>
                    <w:t>，或CFU/100m</w:t>
                  </w:r>
                  <w:r>
                    <w:rPr>
                      <w:sz w:val="21"/>
                      <w:szCs w:val="21"/>
                    </w:rPr>
                    <w:t>L）</w:t>
                  </w:r>
                </w:p>
              </w:tc>
              <w:tc>
                <w:tcPr>
                  <w:tcW w:w="373" w:type="pct"/>
                  <w:vAlign w:val="center"/>
                </w:tcPr>
                <w:p w14:paraId="701B94F5">
                  <w:pPr>
                    <w:spacing w:line="240" w:lineRule="auto"/>
                    <w:ind w:firstLine="0" w:firstLineChars="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1593" w:type="pct"/>
                  <w:vAlign w:val="center"/>
                </w:tcPr>
                <w:p w14:paraId="17DD752E">
                  <w:pPr>
                    <w:spacing w:line="240" w:lineRule="auto"/>
                    <w:ind w:firstLine="0" w:firstLineChars="0"/>
                    <w:jc w:val="center"/>
                    <w:rPr>
                      <w:sz w:val="21"/>
                      <w:szCs w:val="21"/>
                    </w:rPr>
                  </w:pPr>
                  <w:r>
                    <w:rPr>
                      <w:rFonts w:hint="eastAsia"/>
                      <w:sz w:val="21"/>
                      <w:szCs w:val="21"/>
                    </w:rPr>
                    <w:t>无</w:t>
                  </w:r>
                </w:p>
              </w:tc>
            </w:tr>
          </w:tbl>
          <w:p w14:paraId="3ADEC831">
            <w:pPr>
              <w:pStyle w:val="22"/>
              <w:widowControl w:val="0"/>
              <w:adjustRightInd w:val="0"/>
              <w:snapToGrid w:val="0"/>
              <w:spacing w:beforeLines="50" w:beforeAutospacing="0" w:after="0" w:afterAutospacing="0"/>
              <w:ind w:left="480" w:leftChars="200" w:firstLine="0" w:firstLineChars="0"/>
              <w:jc w:val="both"/>
              <w:rPr>
                <w:rFonts w:ascii="Times New Roman" w:hAnsi="Times New Roman"/>
                <w:b/>
                <w:bCs/>
                <w:szCs w:val="28"/>
              </w:rPr>
            </w:pPr>
            <w:r>
              <w:rPr>
                <w:rFonts w:hint="eastAsia" w:ascii="Times New Roman" w:hAnsi="Times New Roman" w:cs="宋体"/>
                <w:b/>
                <w:bCs/>
                <w:kern w:val="2"/>
                <w:szCs w:val="28"/>
              </w:rPr>
              <w:t>3、噪声</w:t>
            </w:r>
          </w:p>
          <w:p w14:paraId="17924D1B">
            <w:pPr>
              <w:pStyle w:val="39"/>
              <w:widowControl/>
              <w:rPr>
                <w:szCs w:val="24"/>
              </w:rPr>
            </w:pPr>
            <w:r>
              <w:rPr>
                <w:rFonts w:hint="eastAsia"/>
                <w:szCs w:val="24"/>
              </w:rPr>
              <w:t>项目运营期厂界噪声执行《工业企业厂界环境噪声排放标准》（</w:t>
            </w:r>
            <w:r>
              <w:rPr>
                <w:szCs w:val="24"/>
              </w:rPr>
              <w:t>GB12348-2008</w:t>
            </w:r>
            <w:r>
              <w:rPr>
                <w:rFonts w:hint="eastAsia"/>
                <w:szCs w:val="24"/>
              </w:rPr>
              <w:t>）</w:t>
            </w:r>
            <w:r>
              <w:rPr>
                <w:rFonts w:hint="eastAsia"/>
                <w:color w:val="000000" w:themeColor="text1"/>
                <w:szCs w:val="24"/>
                <w14:textFill>
                  <w14:solidFill>
                    <w14:schemeClr w14:val="tx1"/>
                  </w14:solidFill>
                </w14:textFill>
              </w:rPr>
              <w:t>1类标</w:t>
            </w:r>
            <w:r>
              <w:rPr>
                <w:rFonts w:hint="eastAsia"/>
                <w:szCs w:val="24"/>
              </w:rPr>
              <w:t>准，噪声限值见表</w:t>
            </w:r>
            <w:r>
              <w:rPr>
                <w:szCs w:val="24"/>
              </w:rPr>
              <w:t>3-</w:t>
            </w:r>
            <w:r>
              <w:rPr>
                <w:rFonts w:hint="eastAsia"/>
                <w:szCs w:val="24"/>
              </w:rPr>
              <w:t>13。</w:t>
            </w:r>
          </w:p>
          <w:p w14:paraId="4B397170">
            <w:pPr>
              <w:adjustRightInd w:val="0"/>
              <w:snapToGrid w:val="0"/>
              <w:ind w:firstLine="422"/>
              <w:jc w:val="center"/>
              <w:rPr>
                <w:b/>
                <w:bCs/>
                <w:sz w:val="21"/>
                <w:szCs w:val="21"/>
              </w:rPr>
            </w:pPr>
            <w:r>
              <w:rPr>
                <w:rFonts w:hint="eastAsia" w:cs="宋体"/>
                <w:b/>
                <w:bCs/>
                <w:sz w:val="21"/>
                <w:szCs w:val="21"/>
              </w:rPr>
              <w:t>表</w:t>
            </w:r>
            <w:r>
              <w:rPr>
                <w:b/>
                <w:bCs/>
                <w:sz w:val="21"/>
                <w:szCs w:val="21"/>
              </w:rPr>
              <w:t>3-1</w:t>
            </w:r>
            <w:r>
              <w:rPr>
                <w:rFonts w:hint="eastAsia"/>
                <w:b/>
                <w:bCs/>
                <w:sz w:val="21"/>
                <w:szCs w:val="21"/>
              </w:rPr>
              <w:t>3</w:t>
            </w:r>
            <w:r>
              <w:rPr>
                <w:b/>
                <w:bCs/>
                <w:sz w:val="21"/>
                <w:szCs w:val="21"/>
              </w:rPr>
              <w:t xml:space="preserve">  </w:t>
            </w:r>
            <w:r>
              <w:rPr>
                <w:rFonts w:hint="eastAsia" w:cs="宋体"/>
                <w:b/>
                <w:bCs/>
                <w:sz w:val="21"/>
                <w:szCs w:val="21"/>
              </w:rPr>
              <w:t>工业企业厂界环境噪声排放标准</w:t>
            </w:r>
            <w:r>
              <w:rPr>
                <w:b/>
                <w:bCs/>
                <w:sz w:val="21"/>
                <w:szCs w:val="21"/>
              </w:rPr>
              <w:t>dB(A)</w:t>
            </w:r>
          </w:p>
          <w:tbl>
            <w:tblPr>
              <w:tblStyle w:val="26"/>
              <w:tblW w:w="7908"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2350"/>
              <w:gridCol w:w="3201"/>
              <w:gridCol w:w="2357"/>
            </w:tblGrid>
            <w:tr w14:paraId="285387D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exact"/>
                <w:jc w:val="center"/>
              </w:trPr>
              <w:tc>
                <w:tcPr>
                  <w:tcW w:w="1485" w:type="pct"/>
                  <w:vMerge w:val="restart"/>
                  <w:tcBorders>
                    <w:top w:val="single" w:color="auto" w:sz="2" w:space="0"/>
                    <w:left w:val="single" w:color="auto" w:sz="2" w:space="0"/>
                    <w:bottom w:val="single" w:color="auto" w:sz="2" w:space="0"/>
                    <w:right w:val="single" w:color="auto" w:sz="2" w:space="0"/>
                  </w:tcBorders>
                  <w:shd w:val="clear" w:color="auto" w:fill="auto"/>
                  <w:vAlign w:val="center"/>
                </w:tcPr>
                <w:p w14:paraId="1D225A78">
                  <w:pPr>
                    <w:adjustRightInd w:val="0"/>
                    <w:snapToGrid w:val="0"/>
                    <w:spacing w:line="240" w:lineRule="auto"/>
                    <w:ind w:firstLine="0" w:firstLineChars="0"/>
                    <w:jc w:val="center"/>
                    <w:rPr>
                      <w:b/>
                      <w:bCs/>
                    </w:rPr>
                  </w:pPr>
                  <w:r>
                    <w:rPr>
                      <w:rFonts w:hint="eastAsia" w:cs="宋体"/>
                      <w:b/>
                      <w:bCs/>
                      <w:sz w:val="21"/>
                    </w:rPr>
                    <w:t>类别</w:t>
                  </w:r>
                </w:p>
              </w:tc>
              <w:tc>
                <w:tcPr>
                  <w:tcW w:w="3514" w:type="pct"/>
                  <w:gridSpan w:val="2"/>
                  <w:tcBorders>
                    <w:top w:val="single" w:color="auto" w:sz="2" w:space="0"/>
                    <w:left w:val="single" w:color="auto" w:sz="2" w:space="0"/>
                    <w:bottom w:val="single" w:color="auto" w:sz="2" w:space="0"/>
                    <w:right w:val="single" w:color="auto" w:sz="2" w:space="0"/>
                  </w:tcBorders>
                  <w:shd w:val="clear" w:color="auto" w:fill="auto"/>
                  <w:vAlign w:val="center"/>
                </w:tcPr>
                <w:p w14:paraId="245FF4CE">
                  <w:pPr>
                    <w:adjustRightInd w:val="0"/>
                    <w:snapToGrid w:val="0"/>
                    <w:spacing w:line="240" w:lineRule="auto"/>
                    <w:ind w:firstLine="0" w:firstLineChars="0"/>
                    <w:jc w:val="center"/>
                    <w:rPr>
                      <w:b/>
                      <w:bCs/>
                    </w:rPr>
                  </w:pPr>
                  <w:r>
                    <w:rPr>
                      <w:rFonts w:hint="eastAsia" w:cs="宋体"/>
                      <w:b/>
                      <w:bCs/>
                      <w:sz w:val="21"/>
                    </w:rPr>
                    <w:t>等效声级</w:t>
                  </w:r>
                  <w:r>
                    <w:rPr>
                      <w:b/>
                      <w:bCs/>
                      <w:sz w:val="21"/>
                    </w:rPr>
                    <w:t>dB(A)</w:t>
                  </w:r>
                </w:p>
              </w:tc>
            </w:tr>
            <w:tr w14:paraId="6837095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exact"/>
                <w:jc w:val="center"/>
              </w:trPr>
              <w:tc>
                <w:tcPr>
                  <w:tcW w:w="1485" w:type="pct"/>
                  <w:vMerge w:val="continue"/>
                  <w:tcBorders>
                    <w:top w:val="single" w:color="auto" w:sz="2" w:space="0"/>
                    <w:left w:val="single" w:color="auto" w:sz="2" w:space="0"/>
                    <w:bottom w:val="single" w:color="auto" w:sz="2" w:space="0"/>
                    <w:right w:val="single" w:color="auto" w:sz="2" w:space="0"/>
                  </w:tcBorders>
                  <w:shd w:val="clear" w:color="auto" w:fill="auto"/>
                  <w:vAlign w:val="center"/>
                </w:tcPr>
                <w:p w14:paraId="0ACC9517">
                  <w:pPr>
                    <w:spacing w:line="240" w:lineRule="auto"/>
                    <w:ind w:firstLine="0" w:firstLineChars="0"/>
                    <w:rPr>
                      <w:sz w:val="20"/>
                      <w:szCs w:val="20"/>
                    </w:rPr>
                  </w:pPr>
                </w:p>
              </w:tc>
              <w:tc>
                <w:tcPr>
                  <w:tcW w:w="2024" w:type="pct"/>
                  <w:tcBorders>
                    <w:top w:val="single" w:color="auto" w:sz="2" w:space="0"/>
                    <w:left w:val="single" w:color="auto" w:sz="2" w:space="0"/>
                    <w:bottom w:val="single" w:color="auto" w:sz="2" w:space="0"/>
                    <w:right w:val="single" w:color="auto" w:sz="2" w:space="0"/>
                  </w:tcBorders>
                  <w:shd w:val="clear" w:color="auto" w:fill="auto"/>
                  <w:vAlign w:val="center"/>
                </w:tcPr>
                <w:p w14:paraId="660C5326">
                  <w:pPr>
                    <w:adjustRightInd w:val="0"/>
                    <w:snapToGrid w:val="0"/>
                    <w:spacing w:line="240" w:lineRule="auto"/>
                    <w:ind w:firstLine="0" w:firstLineChars="0"/>
                    <w:jc w:val="center"/>
                  </w:pPr>
                  <w:r>
                    <w:rPr>
                      <w:rFonts w:hint="eastAsia" w:cs="宋体"/>
                      <w:sz w:val="21"/>
                    </w:rPr>
                    <w:t>昼间</w:t>
                  </w:r>
                </w:p>
              </w:tc>
              <w:tc>
                <w:tcPr>
                  <w:tcW w:w="1489" w:type="pct"/>
                  <w:tcBorders>
                    <w:top w:val="single" w:color="auto" w:sz="2" w:space="0"/>
                    <w:left w:val="single" w:color="auto" w:sz="2" w:space="0"/>
                    <w:bottom w:val="single" w:color="auto" w:sz="2" w:space="0"/>
                    <w:right w:val="single" w:color="auto" w:sz="2" w:space="0"/>
                  </w:tcBorders>
                  <w:shd w:val="clear" w:color="auto" w:fill="auto"/>
                  <w:vAlign w:val="center"/>
                </w:tcPr>
                <w:p w14:paraId="2520A808">
                  <w:pPr>
                    <w:adjustRightInd w:val="0"/>
                    <w:snapToGrid w:val="0"/>
                    <w:spacing w:line="240" w:lineRule="auto"/>
                    <w:ind w:firstLine="0" w:firstLineChars="0"/>
                    <w:jc w:val="center"/>
                  </w:pPr>
                  <w:r>
                    <w:rPr>
                      <w:rFonts w:hint="eastAsia" w:cs="宋体"/>
                      <w:sz w:val="21"/>
                    </w:rPr>
                    <w:t>夜间</w:t>
                  </w:r>
                </w:p>
              </w:tc>
            </w:tr>
            <w:tr w14:paraId="6764189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exact"/>
                <w:jc w:val="center"/>
              </w:trPr>
              <w:tc>
                <w:tcPr>
                  <w:tcW w:w="1485" w:type="pct"/>
                  <w:tcBorders>
                    <w:top w:val="single" w:color="auto" w:sz="2" w:space="0"/>
                    <w:left w:val="single" w:color="auto" w:sz="2" w:space="0"/>
                    <w:bottom w:val="single" w:color="auto" w:sz="2" w:space="0"/>
                    <w:right w:val="single" w:color="auto" w:sz="2" w:space="0"/>
                  </w:tcBorders>
                  <w:shd w:val="clear" w:color="auto" w:fill="auto"/>
                  <w:vAlign w:val="center"/>
                </w:tcPr>
                <w:p w14:paraId="75048003">
                  <w:pPr>
                    <w:adjustRightInd w:val="0"/>
                    <w:snapToGrid w:val="0"/>
                    <w:spacing w:line="240" w:lineRule="auto"/>
                    <w:ind w:firstLine="0" w:firstLineChars="0"/>
                    <w:jc w:val="center"/>
                  </w:pPr>
                  <w:r>
                    <w:rPr>
                      <w:rFonts w:hint="eastAsia"/>
                      <w:sz w:val="21"/>
                    </w:rPr>
                    <w:t>1</w:t>
                  </w:r>
                  <w:r>
                    <w:rPr>
                      <w:rFonts w:hint="eastAsia" w:cs="宋体"/>
                      <w:sz w:val="21"/>
                    </w:rPr>
                    <w:t>类</w:t>
                  </w:r>
                </w:p>
              </w:tc>
              <w:tc>
                <w:tcPr>
                  <w:tcW w:w="2024" w:type="pct"/>
                  <w:tcBorders>
                    <w:top w:val="single" w:color="auto" w:sz="2" w:space="0"/>
                    <w:left w:val="single" w:color="auto" w:sz="2" w:space="0"/>
                    <w:bottom w:val="single" w:color="auto" w:sz="2" w:space="0"/>
                    <w:right w:val="single" w:color="auto" w:sz="2" w:space="0"/>
                  </w:tcBorders>
                  <w:shd w:val="clear" w:color="auto" w:fill="auto"/>
                  <w:vAlign w:val="center"/>
                </w:tcPr>
                <w:p w14:paraId="7CBF9390">
                  <w:pPr>
                    <w:adjustRightInd w:val="0"/>
                    <w:snapToGrid w:val="0"/>
                    <w:spacing w:line="240" w:lineRule="auto"/>
                    <w:ind w:firstLine="0" w:firstLineChars="0"/>
                    <w:jc w:val="center"/>
                  </w:pPr>
                  <w:r>
                    <w:rPr>
                      <w:rFonts w:hint="eastAsia"/>
                    </w:rPr>
                    <w:t>55</w:t>
                  </w:r>
                </w:p>
              </w:tc>
              <w:tc>
                <w:tcPr>
                  <w:tcW w:w="1489" w:type="pct"/>
                  <w:tcBorders>
                    <w:top w:val="single" w:color="auto" w:sz="2" w:space="0"/>
                    <w:left w:val="single" w:color="auto" w:sz="2" w:space="0"/>
                    <w:bottom w:val="single" w:color="auto" w:sz="2" w:space="0"/>
                    <w:right w:val="single" w:color="auto" w:sz="2" w:space="0"/>
                  </w:tcBorders>
                  <w:shd w:val="clear" w:color="auto" w:fill="auto"/>
                  <w:vAlign w:val="center"/>
                </w:tcPr>
                <w:p w14:paraId="4F65934E">
                  <w:pPr>
                    <w:adjustRightInd w:val="0"/>
                    <w:snapToGrid w:val="0"/>
                    <w:spacing w:line="240" w:lineRule="auto"/>
                    <w:ind w:firstLine="0" w:firstLineChars="0"/>
                    <w:jc w:val="center"/>
                  </w:pPr>
                  <w:r>
                    <w:rPr>
                      <w:rFonts w:hint="eastAsia"/>
                    </w:rPr>
                    <w:t>45</w:t>
                  </w:r>
                </w:p>
              </w:tc>
            </w:tr>
          </w:tbl>
          <w:p w14:paraId="6D9AAECB">
            <w:pPr>
              <w:pStyle w:val="22"/>
              <w:widowControl w:val="0"/>
              <w:adjustRightInd w:val="0"/>
              <w:snapToGrid w:val="0"/>
              <w:spacing w:beforeLines="50" w:beforeAutospacing="0" w:after="0" w:afterAutospacing="0"/>
              <w:ind w:left="480" w:leftChars="200" w:firstLine="0" w:firstLineChars="0"/>
              <w:jc w:val="both"/>
              <w:rPr>
                <w:rFonts w:ascii="Times New Roman" w:hAnsi="Times New Roman"/>
                <w:b/>
                <w:bCs/>
                <w:szCs w:val="28"/>
              </w:rPr>
            </w:pPr>
            <w:r>
              <w:rPr>
                <w:rFonts w:hint="eastAsia" w:ascii="Times New Roman" w:hAnsi="Times New Roman" w:cs="宋体"/>
                <w:b/>
                <w:bCs/>
                <w:kern w:val="2"/>
                <w:szCs w:val="28"/>
              </w:rPr>
              <w:t>4、固体废弃物</w:t>
            </w:r>
          </w:p>
          <w:p w14:paraId="1DDEDB81">
            <w:pPr>
              <w:pStyle w:val="39"/>
              <w:widowControl/>
              <w:rPr>
                <w:szCs w:val="24"/>
              </w:rPr>
            </w:pPr>
            <w:r>
              <w:rPr>
                <w:rFonts w:hint="eastAsia"/>
                <w:szCs w:val="24"/>
              </w:rPr>
              <w:t>项目所产生的固体废弃物包括危险废物及一般固体废弃物。</w:t>
            </w:r>
          </w:p>
          <w:p w14:paraId="14879A6E">
            <w:pPr>
              <w:pStyle w:val="39"/>
              <w:widowControl/>
              <w:rPr>
                <w:szCs w:val="24"/>
              </w:rPr>
            </w:pPr>
            <w:r>
              <w:rPr>
                <w:rFonts w:hint="eastAsia"/>
                <w:szCs w:val="24"/>
              </w:rPr>
              <w:t>一般固体废物执行《一般工业固体废物贮存和填埋污染控制标准》（</w:t>
            </w:r>
            <w:r>
              <w:rPr>
                <w:szCs w:val="24"/>
              </w:rPr>
              <w:t>GB18599-2020</w:t>
            </w:r>
            <w:r>
              <w:rPr>
                <w:rFonts w:hint="eastAsia"/>
                <w:szCs w:val="24"/>
              </w:rPr>
              <w:t>）。</w:t>
            </w:r>
          </w:p>
          <w:p w14:paraId="3C512408">
            <w:pPr>
              <w:ind w:firstLine="480"/>
              <w:rPr>
                <w:rFonts w:cs="宋体"/>
              </w:rPr>
            </w:pPr>
            <w:r>
              <w:rPr>
                <w:rFonts w:hint="eastAsia" w:cs="宋体"/>
              </w:rPr>
              <w:t>危险废物执行《危险废物贮存污染控制标准》（</w:t>
            </w:r>
            <w:r>
              <w:t>GB18597-2023</w:t>
            </w:r>
            <w:r>
              <w:rPr>
                <w:rFonts w:hint="eastAsia" w:cs="宋体"/>
              </w:rPr>
              <w:t>），危废标识执行</w:t>
            </w:r>
            <w:r>
              <w:rPr>
                <w:color w:val="000000"/>
              </w:rPr>
              <w:t>《危险废物识别标志设置技术规范》（HJ1276-2022）</w:t>
            </w:r>
            <w:r>
              <w:rPr>
                <w:rFonts w:hint="eastAsia"/>
                <w:color w:val="000000"/>
              </w:rPr>
              <w:t>，</w:t>
            </w:r>
            <w:r>
              <w:rPr>
                <w:rFonts w:hint="eastAsia" w:cs="宋体"/>
              </w:rPr>
              <w:t>危险废物台账执行《危险废物 管理计划和管理台账制定技术导则》（HJ 1259-2022）。</w:t>
            </w:r>
          </w:p>
        </w:tc>
      </w:tr>
      <w:tr w14:paraId="6182F9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30" w:hRule="atLeast"/>
          <w:jc w:val="center"/>
        </w:trPr>
        <w:tc>
          <w:tcPr>
            <w:tcW w:w="426" w:type="dxa"/>
            <w:tcBorders>
              <w:top w:val="single" w:color="auto" w:sz="4" w:space="0"/>
              <w:left w:val="single" w:color="auto" w:sz="8" w:space="0"/>
              <w:bottom w:val="single" w:color="auto" w:sz="8" w:space="0"/>
              <w:right w:val="single" w:color="auto" w:sz="4" w:space="0"/>
            </w:tcBorders>
            <w:shd w:val="clear" w:color="auto" w:fill="auto"/>
            <w:vAlign w:val="center"/>
          </w:tcPr>
          <w:p w14:paraId="6B855BC1">
            <w:pPr>
              <w:adjustRightInd w:val="0"/>
              <w:snapToGrid w:val="0"/>
              <w:spacing w:line="240" w:lineRule="auto"/>
              <w:ind w:firstLine="0" w:firstLineChars="0"/>
              <w:jc w:val="center"/>
              <w:rPr>
                <w:rFonts w:cs="宋体"/>
                <w:kern w:val="0"/>
                <w:szCs w:val="21"/>
              </w:rPr>
            </w:pPr>
            <w:r>
              <w:rPr>
                <w:rFonts w:hint="eastAsia" w:cs="宋体"/>
                <w:kern w:val="0"/>
                <w:sz w:val="21"/>
                <w:szCs w:val="21"/>
              </w:rPr>
              <w:t>总量</w:t>
            </w:r>
          </w:p>
          <w:p w14:paraId="18734066">
            <w:pPr>
              <w:adjustRightInd w:val="0"/>
              <w:snapToGrid w:val="0"/>
              <w:spacing w:line="240" w:lineRule="auto"/>
              <w:ind w:firstLine="0" w:firstLineChars="0"/>
              <w:jc w:val="center"/>
              <w:rPr>
                <w:rFonts w:cs="宋体"/>
                <w:kern w:val="0"/>
                <w:szCs w:val="21"/>
              </w:rPr>
            </w:pPr>
            <w:r>
              <w:rPr>
                <w:rFonts w:hint="eastAsia" w:cs="宋体"/>
                <w:kern w:val="0"/>
                <w:sz w:val="21"/>
                <w:szCs w:val="21"/>
              </w:rPr>
              <w:t>控制</w:t>
            </w:r>
          </w:p>
          <w:p w14:paraId="22323F87">
            <w:pPr>
              <w:adjustRightInd w:val="0"/>
              <w:snapToGrid w:val="0"/>
              <w:spacing w:line="240" w:lineRule="auto"/>
              <w:ind w:firstLine="0" w:firstLineChars="0"/>
              <w:jc w:val="center"/>
              <w:rPr>
                <w:rFonts w:cs="宋体"/>
                <w:kern w:val="0"/>
                <w:szCs w:val="21"/>
              </w:rPr>
            </w:pPr>
            <w:r>
              <w:rPr>
                <w:rFonts w:hint="eastAsia" w:cs="宋体"/>
                <w:kern w:val="0"/>
                <w:sz w:val="21"/>
                <w:szCs w:val="21"/>
              </w:rPr>
              <w:t>指标</w:t>
            </w:r>
          </w:p>
        </w:tc>
        <w:tc>
          <w:tcPr>
            <w:tcW w:w="8959" w:type="dxa"/>
            <w:tcBorders>
              <w:top w:val="single" w:color="auto" w:sz="4" w:space="0"/>
              <w:left w:val="single" w:color="auto" w:sz="4" w:space="0"/>
              <w:bottom w:val="single" w:color="auto" w:sz="8" w:space="0"/>
              <w:right w:val="single" w:color="auto" w:sz="8" w:space="0"/>
            </w:tcBorders>
            <w:shd w:val="clear" w:color="auto" w:fill="auto"/>
            <w:vAlign w:val="center"/>
          </w:tcPr>
          <w:p w14:paraId="74CF5698">
            <w:pPr>
              <w:adjustRightInd w:val="0"/>
              <w:snapToGrid w:val="0"/>
              <w:spacing w:beforeLines="50"/>
              <w:ind w:firstLine="480"/>
            </w:pPr>
            <w:r>
              <w:rPr>
                <w:rFonts w:hint="eastAsia" w:cs="宋体"/>
              </w:rPr>
              <w:t>根据本项目的具体情况，结合国家污染物排放总量控制原则，建议本项目的总量控制指标如下：</w:t>
            </w:r>
          </w:p>
          <w:p w14:paraId="47606A36">
            <w:pPr>
              <w:adjustRightInd w:val="0"/>
              <w:snapToGrid w:val="0"/>
              <w:ind w:firstLine="482"/>
              <w:rPr>
                <w:b/>
                <w:bCs/>
              </w:rPr>
            </w:pPr>
            <w:r>
              <w:rPr>
                <w:b/>
                <w:bCs/>
              </w:rPr>
              <w:t>1</w:t>
            </w:r>
            <w:r>
              <w:rPr>
                <w:rFonts w:hint="eastAsia" w:cs="宋体"/>
                <w:b/>
                <w:bCs/>
              </w:rPr>
              <w:t>、废水污染物</w:t>
            </w:r>
          </w:p>
          <w:p w14:paraId="71D55405">
            <w:pPr>
              <w:adjustRightInd w:val="0"/>
              <w:snapToGrid w:val="0"/>
              <w:ind w:firstLine="480"/>
            </w:pPr>
            <w:r>
              <w:rPr>
                <w:rFonts w:hint="eastAsia"/>
                <w:kern w:val="0"/>
              </w:rPr>
              <w:t>项目运营期无废水外排，不设置总量控制指标。</w:t>
            </w:r>
          </w:p>
          <w:p w14:paraId="5717EA3D">
            <w:pPr>
              <w:adjustRightInd w:val="0"/>
              <w:snapToGrid w:val="0"/>
              <w:ind w:firstLine="482"/>
              <w:rPr>
                <w:b/>
                <w:bCs/>
              </w:rPr>
            </w:pPr>
            <w:r>
              <w:rPr>
                <w:b/>
                <w:bCs/>
              </w:rPr>
              <w:t>2</w:t>
            </w:r>
            <w:r>
              <w:rPr>
                <w:rFonts w:hint="eastAsia" w:cs="宋体"/>
                <w:b/>
                <w:bCs/>
              </w:rPr>
              <w:t>、大气污染物</w:t>
            </w:r>
          </w:p>
          <w:p w14:paraId="2103B9B8">
            <w:pPr>
              <w:adjustRightInd w:val="0"/>
              <w:snapToGrid w:val="0"/>
              <w:ind w:firstLine="480"/>
              <w:rPr>
                <w:kern w:val="0"/>
              </w:rPr>
            </w:pPr>
            <w:r>
              <w:rPr>
                <w:rFonts w:hint="eastAsia"/>
                <w:kern w:val="0"/>
              </w:rPr>
              <w:t>总废气量：20471.22万Nm</w:t>
            </w:r>
            <w:r>
              <w:rPr>
                <w:rFonts w:hint="eastAsia"/>
                <w:kern w:val="0"/>
                <w:vertAlign w:val="superscript"/>
              </w:rPr>
              <w:t>3</w:t>
            </w:r>
            <w:r>
              <w:rPr>
                <w:rFonts w:hint="eastAsia"/>
                <w:kern w:val="0"/>
              </w:rPr>
              <w:t>/a，颗粒物：1.1122t/a，SO</w:t>
            </w:r>
            <w:r>
              <w:rPr>
                <w:rFonts w:hint="eastAsia"/>
                <w:kern w:val="0"/>
                <w:vertAlign w:val="subscript"/>
              </w:rPr>
              <w:t>2</w:t>
            </w:r>
            <w:r>
              <w:rPr>
                <w:rFonts w:hint="eastAsia"/>
                <w:kern w:val="0"/>
              </w:rPr>
              <w:t>：0.0018t/a，NOx：0.273t/a，非甲烷总烃：0.0447t/a；沥青烟：0.0271t/a；苯并[a]芘：</w:t>
            </w:r>
            <w:r>
              <w:rPr>
                <w:rFonts w:hint="eastAsia"/>
                <w:color w:val="000000"/>
                <w:szCs w:val="21"/>
              </w:rPr>
              <w:t>1.9944</w:t>
            </w:r>
            <w:r>
              <w:rPr>
                <w:rFonts w:hint="eastAsia"/>
              </w:rPr>
              <w:t>×10</w:t>
            </w:r>
            <w:r>
              <w:rPr>
                <w:rFonts w:hint="eastAsia"/>
                <w:vertAlign w:val="superscript"/>
              </w:rPr>
              <w:t>-6</w:t>
            </w:r>
            <w:r>
              <w:rPr>
                <w:rFonts w:hint="eastAsia"/>
                <w:kern w:val="0"/>
              </w:rPr>
              <w:t>t/a。</w:t>
            </w:r>
          </w:p>
          <w:p w14:paraId="1AD150DD">
            <w:pPr>
              <w:adjustRightInd w:val="0"/>
              <w:snapToGrid w:val="0"/>
              <w:ind w:firstLine="480"/>
              <w:rPr>
                <w:kern w:val="0"/>
              </w:rPr>
            </w:pPr>
            <w:r>
              <w:rPr>
                <w:rFonts w:hint="eastAsia"/>
                <w:kern w:val="0"/>
              </w:rPr>
              <w:t>（1）有组织：</w:t>
            </w:r>
          </w:p>
          <w:p w14:paraId="4AAE31CF">
            <w:pPr>
              <w:adjustRightInd w:val="0"/>
              <w:snapToGrid w:val="0"/>
              <w:ind w:firstLine="480"/>
              <w:rPr>
                <w:kern w:val="0"/>
              </w:rPr>
            </w:pPr>
            <w:r>
              <w:rPr>
                <w:rFonts w:hint="eastAsia"/>
                <w:kern w:val="0"/>
              </w:rPr>
              <w:t>DA001排气筒：废气量18000万Nm</w:t>
            </w:r>
            <w:r>
              <w:rPr>
                <w:rFonts w:hint="eastAsia"/>
                <w:kern w:val="0"/>
                <w:vertAlign w:val="superscript"/>
              </w:rPr>
              <w:t>3</w:t>
            </w:r>
            <w:r>
              <w:rPr>
                <w:rFonts w:hint="eastAsia"/>
                <w:kern w:val="0"/>
              </w:rPr>
              <w:t>/a，颗粒物：0.92t/a，SO</w:t>
            </w:r>
            <w:r>
              <w:rPr>
                <w:rFonts w:hint="eastAsia"/>
                <w:kern w:val="0"/>
                <w:vertAlign w:val="subscript"/>
              </w:rPr>
              <w:t>2</w:t>
            </w:r>
            <w:r>
              <w:rPr>
                <w:rFonts w:hint="eastAsia"/>
                <w:kern w:val="0"/>
              </w:rPr>
              <w:t>：0.001t/a，NOx：0.152t/a；</w:t>
            </w:r>
          </w:p>
          <w:p w14:paraId="23C05410">
            <w:pPr>
              <w:adjustRightInd w:val="0"/>
              <w:snapToGrid w:val="0"/>
              <w:ind w:firstLine="480"/>
              <w:rPr>
                <w:kern w:val="0"/>
              </w:rPr>
            </w:pPr>
            <w:r>
              <w:rPr>
                <w:rFonts w:hint="eastAsia"/>
                <w:kern w:val="0"/>
              </w:rPr>
              <w:t>DA002排气筒：废气量71.22万Nm</w:t>
            </w:r>
            <w:r>
              <w:rPr>
                <w:rFonts w:hint="eastAsia"/>
                <w:kern w:val="0"/>
                <w:vertAlign w:val="superscript"/>
              </w:rPr>
              <w:t>3</w:t>
            </w:r>
            <w:r>
              <w:rPr>
                <w:rFonts w:hint="eastAsia"/>
                <w:kern w:val="0"/>
              </w:rPr>
              <w:t>/a，颗粒物：0.01t/a，SO</w:t>
            </w:r>
            <w:r>
              <w:rPr>
                <w:rFonts w:hint="eastAsia"/>
                <w:kern w:val="0"/>
                <w:vertAlign w:val="subscript"/>
              </w:rPr>
              <w:t>2</w:t>
            </w:r>
            <w:r>
              <w:rPr>
                <w:rFonts w:hint="eastAsia"/>
                <w:kern w:val="0"/>
              </w:rPr>
              <w:t>：0.0008t/a，NOx：0.121t/a；</w:t>
            </w:r>
          </w:p>
          <w:p w14:paraId="79E3A893">
            <w:pPr>
              <w:adjustRightInd w:val="0"/>
              <w:snapToGrid w:val="0"/>
              <w:ind w:firstLine="480"/>
              <w:rPr>
                <w:kern w:val="0"/>
              </w:rPr>
            </w:pPr>
            <w:r>
              <w:rPr>
                <w:rFonts w:hint="eastAsia"/>
                <w:kern w:val="0"/>
              </w:rPr>
              <w:t>DA003排气筒：废气量2400万Nm</w:t>
            </w:r>
            <w:r>
              <w:rPr>
                <w:rFonts w:hint="eastAsia"/>
                <w:kern w:val="0"/>
                <w:vertAlign w:val="superscript"/>
              </w:rPr>
              <w:t>3</w:t>
            </w:r>
            <w:r>
              <w:rPr>
                <w:rFonts w:hint="eastAsia"/>
                <w:kern w:val="0"/>
              </w:rPr>
              <w:t>/a，沥青烟：0.0145t/a，非甲烷总烃：0.039t/a，苯并[a]芘：</w:t>
            </w:r>
            <w:r>
              <w:rPr>
                <w:rFonts w:hint="eastAsia"/>
                <w:color w:val="000000"/>
                <w:szCs w:val="21"/>
              </w:rPr>
              <w:t>1.7424</w:t>
            </w:r>
            <w:r>
              <w:rPr>
                <w:rFonts w:hint="eastAsia"/>
              </w:rPr>
              <w:t>×10</w:t>
            </w:r>
            <w:r>
              <w:rPr>
                <w:rFonts w:hint="eastAsia"/>
                <w:vertAlign w:val="superscript"/>
              </w:rPr>
              <w:t>-6</w:t>
            </w:r>
            <w:r>
              <w:rPr>
                <w:rFonts w:hint="eastAsia"/>
                <w:kern w:val="0"/>
              </w:rPr>
              <w:t>t/a；</w:t>
            </w:r>
          </w:p>
          <w:p w14:paraId="487D32B0">
            <w:pPr>
              <w:adjustRightInd w:val="0"/>
              <w:snapToGrid w:val="0"/>
              <w:ind w:firstLine="480"/>
              <w:rPr>
                <w:kern w:val="0"/>
              </w:rPr>
            </w:pPr>
            <w:r>
              <w:rPr>
                <w:rFonts w:hint="eastAsia"/>
                <w:kern w:val="0"/>
              </w:rPr>
              <w:t>（2）无组织：</w:t>
            </w:r>
          </w:p>
          <w:p w14:paraId="3AB8CDF3">
            <w:pPr>
              <w:adjustRightInd w:val="0"/>
              <w:snapToGrid w:val="0"/>
              <w:ind w:firstLine="480"/>
              <w:rPr>
                <w:kern w:val="0"/>
              </w:rPr>
            </w:pPr>
            <w:r>
              <w:rPr>
                <w:rFonts w:hint="eastAsia"/>
                <w:kern w:val="0"/>
              </w:rPr>
              <w:t>颗粒物：0.1822t/a；非甲烷总烃：0.0057t/a；苯并[a]芘：</w:t>
            </w:r>
            <w:r>
              <w:rPr>
                <w:rFonts w:hint="eastAsia"/>
              </w:rPr>
              <w:t>0.252×10</w:t>
            </w:r>
            <w:r>
              <w:rPr>
                <w:rFonts w:hint="eastAsia"/>
                <w:vertAlign w:val="superscript"/>
              </w:rPr>
              <w:t>-6</w:t>
            </w:r>
            <w:r>
              <w:rPr>
                <w:rFonts w:hint="eastAsia"/>
                <w:kern w:val="0"/>
              </w:rPr>
              <w:t>t/a，沥青烟：0.0126t/a。</w:t>
            </w:r>
          </w:p>
          <w:p w14:paraId="73C92BD0">
            <w:pPr>
              <w:adjustRightInd w:val="0"/>
              <w:snapToGrid w:val="0"/>
              <w:ind w:firstLine="482"/>
              <w:rPr>
                <w:b/>
                <w:bCs/>
              </w:rPr>
            </w:pPr>
            <w:r>
              <w:rPr>
                <w:b/>
                <w:bCs/>
              </w:rPr>
              <w:t>3</w:t>
            </w:r>
            <w:r>
              <w:rPr>
                <w:rFonts w:hint="eastAsia" w:cs="宋体"/>
                <w:b/>
                <w:bCs/>
              </w:rPr>
              <w:t>、固体废物</w:t>
            </w:r>
          </w:p>
          <w:p w14:paraId="43471C36">
            <w:pPr>
              <w:adjustRightInd w:val="0"/>
              <w:snapToGrid w:val="0"/>
              <w:ind w:firstLine="440"/>
              <w:rPr>
                <w:rFonts w:cs="宋体"/>
                <w:bCs/>
                <w:spacing w:val="-10"/>
              </w:rPr>
            </w:pPr>
            <w:r>
              <w:rPr>
                <w:rFonts w:hint="eastAsia" w:cs="宋体"/>
                <w:bCs/>
                <w:spacing w:val="-10"/>
              </w:rPr>
              <w:t>本项目生产的固废集中收集后妥善处置，处置率100%。</w:t>
            </w:r>
          </w:p>
          <w:p w14:paraId="3D31B3DE">
            <w:pPr>
              <w:pStyle w:val="2"/>
              <w:ind w:firstLine="440"/>
              <w:rPr>
                <w:rFonts w:cs="宋体"/>
                <w:bCs/>
                <w:spacing w:val="-10"/>
              </w:rPr>
            </w:pPr>
          </w:p>
          <w:p w14:paraId="1DEDF034">
            <w:pPr>
              <w:pStyle w:val="3"/>
              <w:rPr>
                <w:rFonts w:cs="宋体"/>
                <w:bCs/>
                <w:spacing w:val="-10"/>
              </w:rPr>
            </w:pPr>
          </w:p>
          <w:p w14:paraId="7A510669">
            <w:pPr>
              <w:ind w:firstLine="440"/>
              <w:rPr>
                <w:rFonts w:cs="宋体"/>
                <w:bCs/>
                <w:spacing w:val="-10"/>
              </w:rPr>
            </w:pPr>
          </w:p>
          <w:p w14:paraId="3362AD2C">
            <w:pPr>
              <w:pStyle w:val="2"/>
              <w:ind w:firstLine="440"/>
              <w:rPr>
                <w:rFonts w:cs="宋体"/>
                <w:bCs/>
                <w:spacing w:val="-10"/>
              </w:rPr>
            </w:pPr>
          </w:p>
          <w:p w14:paraId="4B1560C2">
            <w:pPr>
              <w:pStyle w:val="3"/>
              <w:rPr>
                <w:rFonts w:cs="宋体"/>
                <w:bCs/>
                <w:spacing w:val="-10"/>
              </w:rPr>
            </w:pPr>
          </w:p>
          <w:p w14:paraId="13AE7A9A">
            <w:pPr>
              <w:ind w:firstLine="440"/>
              <w:rPr>
                <w:rFonts w:cs="宋体"/>
                <w:bCs/>
                <w:spacing w:val="-10"/>
              </w:rPr>
            </w:pPr>
          </w:p>
          <w:p w14:paraId="7E766A8C">
            <w:pPr>
              <w:pStyle w:val="2"/>
              <w:ind w:firstLine="440"/>
              <w:rPr>
                <w:rFonts w:cs="宋体"/>
                <w:bCs/>
                <w:spacing w:val="-10"/>
              </w:rPr>
            </w:pPr>
          </w:p>
          <w:p w14:paraId="50C866E4">
            <w:pPr>
              <w:pStyle w:val="3"/>
              <w:rPr>
                <w:rFonts w:cs="宋体"/>
                <w:bCs/>
                <w:spacing w:val="-10"/>
              </w:rPr>
            </w:pPr>
          </w:p>
          <w:p w14:paraId="5AA27DBD">
            <w:pPr>
              <w:ind w:firstLine="440"/>
              <w:rPr>
                <w:rFonts w:cs="宋体"/>
                <w:bCs/>
                <w:spacing w:val="-10"/>
              </w:rPr>
            </w:pPr>
          </w:p>
          <w:p w14:paraId="4BD86AD2">
            <w:pPr>
              <w:ind w:firstLine="0" w:firstLineChars="0"/>
              <w:rPr>
                <w:rFonts w:cs="宋体"/>
                <w:bCs/>
                <w:spacing w:val="-10"/>
              </w:rPr>
            </w:pPr>
          </w:p>
          <w:p w14:paraId="2B485752">
            <w:pPr>
              <w:pStyle w:val="2"/>
              <w:ind w:firstLine="480"/>
            </w:pPr>
          </w:p>
          <w:p w14:paraId="65FFA4CE">
            <w:pPr>
              <w:pStyle w:val="3"/>
            </w:pPr>
          </w:p>
          <w:p w14:paraId="11BF4383">
            <w:pPr>
              <w:ind w:firstLine="480"/>
            </w:pPr>
          </w:p>
          <w:p w14:paraId="29F72B97">
            <w:pPr>
              <w:pStyle w:val="3"/>
              <w:ind w:left="0"/>
              <w:jc w:val="both"/>
            </w:pPr>
          </w:p>
        </w:tc>
      </w:tr>
    </w:tbl>
    <w:p w14:paraId="6D5E9C01">
      <w:pPr>
        <w:ind w:firstLine="480"/>
        <w:sectPr>
          <w:pgSz w:w="12240" w:h="15840"/>
          <w:pgMar w:top="1440" w:right="1800" w:bottom="1440" w:left="1800" w:header="720" w:footer="720" w:gutter="0"/>
          <w:cols w:space="425" w:num="1"/>
          <w:docGrid w:type="lines" w:linePitch="312" w:charSpace="0"/>
        </w:sectPr>
      </w:pPr>
    </w:p>
    <w:p w14:paraId="498F5489">
      <w:pPr>
        <w:pStyle w:val="4"/>
        <w:numPr>
          <w:ilvl w:val="0"/>
          <w:numId w:val="10"/>
        </w:numPr>
        <w:ind w:firstLine="600"/>
        <w:jc w:val="center"/>
        <w:rPr>
          <w:b w:val="0"/>
          <w:bCs w:val="0"/>
          <w:color w:val="auto"/>
        </w:rPr>
      </w:pPr>
      <w:bookmarkStart w:id="15" w:name="_Toc17579"/>
      <w:bookmarkStart w:id="16" w:name="_Toc27856"/>
      <w:r>
        <w:rPr>
          <w:rFonts w:hint="eastAsia"/>
          <w:b w:val="0"/>
          <w:bCs w:val="0"/>
          <w:color w:val="auto"/>
        </w:rPr>
        <w:t>主要环境影响和保护措施</w:t>
      </w:r>
      <w:bookmarkEnd w:id="15"/>
      <w:bookmarkEnd w:id="16"/>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8"/>
        <w:gridCol w:w="8468"/>
      </w:tblGrid>
      <w:tr w14:paraId="2F2D2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dxa"/>
            <w:vAlign w:val="center"/>
          </w:tcPr>
          <w:p w14:paraId="69231382">
            <w:pPr>
              <w:spacing w:line="240" w:lineRule="auto"/>
              <w:ind w:firstLine="0" w:firstLineChars="0"/>
              <w:jc w:val="center"/>
            </w:pPr>
            <w:r>
              <w:rPr>
                <w:rFonts w:hint="eastAsia"/>
                <w:sz w:val="21"/>
                <w:szCs w:val="21"/>
              </w:rPr>
              <w:t>施工期环境保护措施</w:t>
            </w:r>
          </w:p>
        </w:tc>
        <w:tc>
          <w:tcPr>
            <w:tcW w:w="8468" w:type="dxa"/>
          </w:tcPr>
          <w:p w14:paraId="683A48CF">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施工内容主要为土地开挖、构筑物建设、设备安装等，产生的污染物主要有施工扬尘、噪声、施工废水和固废等</w:t>
            </w:r>
            <w:r>
              <w:rPr>
                <w:color w:val="000000" w:themeColor="text1"/>
                <w14:textFill>
                  <w14:solidFill>
                    <w14:schemeClr w14:val="tx1"/>
                  </w14:solidFill>
                </w14:textFill>
              </w:rPr>
              <w:t>。</w:t>
            </w:r>
          </w:p>
          <w:p w14:paraId="11E67DFB">
            <w:pPr>
              <w:ind w:firstLine="0" w:firstLineChars="0"/>
              <w:rPr>
                <w:b/>
                <w:bCs/>
              </w:rPr>
            </w:pPr>
            <w:r>
              <w:rPr>
                <w:rFonts w:hint="eastAsia"/>
                <w:b/>
                <w:bCs/>
              </w:rPr>
              <w:t>1、大气环境保护措施</w:t>
            </w:r>
          </w:p>
          <w:p w14:paraId="15343224">
            <w:pPr>
              <w:ind w:firstLine="480"/>
              <w:rPr>
                <w:color w:val="000000"/>
              </w:rPr>
            </w:pPr>
            <w:r>
              <w:rPr>
                <w:rFonts w:hint="eastAsia"/>
                <w:color w:val="000000"/>
              </w:rPr>
              <w:t>施工期主要大气污染物为扬尘和焊接烟气。扬尘主要是地表开挖，材料的运输、堆放过程中产生，扬尘产生量与当地的风速、施工方法的选用、施工管理水平有关；焊接烟尘在钢结构焊接过程产生。</w:t>
            </w:r>
          </w:p>
          <w:p w14:paraId="3DC1B6C8">
            <w:pPr>
              <w:ind w:firstLine="480"/>
              <w:rPr>
                <w:color w:val="000000"/>
              </w:rPr>
            </w:pPr>
            <w:r>
              <w:rPr>
                <w:rFonts w:hint="eastAsia"/>
                <w:color w:val="000000"/>
              </w:rPr>
              <w:t>（1）施工扬尘防治措施</w:t>
            </w:r>
          </w:p>
          <w:p w14:paraId="211DEC99">
            <w:pPr>
              <w:ind w:firstLine="480"/>
              <w:rPr>
                <w:color w:val="000000"/>
              </w:rPr>
            </w:pPr>
            <w:r>
              <w:rPr>
                <w:rFonts w:hint="eastAsia"/>
                <w:color w:val="000000"/>
              </w:rPr>
              <w:t>①</w:t>
            </w:r>
            <w:r>
              <w:rPr>
                <w:color w:val="000000"/>
              </w:rPr>
              <w:t>施工场地定期洒水，以有效防止扬尘，在风速大于四级风速气象条件下加大洒水量及</w:t>
            </w:r>
            <w:r>
              <w:rPr>
                <w:rFonts w:hint="eastAsia"/>
                <w:color w:val="000000"/>
              </w:rPr>
              <w:t>洒水</w:t>
            </w:r>
            <w:r>
              <w:rPr>
                <w:color w:val="000000"/>
              </w:rPr>
              <w:t>频次；</w:t>
            </w:r>
          </w:p>
          <w:p w14:paraId="6BBE8BCB">
            <w:pPr>
              <w:ind w:firstLine="480"/>
              <w:rPr>
                <w:color w:val="000000"/>
              </w:rPr>
            </w:pPr>
            <w:r>
              <w:rPr>
                <w:rFonts w:hint="eastAsia"/>
                <w:color w:val="000000"/>
              </w:rPr>
              <w:t>②</w:t>
            </w:r>
            <w:r>
              <w:rPr>
                <w:color w:val="000000"/>
              </w:rPr>
              <w:t>施工建筑材料定点堆放，在大风天气对散料堆场采用水喷淋防尘，并用蓬布遮盖建筑材料，尽量按量购进建筑材料，避免在场内长时间堆放；</w:t>
            </w:r>
          </w:p>
          <w:p w14:paraId="71F0B43C">
            <w:pPr>
              <w:ind w:firstLine="480"/>
              <w:rPr>
                <w:color w:val="000000"/>
              </w:rPr>
            </w:pPr>
            <w:r>
              <w:rPr>
                <w:rFonts w:hint="eastAsia"/>
                <w:color w:val="000000"/>
              </w:rPr>
              <w:t>③</w:t>
            </w:r>
            <w:r>
              <w:rPr>
                <w:color w:val="000000"/>
              </w:rPr>
              <w:t>施工场地清理阶段做到先洒水，后清扫，施工后期建筑垃圾及时清理；</w:t>
            </w:r>
          </w:p>
          <w:p w14:paraId="42620677">
            <w:pPr>
              <w:ind w:firstLine="480"/>
              <w:rPr>
                <w:color w:val="000000"/>
              </w:rPr>
            </w:pPr>
            <w:r>
              <w:rPr>
                <w:rFonts w:hint="eastAsia"/>
                <w:color w:val="000000"/>
              </w:rPr>
              <w:t>④</w:t>
            </w:r>
            <w:r>
              <w:rPr>
                <w:rFonts w:hint="eastAsia"/>
              </w:rPr>
              <w:t>运输车辆进入施工场地限速行驶，采用封闭车斗，车斗用</w:t>
            </w:r>
            <w:r>
              <w:t>蓬布</w:t>
            </w:r>
            <w:r>
              <w:rPr>
                <w:rFonts w:hint="eastAsia"/>
              </w:rPr>
              <w:t>遮盖严实，有效减少扬尘产生量</w:t>
            </w:r>
            <w:r>
              <w:rPr>
                <w:color w:val="000000"/>
              </w:rPr>
              <w:t>；</w:t>
            </w:r>
          </w:p>
          <w:p w14:paraId="1AB6A79C">
            <w:pPr>
              <w:pStyle w:val="69"/>
              <w:spacing w:line="360" w:lineRule="auto"/>
              <w:ind w:firstLine="480" w:firstLineChars="200"/>
              <w:rPr>
                <w:color w:val="000000"/>
                <w:sz w:val="24"/>
              </w:rPr>
            </w:pPr>
            <w:r>
              <w:rPr>
                <w:rFonts w:hint="eastAsia"/>
                <w:color w:val="000000"/>
                <w:sz w:val="24"/>
              </w:rPr>
              <w:t>⑤</w:t>
            </w:r>
            <w:r>
              <w:rPr>
                <w:color w:val="000000"/>
                <w:sz w:val="24"/>
              </w:rPr>
              <w:t>在施工中合理组织施工，缩短施工时间，尽量减少施工污染。</w:t>
            </w:r>
          </w:p>
          <w:p w14:paraId="18D474B7">
            <w:pPr>
              <w:pStyle w:val="69"/>
              <w:spacing w:line="360" w:lineRule="auto"/>
              <w:ind w:firstLine="480" w:firstLineChars="200"/>
              <w:rPr>
                <w:color w:val="000000"/>
                <w:sz w:val="24"/>
              </w:rPr>
            </w:pPr>
            <w:r>
              <w:rPr>
                <w:rFonts w:hint="eastAsia"/>
                <w:color w:val="000000"/>
                <w:sz w:val="24"/>
              </w:rPr>
              <w:t>（2）</w:t>
            </w:r>
            <w:r>
              <w:rPr>
                <w:color w:val="000000"/>
                <w:sz w:val="24"/>
              </w:rPr>
              <w:t>焊接废气防治措施</w:t>
            </w:r>
          </w:p>
          <w:p w14:paraId="4438EC15">
            <w:pPr>
              <w:pStyle w:val="69"/>
              <w:spacing w:line="360" w:lineRule="auto"/>
              <w:ind w:firstLine="480" w:firstLineChars="200"/>
              <w:rPr>
                <w:color w:val="000000"/>
                <w:kern w:val="0"/>
                <w:sz w:val="24"/>
                <w:szCs w:val="24"/>
              </w:rPr>
            </w:pPr>
            <w:r>
              <w:rPr>
                <w:color w:val="000000"/>
                <w:kern w:val="0"/>
                <w:sz w:val="24"/>
                <w:szCs w:val="24"/>
              </w:rPr>
              <w:t>项目钢结构安装过程中需要进行焊接，焊接过程会产生焊接烟尘，呈无组织排放。通过采用合格的焊条进行焊接，减少焊接烟尘的产生。</w:t>
            </w:r>
          </w:p>
          <w:p w14:paraId="11FDE06B">
            <w:pPr>
              <w:ind w:firstLine="480"/>
            </w:pPr>
            <w:r>
              <w:rPr>
                <w:rFonts w:hint="eastAsia"/>
              </w:rPr>
              <w:t>采取上述措施后，项目施工期产生废气污染物对环境的影响较小。</w:t>
            </w:r>
          </w:p>
          <w:p w14:paraId="003829E7">
            <w:pPr>
              <w:ind w:firstLine="0" w:firstLineChars="0"/>
              <w:rPr>
                <w:b/>
                <w:bCs/>
              </w:rPr>
            </w:pPr>
            <w:r>
              <w:rPr>
                <w:rFonts w:hint="eastAsia"/>
                <w:b/>
                <w:bCs/>
              </w:rPr>
              <w:t>2、</w:t>
            </w:r>
            <w:r>
              <w:rPr>
                <w:b/>
                <w:bCs/>
              </w:rPr>
              <w:t>水环境</w:t>
            </w:r>
            <w:r>
              <w:rPr>
                <w:rFonts w:hint="eastAsia"/>
                <w:b/>
                <w:bCs/>
              </w:rPr>
              <w:t>保护</w:t>
            </w:r>
            <w:r>
              <w:rPr>
                <w:b/>
                <w:bCs/>
              </w:rPr>
              <w:t>措施</w:t>
            </w:r>
          </w:p>
          <w:p w14:paraId="128F4A0B">
            <w:pPr>
              <w:ind w:firstLine="480"/>
              <w:rPr>
                <w:color w:val="000000"/>
              </w:rPr>
            </w:pPr>
            <w:r>
              <w:rPr>
                <w:rFonts w:hint="eastAsia"/>
                <w:color w:val="000000"/>
              </w:rPr>
              <w:t>（1）施工废水</w:t>
            </w:r>
          </w:p>
          <w:p w14:paraId="2AF91B63">
            <w:pPr>
              <w:ind w:firstLine="480"/>
              <w:rPr>
                <w:color w:val="000000"/>
              </w:rPr>
            </w:pPr>
            <w:r>
              <w:rPr>
                <w:rFonts w:hint="eastAsia"/>
                <w:color w:val="000000"/>
              </w:rPr>
              <w:t>施工废水主要为施工场内施工机械清洗废水，废水不含有毒物质，主要是泥沙悬浮物含量较大。拟建废水沉淀池，施工废水经沉淀处理后回用于场地降尘，不外排，避免施工废水对周围地表水造成影响。</w:t>
            </w:r>
          </w:p>
          <w:p w14:paraId="454C4CD2">
            <w:pPr>
              <w:ind w:firstLine="480"/>
            </w:pPr>
            <w:r>
              <w:rPr>
                <w:rFonts w:hint="eastAsia"/>
              </w:rPr>
              <w:t>（2）生活污水</w:t>
            </w:r>
          </w:p>
          <w:p w14:paraId="04677647">
            <w:pPr>
              <w:ind w:firstLine="480"/>
            </w:pPr>
            <w:r>
              <w:rPr>
                <w:rFonts w:hint="eastAsia"/>
              </w:rPr>
              <w:t>项目</w:t>
            </w:r>
            <w:r>
              <w:t>施工人员</w:t>
            </w:r>
            <w:r>
              <w:rPr>
                <w:rFonts w:hint="eastAsia"/>
              </w:rPr>
              <w:t>平均为20人/d，施工人员租用附近的民房，不设施工营地。</w:t>
            </w:r>
            <w:r>
              <w:rPr>
                <w:kern w:val="0"/>
              </w:rPr>
              <w:t>施工人员洗手废水</w:t>
            </w:r>
            <w:r>
              <w:rPr>
                <w:rFonts w:hint="eastAsia"/>
              </w:rPr>
              <w:t>用桶收集后用于场地洒水抑尘，不外排。</w:t>
            </w:r>
          </w:p>
          <w:p w14:paraId="3F612FC5">
            <w:pPr>
              <w:ind w:firstLine="0" w:firstLineChars="0"/>
              <w:rPr>
                <w:b/>
                <w:bCs/>
              </w:rPr>
            </w:pPr>
            <w:r>
              <w:rPr>
                <w:rFonts w:hint="eastAsia"/>
                <w:b/>
                <w:bCs/>
              </w:rPr>
              <w:t>3、声环境保护措施</w:t>
            </w:r>
          </w:p>
          <w:p w14:paraId="6812B5E7">
            <w:pPr>
              <w:ind w:firstLine="480"/>
              <w:rPr>
                <w:color w:val="000000"/>
              </w:rPr>
            </w:pPr>
            <w:r>
              <w:rPr>
                <w:rFonts w:hint="eastAsia"/>
                <w:color w:val="000000"/>
              </w:rPr>
              <w:t>施工期噪声主要来源于施工机械和运输车辆。施工机械产生的噪声与各施工阶段所使用的机械类型、数量有关，主要使用吊车、升降机、电焊机、切割机和电钻等。在各类施工机械中，噪声较高的为电钻、电锯、卡车等，其声级在80dB以上，为间歇性产生。</w:t>
            </w:r>
          </w:p>
          <w:p w14:paraId="785CFE89">
            <w:pPr>
              <w:ind w:firstLine="480"/>
              <w:rPr>
                <w:color w:val="000000"/>
              </w:rPr>
            </w:pPr>
            <w:r>
              <w:rPr>
                <w:rFonts w:hint="eastAsia"/>
                <w:color w:val="000000"/>
              </w:rPr>
              <w:t>为减轻施工噪声的影响，项目拟采取的对策措施如下：</w:t>
            </w:r>
          </w:p>
          <w:p w14:paraId="0B6AD9A2">
            <w:pPr>
              <w:ind w:firstLine="480"/>
              <w:rPr>
                <w:color w:val="000000"/>
              </w:rPr>
            </w:pPr>
            <w:r>
              <w:rPr>
                <w:rFonts w:hint="eastAsia"/>
                <w:color w:val="000000"/>
              </w:rPr>
              <w:t>（1）施工机械设备应选用低噪声机械设备，在施工过程中施工单位应设专人对设备进行定期保养和维护，并负责对现场工作人员进行培训，严格按操作规范使用各类机械，采用低噪声的工艺、文明施工；</w:t>
            </w:r>
          </w:p>
          <w:p w14:paraId="1CD2384A">
            <w:pPr>
              <w:ind w:firstLine="480"/>
              <w:rPr>
                <w:color w:val="000000"/>
              </w:rPr>
            </w:pPr>
            <w:r>
              <w:rPr>
                <w:rFonts w:hint="eastAsia"/>
                <w:color w:val="000000"/>
              </w:rPr>
              <w:t>（2）建材及设备运输线路选择应避开声环境敏感目标，车辆经过敏感区时应减速，禁止鸣笛，减小建筑材料及设备运输对沿线敏感目标的影响；</w:t>
            </w:r>
          </w:p>
          <w:p w14:paraId="4FDED01F">
            <w:pPr>
              <w:ind w:firstLine="480"/>
            </w:pPr>
            <w:r>
              <w:rPr>
                <w:rFonts w:hint="eastAsia"/>
                <w:color w:val="000000"/>
              </w:rPr>
              <w:t>（3）合理安排施工时间，禁止施工车辆和设备夜间运行。</w:t>
            </w:r>
          </w:p>
          <w:p w14:paraId="31B1BEAA">
            <w:pPr>
              <w:ind w:firstLine="480"/>
            </w:pPr>
            <w:r>
              <w:rPr>
                <w:rFonts w:hint="eastAsia"/>
              </w:rPr>
              <w:t>（4）合理布局施工场地，避免在同一地点安装大量动力机械设备，以避免局部声级过高。</w:t>
            </w:r>
          </w:p>
          <w:p w14:paraId="6AFEA75A">
            <w:pPr>
              <w:ind w:firstLine="480" w:firstLineChars="200"/>
              <w:rPr>
                <w:rFonts w:hint="eastAsia" w:eastAsia="Times New Roman"/>
                <w:color w:val="FF0000"/>
                <w:kern w:val="0"/>
              </w:rPr>
            </w:pPr>
            <w:r>
              <w:rPr>
                <w:rFonts w:hint="eastAsia"/>
              </w:rPr>
              <w:t>通过采取相应的环保措施后，项目施工对周边声环境影响可以得到有效控制，措施可行。</w:t>
            </w:r>
            <w:r>
              <w:rPr>
                <w:rFonts w:hint="eastAsia"/>
                <w:lang w:val="en-US" w:eastAsia="zh-CN"/>
              </w:rPr>
              <w:t>且项目周边50m范围无声环境保护目标，施工噪声对周边声环境影响不大</w:t>
            </w:r>
            <w:r>
              <w:rPr>
                <w:rFonts w:hint="eastAsia"/>
              </w:rPr>
              <w:t>。</w:t>
            </w:r>
          </w:p>
          <w:p w14:paraId="03E84951">
            <w:pPr>
              <w:ind w:firstLine="0" w:firstLineChars="0"/>
              <w:rPr>
                <w:b/>
                <w:bCs/>
              </w:rPr>
            </w:pPr>
            <w:r>
              <w:rPr>
                <w:rFonts w:hint="eastAsia"/>
                <w:b/>
                <w:bCs/>
              </w:rPr>
              <w:t>4、固体环境保护措施</w:t>
            </w:r>
          </w:p>
          <w:p w14:paraId="21EF3863">
            <w:pPr>
              <w:ind w:firstLine="480"/>
              <w:rPr>
                <w:color w:val="000000"/>
              </w:rPr>
            </w:pPr>
            <w:r>
              <w:rPr>
                <w:rFonts w:hint="eastAsia"/>
                <w:color w:val="000000"/>
              </w:rPr>
              <w:t>项目施工期产生的固体废弃物主要包括开挖土石方、废钢材、废包装材料和施工人员产生的生活垃圾。</w:t>
            </w:r>
          </w:p>
          <w:p w14:paraId="542D8390">
            <w:pPr>
              <w:numPr>
                <w:ilvl w:val="0"/>
                <w:numId w:val="11"/>
              </w:numPr>
              <w:ind w:firstLine="360" w:firstLineChars="150"/>
              <w:rPr>
                <w:color w:val="000000"/>
              </w:rPr>
            </w:pPr>
            <w:r>
              <w:rPr>
                <w:rFonts w:hint="eastAsia"/>
                <w:color w:val="000000"/>
              </w:rPr>
              <w:t>开挖的土石方在场地内回填和综合利用；</w:t>
            </w:r>
          </w:p>
          <w:p w14:paraId="4E16A3A1">
            <w:pPr>
              <w:numPr>
                <w:ilvl w:val="0"/>
                <w:numId w:val="11"/>
              </w:numPr>
              <w:ind w:firstLine="360" w:firstLineChars="150"/>
              <w:rPr>
                <w:color w:val="000000"/>
              </w:rPr>
            </w:pPr>
            <w:r>
              <w:rPr>
                <w:rFonts w:hint="eastAsia"/>
                <w:color w:val="000000"/>
              </w:rPr>
              <w:t>废钢材和废包装材料等可回收物品集中收集后外售；</w:t>
            </w:r>
          </w:p>
          <w:p w14:paraId="5EA2C0CE">
            <w:pPr>
              <w:ind w:firstLine="480"/>
            </w:pPr>
            <w:r>
              <w:rPr>
                <w:color w:val="000000"/>
              </w:rPr>
              <w:t>施工人员产生的</w:t>
            </w:r>
            <w:r>
              <w:rPr>
                <w:rFonts w:hint="eastAsia"/>
                <w:color w:val="000000"/>
              </w:rPr>
              <w:t>生活垃圾使用塑料袋和塑料桶进行收集，委托环卫部门清运处置。</w:t>
            </w:r>
          </w:p>
          <w:p w14:paraId="16068905">
            <w:pPr>
              <w:pStyle w:val="70"/>
              <w:spacing w:line="360" w:lineRule="auto"/>
              <w:ind w:firstLine="0" w:firstLineChars="0"/>
              <w:rPr>
                <w:rFonts w:ascii="Times New Roman" w:hAnsi="Times New Roman"/>
                <w:b/>
                <w:sz w:val="24"/>
                <w:szCs w:val="24"/>
              </w:rPr>
            </w:pPr>
            <w:r>
              <w:rPr>
                <w:rFonts w:hint="eastAsia" w:ascii="Times New Roman" w:hAnsi="Times New Roman"/>
                <w:b/>
                <w:sz w:val="24"/>
                <w:szCs w:val="24"/>
              </w:rPr>
              <w:t>5、生态影响分析</w:t>
            </w:r>
          </w:p>
          <w:p w14:paraId="56419193">
            <w:pPr>
              <w:widowControl/>
              <w:adjustRightInd w:val="0"/>
              <w:snapToGrid w:val="0"/>
              <w:ind w:firstLine="480"/>
              <w:jc w:val="left"/>
            </w:pPr>
            <w:r>
              <w:rPr>
                <w:rFonts w:hint="eastAsia"/>
                <w:bCs/>
              </w:rPr>
              <w:t>（1）</w:t>
            </w:r>
            <w:r>
              <w:rPr>
                <w:kern w:val="0"/>
              </w:rPr>
              <w:t>对植被和植物资源的影响分析</w:t>
            </w:r>
          </w:p>
          <w:p w14:paraId="5D57F9B4">
            <w:pPr>
              <w:widowControl/>
              <w:adjustRightInd w:val="0"/>
              <w:snapToGrid w:val="0"/>
              <w:ind w:firstLine="480"/>
              <w:jc w:val="left"/>
              <w:rPr>
                <w:kern w:val="0"/>
              </w:rPr>
            </w:pPr>
            <w:r>
              <w:rPr>
                <w:kern w:val="0"/>
              </w:rPr>
              <w:t>本项目对植被和植物资源的影响主要体现在</w:t>
            </w:r>
            <w:r>
              <w:t>原料仓库、</w:t>
            </w:r>
            <w:r>
              <w:rPr>
                <w:rFonts w:hint="eastAsia"/>
                <w:bCs/>
              </w:rPr>
              <w:t>一</w:t>
            </w:r>
            <w:r>
              <w:rPr>
                <w:bCs/>
              </w:rPr>
              <w:t>条生产线占地区域</w:t>
            </w:r>
            <w:r>
              <w:rPr>
                <w:kern w:val="0"/>
              </w:rPr>
              <w:t>场地平整和表土剥离对植被的破坏。项目占用土地的地表植被较少，且占地面积较小，破坏的植被资源有限。</w:t>
            </w:r>
          </w:p>
          <w:p w14:paraId="1D410843">
            <w:pPr>
              <w:widowControl/>
              <w:adjustRightInd w:val="0"/>
              <w:snapToGrid w:val="0"/>
              <w:ind w:firstLine="480"/>
              <w:jc w:val="left"/>
            </w:pPr>
            <w:r>
              <w:rPr>
                <w:kern w:val="0"/>
              </w:rPr>
              <w:t>项目区内植物群落结构简单，生物多样性贫乏，组成植物种类多是一些常见种、广布种，项目占地面积较小，这些植被类型均是项目周边区域广泛分布的植被类型，项目占地不会造成该区域任何植被类型的濒危和消失，对该区域整体的生态系统功能影响有限，在可接受范围内。</w:t>
            </w:r>
          </w:p>
          <w:p w14:paraId="60E2F6DE">
            <w:pPr>
              <w:widowControl/>
              <w:adjustRightInd w:val="0"/>
              <w:snapToGrid w:val="0"/>
              <w:ind w:firstLine="480"/>
              <w:jc w:val="left"/>
            </w:pPr>
            <w:r>
              <w:rPr>
                <w:rFonts w:hint="eastAsia"/>
                <w:kern w:val="0"/>
              </w:rPr>
              <w:t>（2）</w:t>
            </w:r>
            <w:r>
              <w:rPr>
                <w:kern w:val="0"/>
              </w:rPr>
              <w:t>对野生动物的影响分析</w:t>
            </w:r>
          </w:p>
          <w:p w14:paraId="0F181F7C">
            <w:pPr>
              <w:ind w:firstLine="480"/>
              <w:rPr>
                <w:kern w:val="0"/>
              </w:rPr>
            </w:pPr>
            <w:r>
              <w:rPr>
                <w:kern w:val="0"/>
              </w:rPr>
              <w:t>由于</w:t>
            </w:r>
            <w:r>
              <w:rPr>
                <w:rFonts w:hint="eastAsia"/>
                <w:kern w:val="0"/>
              </w:rPr>
              <w:t>项目</w:t>
            </w:r>
            <w:r>
              <w:rPr>
                <w:kern w:val="0"/>
              </w:rPr>
              <w:t>区域</w:t>
            </w:r>
            <w:r>
              <w:rPr>
                <w:rFonts w:hint="eastAsia"/>
                <w:kern w:val="0"/>
              </w:rPr>
              <w:t>及周边</w:t>
            </w:r>
            <w:r>
              <w:rPr>
                <w:kern w:val="0"/>
              </w:rPr>
              <w:t>受人</w:t>
            </w:r>
            <w:r>
              <w:rPr>
                <w:rFonts w:hint="eastAsia"/>
                <w:kern w:val="0"/>
              </w:rPr>
              <w:t>类</w:t>
            </w:r>
            <w:r>
              <w:rPr>
                <w:kern w:val="0"/>
              </w:rPr>
              <w:t>活动频繁的影响，野生动物适宜生境很少</w:t>
            </w:r>
            <w:r>
              <w:rPr>
                <w:rFonts w:hint="eastAsia"/>
                <w:kern w:val="0"/>
              </w:rPr>
              <w:t>，</w:t>
            </w:r>
            <w:r>
              <w:rPr>
                <w:kern w:val="0"/>
              </w:rPr>
              <w:t>动物资源受到限制，种类不多，且种群数量较</w:t>
            </w:r>
            <w:r>
              <w:rPr>
                <w:rFonts w:hint="eastAsia"/>
                <w:kern w:val="0"/>
              </w:rPr>
              <w:t>少，</w:t>
            </w:r>
            <w:r>
              <w:t>仅有少量的麻雀、昆虫、鼠类等啮齿类动物等分布，无大型野生动物出没。</w:t>
            </w:r>
            <w:r>
              <w:rPr>
                <w:rFonts w:hint="eastAsia"/>
                <w:kern w:val="0"/>
              </w:rPr>
              <w:t>项目区周边</w:t>
            </w:r>
            <w:r>
              <w:rPr>
                <w:kern w:val="0"/>
              </w:rPr>
              <w:t>未发现有国家级、省级、市级重点保护野生动物分布，未发现有狭域特有种分布，亦不涉及野生动物的迁徙通道。野生动物具有趋避能力，可以通过迁徙移动到周边适宜生境</w:t>
            </w:r>
            <w:r>
              <w:rPr>
                <w:rFonts w:hint="eastAsia"/>
                <w:kern w:val="0"/>
              </w:rPr>
              <w:t>生活</w:t>
            </w:r>
            <w:r>
              <w:rPr>
                <w:kern w:val="0"/>
              </w:rPr>
              <w:t>。</w:t>
            </w:r>
            <w:r>
              <w:rPr>
                <w:rFonts w:hint="eastAsia"/>
                <w:kern w:val="0"/>
              </w:rPr>
              <w:t>项目</w:t>
            </w:r>
            <w:r>
              <w:rPr>
                <w:kern w:val="0"/>
              </w:rPr>
              <w:t>施工量较小，施工范围不大，因此</w:t>
            </w:r>
            <w:r>
              <w:rPr>
                <w:rFonts w:hint="eastAsia"/>
                <w:kern w:val="0"/>
              </w:rPr>
              <w:t>项目</w:t>
            </w:r>
            <w:r>
              <w:rPr>
                <w:kern w:val="0"/>
              </w:rPr>
              <w:t>建设活动不会造成野生动物数量明显减少，更不会造成野生动物物种消失。</w:t>
            </w:r>
          </w:p>
          <w:p w14:paraId="460204E1">
            <w:pPr>
              <w:ind w:firstLine="480"/>
              <w:rPr>
                <w:kern w:val="0"/>
              </w:rPr>
            </w:pPr>
          </w:p>
          <w:p w14:paraId="333749BA">
            <w:pPr>
              <w:ind w:firstLine="480"/>
              <w:rPr>
                <w:kern w:val="0"/>
              </w:rPr>
            </w:pPr>
          </w:p>
          <w:p w14:paraId="4972868F">
            <w:pPr>
              <w:ind w:firstLine="480"/>
              <w:rPr>
                <w:kern w:val="0"/>
              </w:rPr>
            </w:pPr>
          </w:p>
          <w:p w14:paraId="43F5FE42">
            <w:pPr>
              <w:ind w:firstLine="480"/>
              <w:rPr>
                <w:kern w:val="0"/>
              </w:rPr>
            </w:pPr>
          </w:p>
          <w:p w14:paraId="27EF9579">
            <w:pPr>
              <w:ind w:firstLine="480"/>
              <w:rPr>
                <w:kern w:val="0"/>
              </w:rPr>
            </w:pPr>
          </w:p>
          <w:p w14:paraId="7448892F">
            <w:pPr>
              <w:ind w:firstLine="480"/>
              <w:rPr>
                <w:kern w:val="0"/>
              </w:rPr>
            </w:pPr>
          </w:p>
          <w:p w14:paraId="55E1E9AC">
            <w:pPr>
              <w:ind w:firstLine="480"/>
              <w:rPr>
                <w:kern w:val="0"/>
              </w:rPr>
            </w:pPr>
          </w:p>
          <w:p w14:paraId="0B413F83">
            <w:pPr>
              <w:ind w:firstLine="480"/>
              <w:rPr>
                <w:kern w:val="0"/>
              </w:rPr>
            </w:pPr>
          </w:p>
          <w:p w14:paraId="49FD3BDC">
            <w:pPr>
              <w:ind w:firstLine="480"/>
              <w:rPr>
                <w:kern w:val="0"/>
              </w:rPr>
            </w:pPr>
          </w:p>
          <w:p w14:paraId="0A75F4B9">
            <w:pPr>
              <w:ind w:left="0" w:leftChars="0" w:firstLine="0" w:firstLineChars="0"/>
              <w:rPr>
                <w:kern w:val="0"/>
              </w:rPr>
            </w:pPr>
          </w:p>
        </w:tc>
      </w:tr>
    </w:tbl>
    <w:p w14:paraId="4DEF15DB">
      <w:pPr>
        <w:ind w:firstLine="480"/>
        <w:sectPr>
          <w:pgSz w:w="12240" w:h="15840"/>
          <w:pgMar w:top="1440" w:right="1800" w:bottom="1440" w:left="1800" w:header="720" w:footer="720" w:gutter="0"/>
          <w:cols w:space="425" w:num="1"/>
          <w:docGrid w:type="lines" w:linePitch="312" w:charSpace="0"/>
        </w:sectPr>
      </w:pP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0"/>
        <w:gridCol w:w="8486"/>
      </w:tblGrid>
      <w:tr w14:paraId="38D6C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0" w:type="dxa"/>
            <w:vAlign w:val="center"/>
          </w:tcPr>
          <w:p w14:paraId="7397ECDB">
            <w:pPr>
              <w:spacing w:line="240" w:lineRule="auto"/>
              <w:ind w:firstLine="0" w:firstLineChars="0"/>
              <w:jc w:val="center"/>
            </w:pPr>
            <w:r>
              <w:rPr>
                <w:sz w:val="21"/>
                <w:szCs w:val="21"/>
              </w:rPr>
              <w:t>运营期环境影响和保护措施</w:t>
            </w:r>
          </w:p>
        </w:tc>
        <w:tc>
          <w:tcPr>
            <w:tcW w:w="8486" w:type="dxa"/>
          </w:tcPr>
          <w:p w14:paraId="28FE1817">
            <w:pPr>
              <w:numPr>
                <w:ilvl w:val="0"/>
                <w:numId w:val="12"/>
              </w:numPr>
              <w:ind w:firstLine="0" w:firstLineChars="0"/>
              <w:rPr>
                <w:b/>
                <w:bCs/>
              </w:rPr>
            </w:pPr>
            <w:r>
              <w:rPr>
                <w:rFonts w:hint="eastAsia"/>
                <w:b/>
                <w:bCs/>
              </w:rPr>
              <w:t>废气</w:t>
            </w:r>
          </w:p>
          <w:p w14:paraId="72E3ACCA">
            <w:pPr>
              <w:ind w:firstLine="480" w:firstLineChars="0"/>
              <w:rPr>
                <w:bCs/>
                <w:color w:val="000000"/>
              </w:rPr>
            </w:pPr>
            <w:r>
              <w:rPr>
                <w:rFonts w:hint="eastAsia"/>
              </w:rPr>
              <w:t>根据大气专项评价结果，项目</w:t>
            </w:r>
            <w:r>
              <w:rPr>
                <w:bCs/>
                <w:szCs w:val="20"/>
              </w:rPr>
              <w:t>烘干滚筒燃烧器、烘干、振动筛分、提升和计量过程产生的废气，</w:t>
            </w:r>
            <w:r>
              <w:rPr>
                <w:rFonts w:hAnsi="宋体"/>
                <w:spacing w:val="-1"/>
              </w:rPr>
              <w:t>经密闭管道收集后通过布袋除尘器处理，通过一根</w:t>
            </w:r>
            <w:r>
              <w:rPr>
                <w:spacing w:val="-1"/>
              </w:rPr>
              <w:t>15m</w:t>
            </w:r>
            <w:r>
              <w:rPr>
                <w:rFonts w:hAnsi="宋体"/>
                <w:spacing w:val="-1"/>
              </w:rPr>
              <w:t>高的排气筒（</w:t>
            </w:r>
            <w:r>
              <w:rPr>
                <w:spacing w:val="-1"/>
              </w:rPr>
              <w:t>DA001</w:t>
            </w:r>
            <w:r>
              <w:rPr>
                <w:rFonts w:hAnsi="宋体"/>
                <w:spacing w:val="-1"/>
              </w:rPr>
              <w:t>）排放。污染物</w:t>
            </w:r>
            <w:r>
              <w:rPr>
                <w:spacing w:val="-1"/>
              </w:rPr>
              <w:t>SO</w:t>
            </w:r>
            <w:r>
              <w:rPr>
                <w:spacing w:val="-1"/>
                <w:vertAlign w:val="subscript"/>
              </w:rPr>
              <w:t>2</w:t>
            </w:r>
            <w:r>
              <w:rPr>
                <w:rFonts w:hAnsi="宋体"/>
                <w:spacing w:val="-1"/>
              </w:rPr>
              <w:t>排放浓度满足《工业炉窑大气污染物排放标准》（</w:t>
            </w:r>
            <w:r>
              <w:rPr>
                <w:spacing w:val="-1"/>
              </w:rPr>
              <w:t>GB9078-1996)</w:t>
            </w:r>
            <w:r>
              <w:rPr>
                <w:rFonts w:hAnsi="宋体"/>
                <w:spacing w:val="-1"/>
              </w:rPr>
              <w:t>中表</w:t>
            </w:r>
            <w:r>
              <w:rPr>
                <w:spacing w:val="-1"/>
              </w:rPr>
              <w:t>2</w:t>
            </w:r>
            <w:r>
              <w:rPr>
                <w:rFonts w:hAnsi="宋体"/>
                <w:spacing w:val="-1"/>
              </w:rPr>
              <w:t>干燥炉窑二级排放标准，颗粒物和</w:t>
            </w:r>
            <w:r>
              <w:rPr>
                <w:spacing w:val="-1"/>
              </w:rPr>
              <w:t>NO</w:t>
            </w:r>
            <w:r>
              <w:rPr>
                <w:spacing w:val="-1"/>
                <w:vertAlign w:val="subscript"/>
              </w:rPr>
              <w:t>X</w:t>
            </w:r>
            <w:r>
              <w:rPr>
                <w:rFonts w:hAnsi="宋体"/>
                <w:spacing w:val="-1"/>
              </w:rPr>
              <w:t>排放浓度及排放速率满足《大气污染物综合排放标准》（</w:t>
            </w:r>
            <w:r>
              <w:rPr>
                <w:spacing w:val="-1"/>
              </w:rPr>
              <w:t>GB16297-1996</w:t>
            </w:r>
            <w:r>
              <w:rPr>
                <w:rFonts w:hAnsi="宋体"/>
                <w:spacing w:val="-1"/>
              </w:rPr>
              <w:t>）二级标准限值</w:t>
            </w:r>
            <w:r>
              <w:rPr>
                <w:rFonts w:hint="eastAsia"/>
              </w:rPr>
              <w:t>；</w:t>
            </w:r>
            <w:r>
              <w:rPr>
                <w:rFonts w:hAnsi="宋体"/>
                <w:color w:val="000000"/>
              </w:rPr>
              <w:t>导热油炉使用柴油为燃料</w:t>
            </w:r>
            <w:r>
              <w:rPr>
                <w:spacing w:val="-1"/>
              </w:rPr>
              <w:t>，燃料燃烧产生的SO</w:t>
            </w:r>
            <w:r>
              <w:rPr>
                <w:spacing w:val="-1"/>
                <w:vertAlign w:val="subscript"/>
              </w:rPr>
              <w:t>2</w:t>
            </w:r>
            <w:r>
              <w:rPr>
                <w:spacing w:val="-1"/>
              </w:rPr>
              <w:t>、NO</w:t>
            </w:r>
            <w:r>
              <w:rPr>
                <w:spacing w:val="-1"/>
                <w:vertAlign w:val="subscript"/>
              </w:rPr>
              <w:t>X</w:t>
            </w:r>
            <w:r>
              <w:rPr>
                <w:spacing w:val="-1"/>
              </w:rPr>
              <w:t>和</w:t>
            </w:r>
            <w:r>
              <w:rPr>
                <w:rFonts w:hAnsi="宋体"/>
                <w:spacing w:val="-1"/>
              </w:rPr>
              <w:t>颗粒物</w:t>
            </w:r>
            <w:r>
              <w:rPr>
                <w:spacing w:val="-1"/>
              </w:rPr>
              <w:t>满足《锅炉大气污染物排放标准》(GB13271-2014)中新建锅炉大气污染物排放标准浓度限值，废气经一根1</w:t>
            </w:r>
            <w:r>
              <w:rPr>
                <w:rFonts w:hint="eastAsia"/>
                <w:spacing w:val="-1"/>
              </w:rPr>
              <w:t>5</w:t>
            </w:r>
            <w:r>
              <w:rPr>
                <w:spacing w:val="-1"/>
              </w:rPr>
              <w:t>m高的排气筒（DA00</w:t>
            </w:r>
            <w:r>
              <w:rPr>
                <w:rFonts w:hint="eastAsia"/>
                <w:spacing w:val="-1"/>
              </w:rPr>
              <w:t>2</w:t>
            </w:r>
            <w:r>
              <w:rPr>
                <w:spacing w:val="-1"/>
              </w:rPr>
              <w:t>）排入外环境</w:t>
            </w:r>
            <w:r>
              <w:rPr>
                <w:rFonts w:hint="eastAsia"/>
                <w:spacing w:val="-1"/>
              </w:rPr>
              <w:t>；</w:t>
            </w:r>
            <w:r>
              <w:rPr>
                <w:spacing w:val="-1"/>
              </w:rPr>
              <w:t>沥青储罐及搅拌缸均</w:t>
            </w:r>
            <w:r>
              <w:rPr>
                <w:rFonts w:hAnsi="宋体"/>
                <w:spacing w:val="-1"/>
              </w:rPr>
              <w:t>为密封装置，</w:t>
            </w:r>
            <w:r>
              <w:rPr>
                <w:rFonts w:hint="eastAsia" w:hAnsi="宋体"/>
                <w:spacing w:val="-1"/>
              </w:rPr>
              <w:t>搅拌缸</w:t>
            </w:r>
            <w:r>
              <w:rPr>
                <w:rFonts w:hAnsi="宋体"/>
                <w:color w:val="000000"/>
              </w:rPr>
              <w:t>出料口设置感应式卷帘门，成品出料时全封闭作业，</w:t>
            </w:r>
            <w:r>
              <w:rPr>
                <w:rFonts w:hint="eastAsia" w:hAnsi="宋体"/>
                <w:color w:val="000000"/>
              </w:rPr>
              <w:t>微负压</w:t>
            </w:r>
            <w:r>
              <w:rPr>
                <w:rFonts w:hAnsi="宋体"/>
                <w:color w:val="000000"/>
              </w:rPr>
              <w:t>收集出料废气。</w:t>
            </w:r>
            <w:r>
              <w:rPr>
                <w:rFonts w:hAnsi="宋体"/>
                <w:spacing w:val="-1"/>
              </w:rPr>
              <w:t>沥青罐</w:t>
            </w:r>
            <w:r>
              <w:rPr>
                <w:spacing w:val="-1"/>
              </w:rPr>
              <w:t>呼吸、搅拌成品出料废气经收集后进入电捕焦油器+</w:t>
            </w:r>
            <w:r>
              <w:rPr>
                <w:rFonts w:hAnsi="宋体"/>
                <w:color w:val="000000"/>
              </w:rPr>
              <w:t>三级活性炭吸附装置处理，通过一根</w:t>
            </w:r>
            <w:r>
              <w:rPr>
                <w:color w:val="000000"/>
              </w:rPr>
              <w:t>15m</w:t>
            </w:r>
            <w:r>
              <w:rPr>
                <w:rFonts w:hAnsi="宋体"/>
                <w:color w:val="000000"/>
              </w:rPr>
              <w:t>高的排气筒（</w:t>
            </w:r>
            <w:r>
              <w:rPr>
                <w:color w:val="000000"/>
              </w:rPr>
              <w:t>DA003</w:t>
            </w:r>
            <w:r>
              <w:rPr>
                <w:rFonts w:hAnsi="宋体"/>
                <w:color w:val="000000"/>
              </w:rPr>
              <w:t>）排放，沥青烟、苯并</w:t>
            </w:r>
            <w:r>
              <w:rPr>
                <w:color w:val="000000"/>
              </w:rPr>
              <w:t>[a]</w:t>
            </w:r>
            <w:r>
              <w:rPr>
                <w:rFonts w:hAnsi="宋体"/>
                <w:color w:val="000000"/>
              </w:rPr>
              <w:t>芘和非甲烷总烃的排放浓度及排放速率满足《大气污染物综合排放标准》（</w:t>
            </w:r>
            <w:r>
              <w:rPr>
                <w:color w:val="000000"/>
              </w:rPr>
              <w:t>GB16297-1996</w:t>
            </w:r>
            <w:r>
              <w:rPr>
                <w:rFonts w:hAnsi="宋体"/>
                <w:color w:val="000000"/>
              </w:rPr>
              <w:t>）表</w:t>
            </w:r>
            <w:r>
              <w:rPr>
                <w:rFonts w:hint="eastAsia" w:hAnsi="宋体"/>
                <w:color w:val="000000"/>
              </w:rPr>
              <w:t>2二级标准</w:t>
            </w:r>
            <w:r>
              <w:rPr>
                <w:rFonts w:hAnsi="宋体"/>
                <w:color w:val="000000"/>
              </w:rPr>
              <w:t>排放限值</w:t>
            </w:r>
            <w:r>
              <w:rPr>
                <w:rFonts w:hint="eastAsia" w:hAnsi="宋体"/>
                <w:color w:val="000000"/>
              </w:rPr>
              <w:t>；</w:t>
            </w:r>
            <w:r>
              <w:rPr>
                <w:bCs/>
              </w:rPr>
              <w:t>原料仓砂石骨料卸料、堆存、装载机输送上料粉尘</w:t>
            </w:r>
            <w:r>
              <w:rPr>
                <w:rFonts w:hint="eastAsia"/>
                <w:spacing w:val="-1"/>
              </w:rPr>
              <w:t>通过采取原料仓三面封闭并设置顶棚，仓内设有水喷淋装置，在卸料、物料装载机转移和上料过程进行喷淋降尘，保持物料表面微湿</w:t>
            </w:r>
            <w:r>
              <w:rPr>
                <w:spacing w:val="-1"/>
              </w:rPr>
              <w:t>；</w:t>
            </w:r>
            <w:r>
              <w:rPr>
                <w:rFonts w:hint="eastAsia"/>
                <w:spacing w:val="-1"/>
              </w:rPr>
              <w:t>厂区进行水泥道路地面硬化，每天2次定期清扫路面及洒水降尘。</w:t>
            </w:r>
            <w:r>
              <w:rPr>
                <w:bCs/>
              </w:rPr>
              <w:t>参考</w:t>
            </w:r>
            <w:r>
              <w:t>AERSCREEN模式计算</w:t>
            </w:r>
            <w:r>
              <w:rPr>
                <w:bCs/>
              </w:rPr>
              <w:t>结果，</w:t>
            </w:r>
            <w:r>
              <w:rPr>
                <w:rFonts w:hint="eastAsia"/>
                <w:bCs/>
              </w:rPr>
              <w:t>TSP、</w:t>
            </w:r>
            <w:r>
              <w:rPr>
                <w:rFonts w:hAnsi="宋体"/>
                <w:color w:val="000000"/>
              </w:rPr>
              <w:t>苯并</w:t>
            </w:r>
            <w:r>
              <w:rPr>
                <w:color w:val="000000"/>
              </w:rPr>
              <w:t>[a]</w:t>
            </w:r>
            <w:r>
              <w:rPr>
                <w:rFonts w:hAnsi="宋体"/>
                <w:color w:val="000000"/>
              </w:rPr>
              <w:t>芘</w:t>
            </w:r>
            <w:r>
              <w:rPr>
                <w:rFonts w:hint="eastAsia" w:hAnsi="宋体"/>
                <w:color w:val="000000"/>
              </w:rPr>
              <w:t>和</w:t>
            </w:r>
            <w:r>
              <w:rPr>
                <w:rFonts w:hAnsi="宋体"/>
                <w:color w:val="000000"/>
              </w:rPr>
              <w:t>非甲烷总烃</w:t>
            </w:r>
            <w:r>
              <w:rPr>
                <w:rFonts w:hint="eastAsia"/>
                <w:bCs/>
              </w:rPr>
              <w:t>厂界外1m处的浓度分别为0.00594mg/m</w:t>
            </w:r>
            <w:r>
              <w:rPr>
                <w:rFonts w:hint="eastAsia"/>
                <w:bCs/>
                <w:vertAlign w:val="superscript"/>
              </w:rPr>
              <w:t>3</w:t>
            </w:r>
            <w:r>
              <w:rPr>
                <w:rFonts w:hint="eastAsia"/>
                <w:bCs/>
              </w:rPr>
              <w:t>、2.08×10</w:t>
            </w:r>
            <w:r>
              <w:rPr>
                <w:rFonts w:hint="eastAsia"/>
                <w:bCs/>
                <w:vertAlign w:val="superscript"/>
              </w:rPr>
              <w:t>-8</w:t>
            </w:r>
            <w:r>
              <w:rPr>
                <w:rFonts w:hint="eastAsia"/>
                <w:bCs/>
              </w:rPr>
              <w:t>mg/m</w:t>
            </w:r>
            <w:r>
              <w:rPr>
                <w:rFonts w:hint="eastAsia"/>
                <w:bCs/>
                <w:vertAlign w:val="superscript"/>
              </w:rPr>
              <w:t>3</w:t>
            </w:r>
            <w:r>
              <w:rPr>
                <w:rFonts w:hint="eastAsia"/>
                <w:bCs/>
              </w:rPr>
              <w:t>、0.0005mg/m</w:t>
            </w:r>
            <w:r>
              <w:rPr>
                <w:rFonts w:hint="eastAsia"/>
                <w:bCs/>
                <w:vertAlign w:val="superscript"/>
              </w:rPr>
              <w:t>3</w:t>
            </w:r>
            <w:r>
              <w:rPr>
                <w:rFonts w:hint="eastAsia"/>
                <w:bCs/>
              </w:rPr>
              <w:t>，</w:t>
            </w:r>
            <w:r>
              <w:rPr>
                <w:bCs/>
                <w:color w:val="000000"/>
              </w:rPr>
              <w:t>项目无组织排放的污染物厂界落地浓度</w:t>
            </w:r>
            <w:r>
              <w:rPr>
                <w:rFonts w:hint="eastAsia"/>
                <w:bCs/>
                <w:color w:val="000000"/>
              </w:rPr>
              <w:t>均满足</w:t>
            </w:r>
            <w:r>
              <w:rPr>
                <w:bCs/>
                <w:color w:val="000000"/>
              </w:rPr>
              <w:t>《大气污染物综合排放标准》（GB16297-1996）表2中的无组织排放监控浓度限值要求</w:t>
            </w:r>
            <w:r>
              <w:rPr>
                <w:rFonts w:hint="eastAsia"/>
                <w:bCs/>
                <w:color w:val="000000"/>
              </w:rPr>
              <w:t>。</w:t>
            </w:r>
          </w:p>
          <w:p w14:paraId="1D76E7D7">
            <w:pPr>
              <w:ind w:firstLine="480" w:firstLineChars="0"/>
              <w:rPr>
                <w:bCs/>
                <w:color w:val="000000"/>
              </w:rPr>
            </w:pPr>
            <w:r>
              <w:rPr>
                <w:rFonts w:hint="eastAsia"/>
                <w:bCs/>
                <w:color w:val="000000"/>
              </w:rPr>
              <w:t>综上，项目产生的废气通过采取措施后均能达标排放，对周边大气环境影响较小，详见大气专项评价。</w:t>
            </w:r>
          </w:p>
          <w:p w14:paraId="02D14D84">
            <w:pPr>
              <w:ind w:firstLine="0" w:firstLineChars="0"/>
            </w:pPr>
            <w:r>
              <w:rPr>
                <w:rFonts w:hint="eastAsia"/>
                <w:b/>
                <w:bCs/>
              </w:rPr>
              <w:t>二、</w:t>
            </w:r>
            <w:r>
              <w:rPr>
                <w:b/>
                <w:bCs/>
              </w:rPr>
              <w:t>废水影响和保护措施</w:t>
            </w:r>
          </w:p>
          <w:p w14:paraId="54BC288B">
            <w:pPr>
              <w:ind w:firstLine="482"/>
              <w:rPr>
                <w:b/>
                <w:bCs/>
              </w:rPr>
            </w:pPr>
            <w:r>
              <w:rPr>
                <w:rFonts w:hint="eastAsia"/>
                <w:b/>
                <w:bCs/>
              </w:rPr>
              <w:t>1、</w:t>
            </w:r>
            <w:r>
              <w:rPr>
                <w:b/>
                <w:bCs/>
              </w:rPr>
              <w:t>废水产排情况</w:t>
            </w:r>
          </w:p>
          <w:p w14:paraId="4AA6660E">
            <w:pPr>
              <w:ind w:firstLine="480"/>
            </w:pPr>
            <w:r>
              <w:t>项目</w:t>
            </w:r>
            <w:r>
              <w:rPr>
                <w:rFonts w:hint="eastAsia"/>
              </w:rPr>
              <w:t>产生的废水为车辆轮胎清洗废水、员工办公生活污水和初期雨水。</w:t>
            </w:r>
          </w:p>
          <w:p w14:paraId="0797AD6B">
            <w:pPr>
              <w:ind w:firstLine="480"/>
            </w:pPr>
            <w:r>
              <w:rPr>
                <w:rFonts w:hint="eastAsia"/>
              </w:rPr>
              <w:t>（1）车辆轮胎清洗废水</w:t>
            </w:r>
          </w:p>
          <w:p w14:paraId="26DA4E81">
            <w:pPr>
              <w:widowControl/>
              <w:kinsoku w:val="0"/>
              <w:autoSpaceDE w:val="0"/>
              <w:autoSpaceDN w:val="0"/>
              <w:ind w:firstLine="480"/>
              <w:textAlignment w:val="baseline"/>
              <w:rPr>
                <w:b/>
              </w:rPr>
            </w:pPr>
            <w:r>
              <w:rPr>
                <w:rFonts w:hint="eastAsia"/>
              </w:rPr>
              <w:t>项目设置1个车辆清洗池对出厂的运输车辆轮胎进行清洗，清洗废水产生量为1.07</w:t>
            </w:r>
            <w:r>
              <w:t>m</w:t>
            </w:r>
            <w:r>
              <w:rPr>
                <w:vertAlign w:val="superscript"/>
              </w:rPr>
              <w:t>3</w:t>
            </w:r>
            <w:r>
              <w:t>/d</w:t>
            </w:r>
            <w:r>
              <w:rPr>
                <w:rFonts w:hint="eastAsia"/>
              </w:rPr>
              <w:t>，车辆轮胎清洗废水经洗车沉淀池收集后回用于车辆轮胎清洗，不外排。</w:t>
            </w:r>
          </w:p>
          <w:p w14:paraId="3D1DF203">
            <w:pPr>
              <w:ind w:firstLine="480"/>
            </w:pPr>
            <w:r>
              <w:rPr>
                <w:rFonts w:hint="eastAsia"/>
              </w:rPr>
              <w:t>（2）员工办公生活污水</w:t>
            </w:r>
          </w:p>
          <w:p w14:paraId="62803A60">
            <w:pPr>
              <w:ind w:firstLine="480"/>
            </w:pPr>
            <w:r>
              <w:rPr>
                <w:rFonts w:hint="eastAsia"/>
              </w:rPr>
              <w:t>项目共10名员工，其中5人在厂内食宿。根据前文计算，员工办公生活污水产生量为0.546m</w:t>
            </w:r>
            <w:r>
              <w:rPr>
                <w:rFonts w:hint="eastAsia"/>
                <w:vertAlign w:val="superscript"/>
              </w:rPr>
              <w:t>3</w:t>
            </w:r>
            <w:r>
              <w:rPr>
                <w:rFonts w:hint="eastAsia"/>
              </w:rPr>
              <w:t>/d、164m</w:t>
            </w:r>
            <w:r>
              <w:rPr>
                <w:rFonts w:hint="eastAsia"/>
                <w:vertAlign w:val="superscript"/>
              </w:rPr>
              <w:t>3</w:t>
            </w:r>
            <w:r>
              <w:rPr>
                <w:rFonts w:hint="eastAsia"/>
              </w:rPr>
              <w:t>/a，其中食堂含油污水产生量为0.12m</w:t>
            </w:r>
            <w:r>
              <w:rPr>
                <w:rFonts w:hint="eastAsia"/>
                <w:vertAlign w:val="superscript"/>
              </w:rPr>
              <w:t>3</w:t>
            </w:r>
            <w:r>
              <w:rPr>
                <w:rFonts w:hint="eastAsia"/>
              </w:rPr>
              <w:t>/d、36m</w:t>
            </w:r>
            <w:r>
              <w:rPr>
                <w:rFonts w:hint="eastAsia"/>
                <w:vertAlign w:val="superscript"/>
              </w:rPr>
              <w:t>3</w:t>
            </w:r>
            <w:r>
              <w:rPr>
                <w:rFonts w:hint="eastAsia"/>
              </w:rPr>
              <w:t>/a。</w:t>
            </w:r>
          </w:p>
          <w:p w14:paraId="426DFC1F">
            <w:pPr>
              <w:pStyle w:val="15"/>
              <w:numPr>
                <w:ilvl w:val="0"/>
                <w:numId w:val="11"/>
              </w:numPr>
              <w:ind w:left="0" w:leftChars="0" w:firstLine="360" w:firstLineChars="150"/>
              <w:rPr>
                <w:sz w:val="24"/>
              </w:rPr>
            </w:pPr>
            <w:r>
              <w:rPr>
                <w:rFonts w:hint="eastAsia"/>
                <w:sz w:val="24"/>
              </w:rPr>
              <w:t>初期雨水</w:t>
            </w:r>
          </w:p>
          <w:p w14:paraId="7BCCF2F8">
            <w:pPr>
              <w:pStyle w:val="15"/>
              <w:ind w:left="0" w:leftChars="0" w:firstLine="480" w:firstLineChars="0"/>
              <w:rPr>
                <w:sz w:val="24"/>
              </w:rPr>
            </w:pPr>
            <w:r>
              <w:rPr>
                <w:rFonts w:hint="eastAsia"/>
                <w:sz w:val="24"/>
              </w:rPr>
              <w:t>根据前文计算，项目初期雨水产生量为6.5m</w:t>
            </w:r>
            <w:r>
              <w:rPr>
                <w:rFonts w:hint="eastAsia"/>
                <w:sz w:val="24"/>
                <w:vertAlign w:val="superscript"/>
              </w:rPr>
              <w:t>3</w:t>
            </w:r>
            <w:r>
              <w:rPr>
                <w:rFonts w:hint="eastAsia"/>
                <w:sz w:val="24"/>
              </w:rPr>
              <w:t>/d、650m</w:t>
            </w:r>
            <w:r>
              <w:rPr>
                <w:rFonts w:hint="eastAsia"/>
                <w:sz w:val="24"/>
                <w:vertAlign w:val="superscript"/>
              </w:rPr>
              <w:t>3</w:t>
            </w:r>
            <w:r>
              <w:rPr>
                <w:rFonts w:hint="eastAsia"/>
                <w:sz w:val="24"/>
              </w:rPr>
              <w:t>/a，经初期雨水收集池沉淀处理后用于绿化或场地洒水降尘，不外排。</w:t>
            </w:r>
          </w:p>
          <w:p w14:paraId="01DCCD93">
            <w:pPr>
              <w:pStyle w:val="15"/>
              <w:ind w:left="0" w:leftChars="0" w:firstLine="482"/>
              <w:rPr>
                <w:b/>
                <w:bCs/>
                <w:sz w:val="24"/>
              </w:rPr>
            </w:pPr>
            <w:r>
              <w:rPr>
                <w:rFonts w:hint="eastAsia"/>
                <w:b/>
                <w:bCs/>
                <w:sz w:val="24"/>
              </w:rPr>
              <w:t>2、废水水质</w:t>
            </w:r>
          </w:p>
          <w:p w14:paraId="31AC1D4A">
            <w:pPr>
              <w:pStyle w:val="15"/>
              <w:ind w:left="0" w:leftChars="0" w:firstLine="480"/>
              <w:rPr>
                <w:color w:val="000000" w:themeColor="text1"/>
                <w:sz w:val="24"/>
                <w14:textFill>
                  <w14:solidFill>
                    <w14:schemeClr w14:val="tx1"/>
                  </w14:solidFill>
                </w14:textFill>
              </w:rPr>
            </w:pPr>
            <w:r>
              <w:rPr>
                <w:bCs/>
                <w:color w:val="000000" w:themeColor="text1"/>
                <w:sz w:val="24"/>
                <w14:textFill>
                  <w14:solidFill>
                    <w14:schemeClr w14:val="tx1"/>
                  </w14:solidFill>
                </w14:textFill>
              </w:rPr>
              <w:t>项目</w:t>
            </w:r>
            <w:r>
              <w:rPr>
                <w:rFonts w:hint="eastAsia"/>
                <w:bCs/>
                <w:color w:val="000000" w:themeColor="text1"/>
                <w:sz w:val="24"/>
                <w14:textFill>
                  <w14:solidFill>
                    <w14:schemeClr w14:val="tx1"/>
                  </w14:solidFill>
                </w14:textFill>
              </w:rPr>
              <w:t>车轮清洗废水和初期雨水中污染物主要为SS，</w:t>
            </w:r>
            <w:r>
              <w:rPr>
                <w:bCs/>
                <w:color w:val="000000" w:themeColor="text1"/>
                <w:sz w:val="24"/>
                <w14:textFill>
                  <w14:solidFill>
                    <w14:schemeClr w14:val="tx1"/>
                  </w14:solidFill>
                </w14:textFill>
              </w:rPr>
              <w:t>生活污水中主要污染物为COD</w:t>
            </w:r>
            <w:r>
              <w:rPr>
                <w:bCs/>
                <w:color w:val="000000" w:themeColor="text1"/>
                <w:sz w:val="24"/>
                <w:vertAlign w:val="subscript"/>
                <w14:textFill>
                  <w14:solidFill>
                    <w14:schemeClr w14:val="tx1"/>
                  </w14:solidFill>
                </w14:textFill>
              </w:rPr>
              <w:t>Cr</w:t>
            </w:r>
            <w:r>
              <w:rPr>
                <w:bCs/>
                <w:color w:val="000000" w:themeColor="text1"/>
                <w:sz w:val="24"/>
                <w14:textFill>
                  <w14:solidFill>
                    <w14:schemeClr w14:val="tx1"/>
                  </w14:solidFill>
                </w14:textFill>
              </w:rPr>
              <w:t>、BOD</w:t>
            </w:r>
            <w:r>
              <w:rPr>
                <w:bCs/>
                <w:color w:val="000000" w:themeColor="text1"/>
                <w:sz w:val="24"/>
                <w:vertAlign w:val="subscript"/>
                <w14:textFill>
                  <w14:solidFill>
                    <w14:schemeClr w14:val="tx1"/>
                  </w14:solidFill>
                </w14:textFill>
              </w:rPr>
              <w:t>5</w:t>
            </w:r>
            <w:r>
              <w:rPr>
                <w:bCs/>
                <w:color w:val="000000" w:themeColor="text1"/>
                <w:sz w:val="24"/>
                <w14:textFill>
                  <w14:solidFill>
                    <w14:schemeClr w14:val="tx1"/>
                  </w14:solidFill>
                </w14:textFill>
              </w:rPr>
              <w:t>、SS、氨氮、总磷和动植物油等。根据《水工业工程设计手册-建筑和小区给排水》中“12.2.2污水水量和水质”中的住宅、各类公共建筑污水水质平均浓度</w:t>
            </w:r>
            <w:r>
              <w:rPr>
                <w:color w:val="000000" w:themeColor="text1"/>
                <w:sz w:val="24"/>
                <w14:textFill>
                  <w14:solidFill>
                    <w14:schemeClr w14:val="tx1"/>
                  </w14:solidFill>
                </w14:textFill>
              </w:rPr>
              <w:t>，项目生活污水中各污染物产生浓度分别为</w:t>
            </w:r>
            <w:r>
              <w:rPr>
                <w:bCs/>
                <w:color w:val="000000" w:themeColor="text1"/>
                <w:sz w:val="24"/>
                <w14:textFill>
                  <w14:solidFill>
                    <w14:schemeClr w14:val="tx1"/>
                  </w14:solidFill>
                </w14:textFill>
              </w:rPr>
              <w:t>COD</w:t>
            </w:r>
            <w:r>
              <w:rPr>
                <w:bCs/>
                <w:color w:val="000000" w:themeColor="text1"/>
                <w:sz w:val="24"/>
                <w:vertAlign w:val="subscript"/>
                <w14:textFill>
                  <w14:solidFill>
                    <w14:schemeClr w14:val="tx1"/>
                  </w14:solidFill>
                </w14:textFill>
              </w:rPr>
              <w:t>Cr</w:t>
            </w:r>
            <w:r>
              <w:rPr>
                <w:bCs/>
                <w:color w:val="000000" w:themeColor="text1"/>
                <w:sz w:val="24"/>
                <w14:textFill>
                  <w14:solidFill>
                    <w14:schemeClr w14:val="tx1"/>
                  </w14:solidFill>
                </w14:textFill>
              </w:rPr>
              <w:t>：400mg/L、BOD</w:t>
            </w:r>
            <w:r>
              <w:rPr>
                <w:bCs/>
                <w:color w:val="000000" w:themeColor="text1"/>
                <w:sz w:val="24"/>
                <w:vertAlign w:val="subscript"/>
                <w14:textFill>
                  <w14:solidFill>
                    <w14:schemeClr w14:val="tx1"/>
                  </w14:solidFill>
                </w14:textFill>
              </w:rPr>
              <w:t>5</w:t>
            </w:r>
            <w:r>
              <w:rPr>
                <w:bCs/>
                <w:color w:val="000000" w:themeColor="text1"/>
                <w:sz w:val="24"/>
                <w14:textFill>
                  <w14:solidFill>
                    <w14:schemeClr w14:val="tx1"/>
                  </w14:solidFill>
                </w14:textFill>
              </w:rPr>
              <w:t>：220mg/L、氨氮：3</w:t>
            </w:r>
            <w:r>
              <w:rPr>
                <w:rFonts w:hint="eastAsia"/>
                <w:bCs/>
                <w:color w:val="000000" w:themeColor="text1"/>
                <w:sz w:val="24"/>
                <w14:textFill>
                  <w14:solidFill>
                    <w14:schemeClr w14:val="tx1"/>
                  </w14:solidFill>
                </w14:textFill>
              </w:rPr>
              <w:t>0</w:t>
            </w:r>
            <w:r>
              <w:rPr>
                <w:bCs/>
                <w:color w:val="000000" w:themeColor="text1"/>
                <w:sz w:val="24"/>
                <w14:textFill>
                  <w14:solidFill>
                    <w14:schemeClr w14:val="tx1"/>
                  </w14:solidFill>
                </w14:textFill>
              </w:rPr>
              <w:t>mg/L、总磷：5mg/L、SS：400mg/L、动植物油：</w:t>
            </w:r>
            <w:r>
              <w:rPr>
                <w:rFonts w:hint="eastAsia"/>
                <w:bCs/>
                <w:color w:val="000000" w:themeColor="text1"/>
                <w:sz w:val="24"/>
                <w14:textFill>
                  <w14:solidFill>
                    <w14:schemeClr w14:val="tx1"/>
                  </w14:solidFill>
                </w14:textFill>
              </w:rPr>
              <w:t>15</w:t>
            </w:r>
            <w:r>
              <w:rPr>
                <w:bCs/>
                <w:color w:val="000000" w:themeColor="text1"/>
                <w:sz w:val="24"/>
                <w14:textFill>
                  <w14:solidFill>
                    <w14:schemeClr w14:val="tx1"/>
                  </w14:solidFill>
                </w14:textFill>
              </w:rPr>
              <w:t>0mg/L。</w:t>
            </w:r>
          </w:p>
          <w:p w14:paraId="0DB83A61">
            <w:pPr>
              <w:ind w:firstLine="482"/>
              <w:rPr>
                <w:b/>
                <w:bCs/>
              </w:rPr>
            </w:pPr>
            <w:r>
              <w:rPr>
                <w:rFonts w:hint="eastAsia"/>
                <w:b/>
                <w:bCs/>
              </w:rPr>
              <w:t>3、废水治理措施可行性分析</w:t>
            </w:r>
          </w:p>
          <w:p w14:paraId="4FB45819">
            <w:pPr>
              <w:ind w:firstLine="480"/>
              <w:rPr>
                <w:rFonts w:ascii="宋体" w:hAnsi="宋体" w:cs="宋体"/>
              </w:rPr>
            </w:pPr>
            <w:r>
              <w:rPr>
                <w:rFonts w:hint="eastAsia"/>
              </w:rPr>
              <w:t>（1）</w:t>
            </w:r>
            <w:r>
              <w:rPr>
                <w:rFonts w:ascii="宋体" w:hAnsi="宋体" w:cs="宋体"/>
                <w:spacing w:val="-1"/>
              </w:rPr>
              <w:t>运输车辆车轮清洗废水</w:t>
            </w:r>
          </w:p>
          <w:p w14:paraId="10868BB1">
            <w:pPr>
              <w:ind w:firstLine="472"/>
              <w:rPr>
                <w:rFonts w:ascii="宋体" w:hAnsi="宋体" w:cs="宋体"/>
                <w:spacing w:val="-2"/>
              </w:rPr>
            </w:pPr>
            <w:r>
              <w:rPr>
                <w:rFonts w:ascii="宋体" w:hAnsi="宋体" w:cs="宋体"/>
                <w:spacing w:val="-2"/>
              </w:rPr>
              <w:t>运输车辆车轮清洗废水污染物主要为</w:t>
            </w:r>
            <w:r>
              <w:rPr>
                <w:rFonts w:eastAsia="Times New Roman"/>
                <w:spacing w:val="-2"/>
              </w:rPr>
              <w:t>SS</w:t>
            </w:r>
            <w:r>
              <w:rPr>
                <w:rFonts w:ascii="宋体" w:hAnsi="宋体" w:cs="宋体"/>
                <w:spacing w:val="-2"/>
              </w:rPr>
              <w:t>，水</w:t>
            </w:r>
            <w:r>
              <w:rPr>
                <w:rFonts w:ascii="宋体" w:hAnsi="宋体" w:cs="宋体"/>
              </w:rPr>
              <w:t>质较为简单，经洗车池简单的沉淀处理后循环使用</w:t>
            </w:r>
            <w:r>
              <w:rPr>
                <w:rFonts w:ascii="宋体" w:hAnsi="宋体" w:cs="宋体"/>
                <w:spacing w:val="-1"/>
              </w:rPr>
              <w:t>，定期补充</w:t>
            </w:r>
            <w:r>
              <w:rPr>
                <w:color w:val="000000" w:themeColor="text1"/>
                <w14:textFill>
                  <w14:solidFill>
                    <w14:schemeClr w14:val="tx1"/>
                  </w14:solidFill>
                </w14:textFill>
              </w:rPr>
              <w:t>蒸发损耗水量即可。项目</w:t>
            </w:r>
            <w:r>
              <w:rPr>
                <w:rFonts w:hint="eastAsia"/>
                <w:color w:val="000000" w:themeColor="text1"/>
                <w14:textFill>
                  <w14:solidFill>
                    <w14:schemeClr w14:val="tx1"/>
                  </w14:solidFill>
                </w14:textFill>
              </w:rPr>
              <w:t>砂石骨料运输</w:t>
            </w:r>
            <w:r>
              <w:rPr>
                <w:color w:val="000000" w:themeColor="text1"/>
                <w14:textFill>
                  <w14:solidFill>
                    <w14:schemeClr w14:val="tx1"/>
                  </w14:solidFill>
                </w14:textFill>
              </w:rPr>
              <w:t>进出口</w:t>
            </w:r>
            <w:r>
              <w:rPr>
                <w:rFonts w:hint="eastAsia"/>
                <w:color w:val="000000" w:themeColor="text1"/>
                <w14:textFill>
                  <w14:solidFill>
                    <w14:schemeClr w14:val="tx1"/>
                  </w14:solidFill>
                </w14:textFill>
              </w:rPr>
              <w:t>和产品运输进出口</w:t>
            </w:r>
            <w:r>
              <w:rPr>
                <w:color w:val="000000" w:themeColor="text1"/>
                <w14:textFill>
                  <w14:solidFill>
                    <w14:schemeClr w14:val="tx1"/>
                  </w14:solidFill>
                </w14:textFill>
              </w:rPr>
              <w:t>处</w:t>
            </w:r>
            <w:r>
              <w:rPr>
                <w:rFonts w:hint="eastAsia"/>
                <w:color w:val="000000" w:themeColor="text1"/>
                <w14:textFill>
                  <w14:solidFill>
                    <w14:schemeClr w14:val="tx1"/>
                  </w14:solidFill>
                </w14:textFill>
              </w:rPr>
              <w:t>分别</w:t>
            </w:r>
            <w:r>
              <w:rPr>
                <w:color w:val="000000" w:themeColor="text1"/>
                <w14:textFill>
                  <w14:solidFill>
                    <w14:schemeClr w14:val="tx1"/>
                  </w14:solidFill>
                </w14:textFill>
              </w:rPr>
              <w:t>设置1个容积为</w:t>
            </w:r>
            <w:r>
              <w:rPr>
                <w:rFonts w:hint="eastAsia"/>
                <w:color w:val="000000" w:themeColor="text1"/>
                <w14:textFill>
                  <w14:solidFill>
                    <w14:schemeClr w14:val="tx1"/>
                  </w14:solidFill>
                </w14:textFill>
              </w:rPr>
              <w:t>1</w:t>
            </w:r>
            <w:r>
              <w:rPr>
                <w:color w:val="000000" w:themeColor="text1"/>
                <w14:textFill>
                  <w14:solidFill>
                    <w14:schemeClr w14:val="tx1"/>
                  </w14:solidFill>
                </w14:textFill>
              </w:rPr>
              <w:t>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洗车池，能够</w:t>
            </w:r>
            <w:r>
              <w:rPr>
                <w:rFonts w:ascii="宋体" w:hAnsi="宋体" w:cs="宋体"/>
                <w:spacing w:val="-2"/>
              </w:rPr>
              <w:t>有效收集处理车轮清洗废水。</w:t>
            </w:r>
          </w:p>
          <w:p w14:paraId="255D6DF6">
            <w:pPr>
              <w:ind w:firstLine="480"/>
            </w:pPr>
            <w:r>
              <w:rPr>
                <w:rFonts w:hint="eastAsia"/>
              </w:rPr>
              <w:t>参照《排污许可证申请与核发技术规范 水处理通用工序》（HJ1120—2020），废水处理技术可行性分析见下表。</w:t>
            </w:r>
          </w:p>
          <w:p w14:paraId="7406F98D">
            <w:pPr>
              <w:spacing w:line="240" w:lineRule="auto"/>
              <w:ind w:firstLine="422"/>
              <w:jc w:val="center"/>
              <w:rPr>
                <w:b/>
                <w:bCs/>
                <w:sz w:val="21"/>
                <w:szCs w:val="21"/>
              </w:rPr>
            </w:pPr>
            <w:r>
              <w:rPr>
                <w:rFonts w:hint="eastAsia"/>
                <w:b/>
                <w:bCs/>
                <w:sz w:val="21"/>
                <w:szCs w:val="21"/>
              </w:rPr>
              <w:t>表4-1  项目车辆轮胎清洗废水处理技术可行性分析</w:t>
            </w:r>
          </w:p>
          <w:tbl>
            <w:tblPr>
              <w:tblStyle w:val="27"/>
              <w:tblW w:w="80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1041"/>
              <w:gridCol w:w="1309"/>
              <w:gridCol w:w="1730"/>
              <w:gridCol w:w="1648"/>
              <w:gridCol w:w="900"/>
            </w:tblGrid>
            <w:tr w14:paraId="564A9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98" w:type="dxa"/>
                  <w:gridSpan w:val="4"/>
                  <w:vAlign w:val="center"/>
                </w:tcPr>
                <w:p w14:paraId="37FC974B">
                  <w:pPr>
                    <w:adjustRightInd w:val="0"/>
                    <w:snapToGrid w:val="0"/>
                    <w:spacing w:line="240" w:lineRule="auto"/>
                    <w:ind w:firstLine="0" w:firstLineChars="0"/>
                    <w:jc w:val="center"/>
                    <w:rPr>
                      <w:rFonts w:cs="宋体"/>
                      <w:b/>
                      <w:sz w:val="21"/>
                      <w:szCs w:val="21"/>
                    </w:rPr>
                  </w:pPr>
                  <w:r>
                    <w:rPr>
                      <w:rFonts w:hint="eastAsia" w:cs="宋体"/>
                      <w:b/>
                      <w:sz w:val="21"/>
                      <w:szCs w:val="21"/>
                    </w:rPr>
                    <w:t>HJ1120—2020规定的可行性技术</w:t>
                  </w:r>
                </w:p>
              </w:tc>
              <w:tc>
                <w:tcPr>
                  <w:tcW w:w="1648" w:type="dxa"/>
                  <w:vAlign w:val="center"/>
                </w:tcPr>
                <w:p w14:paraId="74D09977">
                  <w:pPr>
                    <w:adjustRightInd w:val="0"/>
                    <w:snapToGrid w:val="0"/>
                    <w:spacing w:line="240" w:lineRule="auto"/>
                    <w:ind w:firstLine="0" w:firstLineChars="0"/>
                    <w:jc w:val="center"/>
                    <w:rPr>
                      <w:rFonts w:cs="宋体"/>
                      <w:b/>
                      <w:sz w:val="21"/>
                      <w:szCs w:val="21"/>
                    </w:rPr>
                  </w:pPr>
                  <w:r>
                    <w:rPr>
                      <w:rFonts w:hint="eastAsia" w:cs="宋体"/>
                      <w:b/>
                      <w:sz w:val="21"/>
                      <w:szCs w:val="21"/>
                    </w:rPr>
                    <w:t>项目情况</w:t>
                  </w:r>
                </w:p>
              </w:tc>
              <w:tc>
                <w:tcPr>
                  <w:tcW w:w="900" w:type="dxa"/>
                  <w:vAlign w:val="center"/>
                </w:tcPr>
                <w:p w14:paraId="3E3D6A72">
                  <w:pPr>
                    <w:adjustRightInd w:val="0"/>
                    <w:snapToGrid w:val="0"/>
                    <w:spacing w:line="240" w:lineRule="auto"/>
                    <w:ind w:firstLine="0" w:firstLineChars="0"/>
                    <w:jc w:val="center"/>
                    <w:rPr>
                      <w:rFonts w:cs="宋体"/>
                      <w:b/>
                      <w:sz w:val="21"/>
                      <w:szCs w:val="21"/>
                    </w:rPr>
                  </w:pPr>
                  <w:r>
                    <w:rPr>
                      <w:rFonts w:hint="eastAsia" w:cs="宋体"/>
                      <w:b/>
                      <w:sz w:val="21"/>
                      <w:szCs w:val="21"/>
                    </w:rPr>
                    <w:t>可行性</w:t>
                  </w:r>
                </w:p>
              </w:tc>
            </w:tr>
            <w:tr w14:paraId="521A7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418" w:type="dxa"/>
                  <w:vAlign w:val="center"/>
                </w:tcPr>
                <w:p w14:paraId="09ADF977">
                  <w:pPr>
                    <w:adjustRightInd w:val="0"/>
                    <w:snapToGrid w:val="0"/>
                    <w:spacing w:line="240" w:lineRule="auto"/>
                    <w:ind w:firstLine="0" w:firstLineChars="0"/>
                    <w:jc w:val="center"/>
                    <w:rPr>
                      <w:rFonts w:cs="宋体"/>
                      <w:bCs/>
                      <w:sz w:val="21"/>
                      <w:szCs w:val="21"/>
                    </w:rPr>
                  </w:pPr>
                  <w:r>
                    <w:rPr>
                      <w:rFonts w:hint="eastAsia" w:cs="宋体"/>
                      <w:bCs/>
                      <w:sz w:val="21"/>
                      <w:szCs w:val="21"/>
                    </w:rPr>
                    <w:t>废水类别</w:t>
                  </w:r>
                </w:p>
              </w:tc>
              <w:tc>
                <w:tcPr>
                  <w:tcW w:w="1041" w:type="dxa"/>
                  <w:vAlign w:val="center"/>
                </w:tcPr>
                <w:p w14:paraId="0444B2D3">
                  <w:pPr>
                    <w:adjustRightInd w:val="0"/>
                    <w:snapToGrid w:val="0"/>
                    <w:spacing w:line="240" w:lineRule="auto"/>
                    <w:ind w:firstLine="0" w:firstLineChars="0"/>
                    <w:jc w:val="center"/>
                    <w:rPr>
                      <w:rFonts w:cs="宋体"/>
                      <w:bCs/>
                      <w:sz w:val="21"/>
                      <w:szCs w:val="21"/>
                    </w:rPr>
                  </w:pPr>
                  <w:r>
                    <w:rPr>
                      <w:rFonts w:hint="eastAsia" w:cs="宋体"/>
                      <w:bCs/>
                      <w:sz w:val="21"/>
                      <w:szCs w:val="21"/>
                    </w:rPr>
                    <w:t>污染物种类</w:t>
                  </w:r>
                </w:p>
              </w:tc>
              <w:tc>
                <w:tcPr>
                  <w:tcW w:w="1309" w:type="dxa"/>
                  <w:vAlign w:val="center"/>
                </w:tcPr>
                <w:p w14:paraId="2B54B5AF">
                  <w:pPr>
                    <w:adjustRightInd w:val="0"/>
                    <w:snapToGrid w:val="0"/>
                    <w:spacing w:line="240" w:lineRule="auto"/>
                    <w:ind w:firstLine="0" w:firstLineChars="0"/>
                    <w:jc w:val="center"/>
                    <w:rPr>
                      <w:rFonts w:cs="宋体"/>
                      <w:bCs/>
                      <w:sz w:val="21"/>
                      <w:szCs w:val="21"/>
                    </w:rPr>
                  </w:pPr>
                  <w:r>
                    <w:rPr>
                      <w:rFonts w:hint="eastAsia" w:cs="宋体"/>
                      <w:bCs/>
                      <w:sz w:val="21"/>
                      <w:szCs w:val="21"/>
                    </w:rPr>
                    <w:t>排放去向</w:t>
                  </w:r>
                </w:p>
              </w:tc>
              <w:tc>
                <w:tcPr>
                  <w:tcW w:w="1730" w:type="dxa"/>
                  <w:vAlign w:val="center"/>
                </w:tcPr>
                <w:p w14:paraId="45073139">
                  <w:pPr>
                    <w:adjustRightInd w:val="0"/>
                    <w:snapToGrid w:val="0"/>
                    <w:spacing w:line="240" w:lineRule="auto"/>
                    <w:ind w:firstLine="0" w:firstLineChars="0"/>
                    <w:jc w:val="center"/>
                    <w:rPr>
                      <w:rFonts w:cs="宋体"/>
                      <w:bCs/>
                      <w:sz w:val="21"/>
                      <w:szCs w:val="21"/>
                    </w:rPr>
                  </w:pPr>
                  <w:r>
                    <w:rPr>
                      <w:rFonts w:hint="eastAsia" w:cs="宋体"/>
                      <w:bCs/>
                      <w:sz w:val="21"/>
                      <w:szCs w:val="21"/>
                    </w:rPr>
                    <w:t>可行技术</w:t>
                  </w:r>
                </w:p>
              </w:tc>
              <w:tc>
                <w:tcPr>
                  <w:tcW w:w="1648" w:type="dxa"/>
                  <w:vMerge w:val="restart"/>
                  <w:vAlign w:val="center"/>
                </w:tcPr>
                <w:p w14:paraId="634F809C">
                  <w:pPr>
                    <w:adjustRightInd w:val="0"/>
                    <w:snapToGrid w:val="0"/>
                    <w:spacing w:line="240" w:lineRule="auto"/>
                    <w:ind w:firstLine="0" w:firstLineChars="0"/>
                    <w:jc w:val="center"/>
                    <w:rPr>
                      <w:rFonts w:cs="宋体"/>
                      <w:bCs/>
                      <w:sz w:val="21"/>
                      <w:szCs w:val="21"/>
                    </w:rPr>
                  </w:pPr>
                  <w:r>
                    <w:rPr>
                      <w:rFonts w:hint="eastAsia" w:cs="宋体"/>
                      <w:bCs/>
                      <w:sz w:val="21"/>
                      <w:szCs w:val="21"/>
                    </w:rPr>
                    <w:t>废水</w:t>
                  </w:r>
                  <w:r>
                    <w:rPr>
                      <w:rFonts w:cs="宋体"/>
                      <w:bCs/>
                      <w:sz w:val="21"/>
                      <w:szCs w:val="21"/>
                    </w:rPr>
                    <w:t>处理工艺为</w:t>
                  </w:r>
                  <w:r>
                    <w:rPr>
                      <w:rFonts w:hint="eastAsia" w:cs="宋体"/>
                      <w:bCs/>
                      <w:sz w:val="21"/>
                      <w:szCs w:val="21"/>
                    </w:rPr>
                    <w:t>“</w:t>
                  </w:r>
                  <w:r>
                    <w:rPr>
                      <w:rFonts w:cs="宋体"/>
                      <w:bCs/>
                      <w:sz w:val="21"/>
                      <w:szCs w:val="21"/>
                    </w:rPr>
                    <w:t>沉淀</w:t>
                  </w:r>
                  <w:r>
                    <w:rPr>
                      <w:rFonts w:hint="eastAsia" w:cs="宋体"/>
                      <w:bCs/>
                      <w:sz w:val="21"/>
                      <w:szCs w:val="21"/>
                    </w:rPr>
                    <w:t>”</w:t>
                  </w:r>
                </w:p>
              </w:tc>
              <w:tc>
                <w:tcPr>
                  <w:tcW w:w="900" w:type="dxa"/>
                  <w:vMerge w:val="restart"/>
                  <w:vAlign w:val="center"/>
                </w:tcPr>
                <w:p w14:paraId="28FAF66E">
                  <w:pPr>
                    <w:adjustRightInd w:val="0"/>
                    <w:snapToGrid w:val="0"/>
                    <w:spacing w:line="240" w:lineRule="auto"/>
                    <w:ind w:firstLine="0" w:firstLineChars="0"/>
                    <w:jc w:val="center"/>
                    <w:rPr>
                      <w:rFonts w:cs="宋体"/>
                      <w:bCs/>
                      <w:sz w:val="21"/>
                      <w:szCs w:val="21"/>
                    </w:rPr>
                  </w:pPr>
                  <w:r>
                    <w:rPr>
                      <w:rFonts w:hint="eastAsia" w:cs="宋体"/>
                      <w:bCs/>
                      <w:sz w:val="21"/>
                      <w:szCs w:val="21"/>
                    </w:rPr>
                    <w:t>可行</w:t>
                  </w:r>
                </w:p>
              </w:tc>
            </w:tr>
            <w:tr w14:paraId="25919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1418" w:type="dxa"/>
                  <w:vAlign w:val="center"/>
                </w:tcPr>
                <w:p w14:paraId="1A83FB53">
                  <w:pPr>
                    <w:adjustRightInd w:val="0"/>
                    <w:snapToGrid w:val="0"/>
                    <w:spacing w:line="240" w:lineRule="auto"/>
                    <w:ind w:firstLine="0" w:firstLineChars="0"/>
                    <w:jc w:val="center"/>
                    <w:rPr>
                      <w:rFonts w:cs="宋体"/>
                      <w:bCs/>
                      <w:sz w:val="21"/>
                      <w:szCs w:val="21"/>
                    </w:rPr>
                  </w:pPr>
                  <w:r>
                    <w:rPr>
                      <w:rFonts w:hint="eastAsia" w:cs="宋体"/>
                      <w:bCs/>
                      <w:sz w:val="21"/>
                      <w:szCs w:val="21"/>
                    </w:rPr>
                    <w:t>生产类排污单位废水</w:t>
                  </w:r>
                </w:p>
              </w:tc>
              <w:tc>
                <w:tcPr>
                  <w:tcW w:w="1041" w:type="dxa"/>
                  <w:vAlign w:val="center"/>
                </w:tcPr>
                <w:p w14:paraId="21BB7F65">
                  <w:pPr>
                    <w:adjustRightInd w:val="0"/>
                    <w:snapToGrid w:val="0"/>
                    <w:spacing w:line="240" w:lineRule="auto"/>
                    <w:ind w:firstLine="0" w:firstLineChars="0"/>
                    <w:jc w:val="center"/>
                    <w:rPr>
                      <w:rFonts w:cs="宋体"/>
                      <w:bCs/>
                      <w:sz w:val="21"/>
                      <w:szCs w:val="21"/>
                    </w:rPr>
                  </w:pPr>
                  <w:r>
                    <w:rPr>
                      <w:rFonts w:hint="eastAsia" w:cs="宋体"/>
                      <w:bCs/>
                      <w:sz w:val="21"/>
                      <w:szCs w:val="21"/>
                    </w:rPr>
                    <w:t>SS</w:t>
                  </w:r>
                </w:p>
              </w:tc>
              <w:tc>
                <w:tcPr>
                  <w:tcW w:w="1309" w:type="dxa"/>
                  <w:vAlign w:val="center"/>
                </w:tcPr>
                <w:p w14:paraId="32CEDF76">
                  <w:pPr>
                    <w:adjustRightInd w:val="0"/>
                    <w:snapToGrid w:val="0"/>
                    <w:spacing w:line="240" w:lineRule="auto"/>
                    <w:ind w:firstLine="0" w:firstLineChars="0"/>
                    <w:jc w:val="center"/>
                    <w:rPr>
                      <w:rFonts w:cs="宋体"/>
                      <w:bCs/>
                      <w:sz w:val="21"/>
                      <w:szCs w:val="21"/>
                    </w:rPr>
                  </w:pPr>
                  <w:r>
                    <w:rPr>
                      <w:rFonts w:hint="eastAsia" w:cs="宋体"/>
                      <w:bCs/>
                      <w:sz w:val="21"/>
                      <w:szCs w:val="21"/>
                    </w:rPr>
                    <w:t>沉淀池</w:t>
                  </w:r>
                </w:p>
              </w:tc>
              <w:tc>
                <w:tcPr>
                  <w:tcW w:w="1730" w:type="dxa"/>
                  <w:vAlign w:val="center"/>
                </w:tcPr>
                <w:p w14:paraId="764FD46A">
                  <w:pPr>
                    <w:adjustRightInd w:val="0"/>
                    <w:snapToGrid w:val="0"/>
                    <w:spacing w:line="240" w:lineRule="auto"/>
                    <w:ind w:firstLine="0" w:firstLineChars="0"/>
                    <w:jc w:val="center"/>
                    <w:rPr>
                      <w:rFonts w:cs="宋体"/>
                      <w:bCs/>
                      <w:sz w:val="21"/>
                      <w:szCs w:val="21"/>
                    </w:rPr>
                  </w:pPr>
                  <w:r>
                    <w:rPr>
                      <w:rFonts w:hint="eastAsia" w:cs="宋体"/>
                      <w:bCs/>
                      <w:sz w:val="21"/>
                      <w:szCs w:val="21"/>
                    </w:rPr>
                    <w:t>（1）预处理：调节、沉淀、隔油、气浮、中和</w:t>
                  </w:r>
                </w:p>
              </w:tc>
              <w:tc>
                <w:tcPr>
                  <w:tcW w:w="1648" w:type="dxa"/>
                  <w:vMerge w:val="continue"/>
                </w:tcPr>
                <w:p w14:paraId="0AAB5B09">
                  <w:pPr>
                    <w:adjustRightInd w:val="0"/>
                    <w:snapToGrid w:val="0"/>
                    <w:spacing w:line="240" w:lineRule="auto"/>
                    <w:ind w:firstLine="0" w:firstLineChars="0"/>
                    <w:jc w:val="center"/>
                    <w:rPr>
                      <w:rFonts w:cs="宋体"/>
                      <w:bCs/>
                      <w:sz w:val="21"/>
                      <w:szCs w:val="21"/>
                    </w:rPr>
                  </w:pPr>
                </w:p>
              </w:tc>
              <w:tc>
                <w:tcPr>
                  <w:tcW w:w="900" w:type="dxa"/>
                  <w:vMerge w:val="continue"/>
                </w:tcPr>
                <w:p w14:paraId="02C78199">
                  <w:pPr>
                    <w:adjustRightInd w:val="0"/>
                    <w:snapToGrid w:val="0"/>
                    <w:spacing w:line="240" w:lineRule="auto"/>
                    <w:ind w:firstLine="0" w:firstLineChars="0"/>
                    <w:jc w:val="center"/>
                    <w:rPr>
                      <w:rFonts w:cs="宋体"/>
                      <w:bCs/>
                      <w:sz w:val="21"/>
                      <w:szCs w:val="21"/>
                    </w:rPr>
                  </w:pPr>
                </w:p>
              </w:tc>
            </w:tr>
          </w:tbl>
          <w:p w14:paraId="6DC453C6">
            <w:pPr>
              <w:ind w:firstLine="480"/>
              <w:rPr>
                <w:rFonts w:ascii="宋体" w:hAnsi="宋体" w:cs="宋体"/>
                <w:spacing w:val="-2"/>
              </w:rPr>
            </w:pPr>
            <w:r>
              <w:rPr>
                <w:rFonts w:hint="eastAsia"/>
              </w:rPr>
              <w:t>根据表4-1对比分析，项目车辆轮胎清洗废水处理采用的沉淀处理工艺为排污许可证申请与核发技术规范 水处理通用工序》（HJ1120—2020）中规定的可行性技术，因此车辆轮胎清洗废水处理工艺可行。</w:t>
            </w:r>
          </w:p>
          <w:p w14:paraId="199831BD">
            <w:pPr>
              <w:ind w:firstLine="472"/>
              <w:rPr>
                <w:spacing w:val="-2"/>
              </w:rPr>
            </w:pPr>
            <w:r>
              <w:rPr>
                <w:spacing w:val="-2"/>
              </w:rPr>
              <w:t>（2）生活污水</w:t>
            </w:r>
          </w:p>
          <w:p w14:paraId="2D5EC76F">
            <w:pPr>
              <w:ind w:firstLine="480"/>
              <w:rPr>
                <w:color w:val="000000" w:themeColor="text1"/>
                <w14:textFill>
                  <w14:solidFill>
                    <w14:schemeClr w14:val="tx1"/>
                  </w14:solidFill>
                </w14:textFill>
              </w:rPr>
            </w:pPr>
            <w:r>
              <w:rPr>
                <w:rFonts w:hint="eastAsia"/>
              </w:rPr>
              <w:t>①</w:t>
            </w:r>
            <w:r>
              <w:rPr>
                <w:color w:val="000000" w:themeColor="text1"/>
                <w14:textFill>
                  <w14:solidFill>
                    <w14:schemeClr w14:val="tx1"/>
                  </w14:solidFill>
                </w14:textFill>
              </w:rPr>
              <w:t>油水分离器的合理性分析</w:t>
            </w:r>
          </w:p>
          <w:p w14:paraId="20D61A64">
            <w:pPr>
              <w:pStyle w:val="15"/>
              <w:ind w:left="0" w:leftChars="0" w:firstLine="480"/>
              <w:rPr>
                <w:color w:val="000000" w:themeColor="text1"/>
                <w14:textFill>
                  <w14:solidFill>
                    <w14:schemeClr w14:val="tx1"/>
                  </w14:solidFill>
                </w14:textFill>
              </w:rPr>
            </w:pPr>
            <w:r>
              <w:rPr>
                <w:color w:val="000000" w:themeColor="text1"/>
                <w:sz w:val="24"/>
                <w14:textFill>
                  <w14:solidFill>
                    <w14:schemeClr w14:val="tx1"/>
                  </w14:solidFill>
                </w14:textFill>
              </w:rPr>
              <w:t>项目食堂拟建安装1个油水分离器，容积约0.08m</w:t>
            </w:r>
            <w:r>
              <w:rPr>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。根据《饮食业环境保护技术规范》HJ554</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2010中的规定：含油污水的停留时间不宜小于0.5小时。项目含油废水产生量为</w:t>
            </w:r>
            <w:r>
              <w:rPr>
                <w:rFonts w:hint="eastAsia"/>
                <w:color w:val="000000" w:themeColor="text1"/>
                <w:sz w:val="24"/>
                <w14:textFill>
                  <w14:solidFill>
                    <w14:schemeClr w14:val="tx1"/>
                  </w14:solidFill>
                </w14:textFill>
              </w:rPr>
              <w:t>0.12</w:t>
            </w:r>
            <w:r>
              <w:rPr>
                <w:color w:val="000000" w:themeColor="text1"/>
                <w:sz w:val="24"/>
                <w14:textFill>
                  <w14:solidFill>
                    <w14:schemeClr w14:val="tx1"/>
                  </w14:solidFill>
                </w14:textFill>
              </w:rPr>
              <w:t>m</w:t>
            </w:r>
            <w:r>
              <w:rPr>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/d，每天按产生时间2h计算，油水分离器的容积可满足含油污水停留需求。</w:t>
            </w:r>
          </w:p>
          <w:p w14:paraId="46D9CBCA">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②化粪池的合理性分析</w:t>
            </w:r>
          </w:p>
          <w:p w14:paraId="4D193CA3">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项目拟建1</w:t>
            </w:r>
            <w:r>
              <w:rPr>
                <w:color w:val="000000" w:themeColor="text1"/>
                <w14:textFill>
                  <w14:solidFill>
                    <w14:schemeClr w14:val="tx1"/>
                  </w14:solidFill>
                </w14:textFill>
              </w:rPr>
              <w:t>座化粪池对生活污水预处理，化粪池容积为</w:t>
            </w:r>
            <w:r>
              <w:rPr>
                <w:rFonts w:hint="eastAsia"/>
                <w:color w:val="000000" w:themeColor="text1"/>
                <w14:textFill>
                  <w14:solidFill>
                    <w14:schemeClr w14:val="tx1"/>
                  </w14:solidFill>
                </w14:textFill>
              </w:rPr>
              <w:t>4</w:t>
            </w:r>
            <w:r>
              <w:rPr>
                <w:color w:val="000000" w:themeColor="text1"/>
                <w14:textFill>
                  <w14:solidFill>
                    <w14:schemeClr w14:val="tx1"/>
                  </w14:solidFill>
                </w14:textFill>
              </w:rPr>
              <w:t>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。项目生活污水产生量为</w:t>
            </w:r>
            <w:r>
              <w:rPr>
                <w:rFonts w:hint="eastAsia"/>
                <w:color w:val="000000" w:themeColor="text1"/>
                <w14:textFill>
                  <w14:solidFill>
                    <w14:schemeClr w14:val="tx1"/>
                  </w14:solidFill>
                </w14:textFill>
              </w:rPr>
              <w:t>0.546</w:t>
            </w:r>
            <w:r>
              <w:rPr>
                <w:color w:val="000000" w:themeColor="text1"/>
                <w14:textFill>
                  <w14:solidFill>
                    <w14:schemeClr w14:val="tx1"/>
                  </w14:solidFill>
                </w14:textFill>
              </w:rPr>
              <w:t>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/d，化粪池容积可满足生活废水停留24h以上，满足停留要求。</w:t>
            </w:r>
          </w:p>
          <w:p w14:paraId="67488277">
            <w:pPr>
              <w:ind w:firstLine="480"/>
            </w:pPr>
            <w:r>
              <w:rPr>
                <w:rFonts w:hint="eastAsia"/>
              </w:rPr>
              <w:t>③一体化处理设施</w:t>
            </w:r>
          </w:p>
          <w:p w14:paraId="68BC99A5">
            <w:pPr>
              <w:ind w:firstLine="480"/>
              <w:rPr>
                <w:color w:val="000000" w:themeColor="text1"/>
                <w14:textFill>
                  <w14:solidFill>
                    <w14:schemeClr w14:val="tx1"/>
                  </w14:solidFill>
                </w14:textFill>
              </w:rPr>
            </w:pPr>
            <w:r>
              <w:rPr>
                <w:rFonts w:hint="eastAsia"/>
              </w:rPr>
              <w:t>项目拟购1套一体化生活污水处理设施处理生活污水</w:t>
            </w:r>
            <w:r>
              <w:rPr>
                <w:rFonts w:hint="eastAsia"/>
                <w:color w:val="000000" w:themeColor="text1"/>
                <w14:textFill>
                  <w14:solidFill>
                    <w14:schemeClr w14:val="tx1"/>
                  </w14:solidFill>
                </w14:textFill>
              </w:rPr>
              <w:t>，</w:t>
            </w:r>
            <w:r>
              <w:rPr>
                <w:rFonts w:hint="eastAsia"/>
              </w:rPr>
              <w:t>一体化生活污水处理设施的工作原理：</w:t>
            </w:r>
            <w:r>
              <w:rPr>
                <w:color w:val="000000" w:themeColor="text1"/>
                <w14:textFill>
                  <w14:solidFill>
                    <w14:schemeClr w14:val="tx1"/>
                  </w14:solidFill>
                </w14:textFill>
              </w:rPr>
              <w:t>把格栅、调节池、生物处理池、沉淀池、消毒池等单元集成在一个紧凑的装置里，污水进去后先经过格栅把大颗粒杂质捞出来，再进调节池均衡水质水量，然后进入核心的生物处理区。‌微生物在填料上挂膜生长‌，通过生物氧化作用把有机污染物分解成无机物，最后经过沉淀和消毒，清水就能达标排放。</w:t>
            </w:r>
          </w:p>
          <w:p w14:paraId="7535D59F">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拟购的</w:t>
            </w:r>
            <w:r>
              <w:rPr>
                <w:rFonts w:hint="eastAsia"/>
              </w:rPr>
              <w:t>一体化生活污水处理设施的处理能力为1m</w:t>
            </w:r>
            <w:r>
              <w:rPr>
                <w:rFonts w:hint="eastAsia"/>
                <w:vertAlign w:val="superscript"/>
              </w:rPr>
              <w:t>3</w:t>
            </w:r>
            <w:r>
              <w:rPr>
                <w:rFonts w:hint="eastAsia"/>
              </w:rPr>
              <w:t>/d，项目</w:t>
            </w:r>
            <w:r>
              <w:rPr>
                <w:color w:val="000000" w:themeColor="text1"/>
                <w14:textFill>
                  <w14:solidFill>
                    <w14:schemeClr w14:val="tx1"/>
                  </w14:solidFill>
                </w14:textFill>
              </w:rPr>
              <w:t>生活污水产生量为</w:t>
            </w:r>
            <w:r>
              <w:rPr>
                <w:rFonts w:hint="eastAsia"/>
                <w:color w:val="000000" w:themeColor="text1"/>
                <w14:textFill>
                  <w14:solidFill>
                    <w14:schemeClr w14:val="tx1"/>
                  </w14:solidFill>
                </w14:textFill>
              </w:rPr>
              <w:t>0.546</w:t>
            </w:r>
            <w:r>
              <w:rPr>
                <w:color w:val="000000" w:themeColor="text1"/>
                <w14:textFill>
                  <w14:solidFill>
                    <w14:schemeClr w14:val="tx1"/>
                  </w14:solidFill>
                </w14:textFill>
              </w:rPr>
              <w:t>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/d，</w:t>
            </w:r>
            <w:r>
              <w:rPr>
                <w:rFonts w:hint="eastAsia"/>
                <w:color w:val="000000" w:themeColor="text1"/>
                <w14:textFill>
                  <w14:solidFill>
                    <w14:schemeClr w14:val="tx1"/>
                  </w14:solidFill>
                </w14:textFill>
              </w:rPr>
              <w:t>处理能力满足处理要求。</w:t>
            </w:r>
          </w:p>
          <w:p w14:paraId="4D99FFF1">
            <w:pPr>
              <w:ind w:firstLine="480"/>
            </w:pPr>
            <w:r>
              <w:rPr>
                <w:rFonts w:hint="eastAsia"/>
                <w:color w:val="000000" w:themeColor="text1"/>
                <w14:textFill>
                  <w14:solidFill>
                    <w14:schemeClr w14:val="tx1"/>
                  </w14:solidFill>
                </w14:textFill>
              </w:rPr>
              <w:t>拟购进的</w:t>
            </w:r>
            <w:r>
              <w:rPr>
                <w:rFonts w:hint="eastAsia"/>
              </w:rPr>
              <w:t>一体化生活污水处理设施处理</w:t>
            </w:r>
            <w:r>
              <w:rPr>
                <w:rFonts w:hint="eastAsia"/>
                <w:color w:val="000000"/>
              </w:rPr>
              <w:t>工艺拟采用“A/O+MBR”工艺，消毒技术使用自动投加药剂，具体流程图如下。</w:t>
            </w:r>
          </w:p>
          <w:p w14:paraId="4C6E2EE3">
            <w:pPr>
              <w:ind w:firstLine="0" w:firstLineChars="0"/>
              <w:jc w:val="center"/>
            </w:pPr>
            <w:r>
              <w:rPr>
                <w:rFonts w:hint="eastAsia"/>
              </w:rPr>
              <w:drawing>
                <wp:inline distT="0" distB="0" distL="114300" distR="114300">
                  <wp:extent cx="4361180" cy="1784985"/>
                  <wp:effectExtent l="0" t="0" r="1270" b="5715"/>
                  <wp:docPr id="58" name="图片 58" descr="dd6c4c2a-01cc-42db-bd1f-5c0988ef9d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dd6c4c2a-01cc-42db-bd1f-5c0988ef9d56"/>
                          <pic:cNvPicPr>
                            <a:picLocks noChangeAspect="1"/>
                          </pic:cNvPicPr>
                        </pic:nvPicPr>
                        <pic:blipFill>
                          <a:blip r:embed="rId15" cstate="print"/>
                          <a:stretch>
                            <a:fillRect/>
                          </a:stretch>
                        </pic:blipFill>
                        <pic:spPr>
                          <a:xfrm>
                            <a:off x="0" y="0"/>
                            <a:ext cx="4361180" cy="1784985"/>
                          </a:xfrm>
                          <a:prstGeom prst="rect">
                            <a:avLst/>
                          </a:prstGeom>
                        </pic:spPr>
                      </pic:pic>
                    </a:graphicData>
                  </a:graphic>
                </wp:inline>
              </w:drawing>
            </w:r>
          </w:p>
          <w:p w14:paraId="5146D445">
            <w:pPr>
              <w:ind w:firstLine="422"/>
              <w:jc w:val="center"/>
              <w:rPr>
                <w:color w:val="000000"/>
              </w:rPr>
            </w:pPr>
            <w:r>
              <w:rPr>
                <w:b/>
                <w:bCs/>
                <w:sz w:val="21"/>
                <w:szCs w:val="21"/>
              </w:rPr>
              <w:t>图 4-1</w:t>
            </w:r>
            <w:r>
              <w:rPr>
                <w:rFonts w:hint="eastAsia"/>
              </w:rPr>
              <w:t xml:space="preserve"> </w:t>
            </w:r>
            <w:r>
              <w:rPr>
                <w:rFonts w:eastAsia="Times New Roman"/>
                <w:b/>
                <w:bCs/>
                <w:color w:val="000000"/>
                <w:spacing w:val="12"/>
                <w:sz w:val="21"/>
                <w:szCs w:val="21"/>
              </w:rPr>
              <w:t xml:space="preserve"> </w:t>
            </w:r>
            <w:r>
              <w:rPr>
                <w:rFonts w:hint="eastAsia"/>
                <w:b/>
                <w:bCs/>
                <w:color w:val="000000"/>
                <w:spacing w:val="-7"/>
                <w:sz w:val="21"/>
                <w:szCs w:val="21"/>
              </w:rPr>
              <w:t>一体化污水处理设备</w:t>
            </w:r>
            <w:r>
              <w:rPr>
                <w:b/>
                <w:bCs/>
                <w:color w:val="000000"/>
                <w:spacing w:val="-7"/>
                <w:sz w:val="21"/>
                <w:szCs w:val="21"/>
              </w:rPr>
              <w:t>流程图</w:t>
            </w:r>
          </w:p>
          <w:p w14:paraId="029AF243">
            <w:pPr>
              <w:ind w:firstLine="480"/>
            </w:pPr>
            <w:r>
              <w:rPr>
                <w:rFonts w:hint="eastAsia"/>
              </w:rPr>
              <w:t>项目拟采用的“A/O+MBR”工艺属于《排污许可证申请与核发技术规范 水处理（试行）》（HJ 978-2018）中处理生活污水的可行技术，处理技术可行。</w:t>
            </w:r>
          </w:p>
          <w:p w14:paraId="1AB610F6">
            <w:pPr>
              <w:ind w:firstLine="480"/>
              <w:rPr>
                <w:color w:val="000000"/>
              </w:rPr>
            </w:pPr>
            <w:r>
              <w:rPr>
                <w:rFonts w:hint="eastAsia"/>
                <w:color w:val="000000"/>
              </w:rPr>
              <w:t>综上，项目设计污 水处理系统的处理能力和处理工艺能够有效处理项目产生的生活废水，处理后的废水能够达到《城市污水再生利用 城市杂用水水质（GB/T18920-2020）》中厂区道路浇洒及绿化标准，故项目生活废水经一体化污水处理设施处理可行。</w:t>
            </w:r>
          </w:p>
          <w:p w14:paraId="01D7409F">
            <w:pPr>
              <w:ind w:firstLine="480"/>
              <w:rPr>
                <w:color w:val="000000"/>
              </w:rPr>
            </w:pPr>
            <w:r>
              <w:rPr>
                <w:rFonts w:hint="eastAsia"/>
              </w:rPr>
              <w:t>④</w:t>
            </w:r>
            <w:r>
              <w:rPr>
                <w:rFonts w:hint="eastAsia"/>
                <w:color w:val="000000"/>
              </w:rPr>
              <w:t>生活污水不外排可行性分析</w:t>
            </w:r>
          </w:p>
          <w:p w14:paraId="7E754D84">
            <w:pPr>
              <w:ind w:firstLine="480"/>
              <w:rPr>
                <w:bCs/>
                <w:color w:val="000000"/>
              </w:rPr>
            </w:pPr>
            <w:r>
              <w:rPr>
                <w:rFonts w:hint="eastAsia"/>
                <w:bCs/>
                <w:color w:val="000000"/>
              </w:rPr>
              <w:t xml:space="preserve">项目员工食堂废水经隔油池处理后与生活污水一起经化粪池处理后排入一                                                                                                                                                                                                                                                                                                                                                                                                                                                                                                                                                                                                                                                                                                                                                                                                                                                                                                                                                                                                                                                                                                                                                                                                                                                                                                                                                                                                                                                                                                                                                                                                                                                                                                                                                                                                                                                                                                                                                                                                                                                                                                                                                                                                                                                                                                                                                                                                                                                                                                                                                                                                                                                                                                                                                                                                                                                                                                                                                                                                                                                                                                                                                                                                                                                                                                                                                                                                                                                                                                                                                                                                                                                                                                                                                                                                                                                                                                                                                                                                                                                                                                                                                                                </w:t>
            </w:r>
            <w:r>
              <w:rPr>
                <w:rFonts w:hint="eastAsia"/>
                <w:bCs/>
                <w:color w:val="000000"/>
              </w:rPr>
              <w:t xml:space="preserve">                                                                                                                                                                                                                                                                                                                                                                                                                                                                                                                                                                                                                                                                                                                                                                                                                                                                                                                                                                                                                                                                                                                                                                                                                                                                                                                                                                                                                                                                                                                                                                                                                                                                                                                                                                                                                                                                                                                                                                                                                                                                                                                                                                                                                                                                                                                                                                                                                                                                                                体化污水处理设施处理后回用于洒水降尘及绿化，不外排。根据水平衡，项目生活废水总量为156m</w:t>
            </w:r>
            <w:r>
              <w:rPr>
                <w:rFonts w:hint="eastAsia"/>
                <w:bCs/>
                <w:color w:val="000000"/>
                <w:vertAlign w:val="superscript"/>
              </w:rPr>
              <w:t>3</w:t>
            </w:r>
            <w:r>
              <w:rPr>
                <w:rFonts w:hint="eastAsia"/>
                <w:bCs/>
                <w:color w:val="000000"/>
              </w:rPr>
              <w:t>/a，0.52m</w:t>
            </w:r>
            <w:r>
              <w:rPr>
                <w:rFonts w:hint="eastAsia"/>
                <w:bCs/>
                <w:color w:val="000000"/>
                <w:vertAlign w:val="superscript"/>
              </w:rPr>
              <w:t>3</w:t>
            </w:r>
            <w:r>
              <w:rPr>
                <w:rFonts w:hint="eastAsia"/>
                <w:bCs/>
                <w:color w:val="000000"/>
              </w:rPr>
              <w:t>/d，主要污染因子为COD、SS、NH</w:t>
            </w:r>
            <w:r>
              <w:rPr>
                <w:rFonts w:hint="eastAsia"/>
                <w:bCs/>
                <w:color w:val="000000"/>
                <w:vertAlign w:val="subscript"/>
              </w:rPr>
              <w:t>3</w:t>
            </w:r>
            <w:r>
              <w:rPr>
                <w:rFonts w:hint="eastAsia"/>
                <w:bCs/>
                <w:color w:val="000000"/>
              </w:rPr>
              <w:t>-N。</w:t>
            </w:r>
          </w:p>
          <w:p w14:paraId="3A56CF2C">
            <w:pPr>
              <w:pStyle w:val="19"/>
              <w:ind w:firstLine="480"/>
              <w:rPr>
                <w:rFonts w:ascii="Times New Roman"/>
                <w:highlight w:val="yellow"/>
              </w:rPr>
            </w:pPr>
            <w:r>
              <w:rPr>
                <w:rFonts w:hint="eastAsia" w:ascii="Times New Roman"/>
                <w:color w:val="000000"/>
              </w:rPr>
              <w:t>根据水平衡分析，项目场地降尘需水量为720m</w:t>
            </w:r>
            <w:r>
              <w:rPr>
                <w:rFonts w:hint="eastAsia" w:ascii="Times New Roman"/>
                <w:color w:val="000000"/>
                <w:vertAlign w:val="superscript"/>
              </w:rPr>
              <w:t>3</w:t>
            </w:r>
            <w:r>
              <w:rPr>
                <w:rFonts w:hint="eastAsia" w:ascii="Times New Roman"/>
                <w:color w:val="000000"/>
              </w:rPr>
              <w:t>/a，3.6m</w:t>
            </w:r>
            <w:r>
              <w:rPr>
                <w:rFonts w:hint="eastAsia" w:ascii="Times New Roman"/>
                <w:color w:val="000000"/>
                <w:vertAlign w:val="superscript"/>
              </w:rPr>
              <w:t>3</w:t>
            </w:r>
            <w:r>
              <w:rPr>
                <w:rFonts w:hint="eastAsia" w:ascii="Times New Roman"/>
                <w:color w:val="000000"/>
              </w:rPr>
              <w:t>/d，厂区绿化用水需574.8m</w:t>
            </w:r>
            <w:r>
              <w:rPr>
                <w:rFonts w:hint="eastAsia" w:ascii="Times New Roman"/>
                <w:color w:val="000000"/>
                <w:vertAlign w:val="superscript"/>
              </w:rPr>
              <w:t>3</w:t>
            </w:r>
            <w:r>
              <w:rPr>
                <w:rFonts w:hint="eastAsia" w:ascii="Times New Roman"/>
                <w:color w:val="000000"/>
              </w:rPr>
              <w:t>/a，2.874m</w:t>
            </w:r>
            <w:r>
              <w:rPr>
                <w:rFonts w:hint="eastAsia" w:ascii="Times New Roman"/>
                <w:color w:val="000000"/>
                <w:vertAlign w:val="superscript"/>
              </w:rPr>
              <w:t>3</w:t>
            </w:r>
            <w:r>
              <w:rPr>
                <w:rFonts w:hint="eastAsia" w:ascii="Times New Roman"/>
                <w:color w:val="000000"/>
              </w:rPr>
              <w:t>/d。项目生活废水产生量远小于项目厂区内降尘所需用水量，可保证项目经污水处理站处理后的生活废水均综合利用，不外排。且根据一体化污水处理设备设计工艺可知，项目产生生活废水采用污水处理站处理后出水水质可达到《城市污水再生利用 城市杂用水水质（GB/T18920-2020）》中厂区道路浇洒及绿化标准，故项目生活废水综合利用不外排是可行可靠的。</w:t>
            </w:r>
          </w:p>
          <w:p w14:paraId="2F1983DE">
            <w:pPr>
              <w:ind w:firstLine="480"/>
            </w:pPr>
            <w:r>
              <w:t>（</w:t>
            </w:r>
            <w:r>
              <w:rPr>
                <w:rFonts w:hint="eastAsia"/>
              </w:rPr>
              <w:t>3</w:t>
            </w:r>
            <w:r>
              <w:t>）</w:t>
            </w:r>
            <w:r>
              <w:rPr>
                <w:rFonts w:hint="eastAsia"/>
              </w:rPr>
              <w:t>初期雨水</w:t>
            </w:r>
          </w:p>
          <w:p w14:paraId="2E249F17">
            <w:pPr>
              <w:ind w:firstLine="480"/>
            </w:pPr>
            <w:r>
              <w:rPr>
                <w:rFonts w:hint="eastAsia"/>
              </w:rPr>
              <w:t>初期雨水主要污染物是SS，经</w:t>
            </w:r>
            <w:r>
              <w:t>收集沉淀处理后</w:t>
            </w:r>
            <w:r>
              <w:rPr>
                <w:rFonts w:hint="eastAsia"/>
              </w:rPr>
              <w:t>悬浮物</w:t>
            </w:r>
            <w:r>
              <w:t>浓度大大降低</w:t>
            </w:r>
            <w:r>
              <w:rPr>
                <w:rFonts w:hint="eastAsia"/>
              </w:rPr>
              <w:t>，拟建初期雨水池容积为15m</w:t>
            </w:r>
            <w:r>
              <w:rPr>
                <w:rFonts w:hint="eastAsia"/>
                <w:vertAlign w:val="superscript"/>
              </w:rPr>
              <w:t>3</w:t>
            </w:r>
            <w:r>
              <w:rPr>
                <w:rFonts w:hint="eastAsia"/>
              </w:rPr>
              <w:t>，项目初期雨水处理技术为《排污许可证申请与核发技术规范 石墨及其他非金属矿物制品制造》（HJ1119-2020）推荐可行技术，出水水质满足洒水降尘用水要求。</w:t>
            </w:r>
          </w:p>
          <w:p w14:paraId="3B13D2EA">
            <w:pPr>
              <w:ind w:firstLine="480"/>
            </w:pPr>
            <w:r>
              <w:rPr>
                <w:rFonts w:hint="eastAsia"/>
              </w:rPr>
              <w:t>综上所述，项目废水处理方式可行，产生的车辆轮胎清洗废水、员工办公生活污水和初期雨水等均可得到有效处置。</w:t>
            </w:r>
          </w:p>
          <w:p w14:paraId="68977663">
            <w:pPr>
              <w:ind w:firstLine="482"/>
              <w:rPr>
                <w:b/>
                <w:bCs/>
              </w:rPr>
            </w:pPr>
            <w:r>
              <w:rPr>
                <w:rFonts w:hint="eastAsia"/>
                <w:b/>
                <w:bCs/>
              </w:rPr>
              <w:t>4、废水不外排可行性分析</w:t>
            </w:r>
          </w:p>
          <w:p w14:paraId="5EDFF769">
            <w:pPr>
              <w:ind w:firstLine="480"/>
            </w:pPr>
            <w:r>
              <w:rPr>
                <w:rFonts w:hint="eastAsia"/>
              </w:rPr>
              <w:t>项目产生的员工办公生活污水和收集的初期雨水均回用于绿化和场地洒水降尘。根据前文计算，生活污水产生量164m</w:t>
            </w:r>
            <w:r>
              <w:rPr>
                <w:rFonts w:hint="eastAsia"/>
                <w:vertAlign w:val="superscript"/>
              </w:rPr>
              <w:t>3</w:t>
            </w:r>
            <w:r>
              <w:rPr>
                <w:rFonts w:hint="eastAsia"/>
              </w:rPr>
              <w:t>/a、初期雨水产生量为650m</w:t>
            </w:r>
            <w:r>
              <w:rPr>
                <w:rFonts w:hint="eastAsia"/>
                <w:vertAlign w:val="superscript"/>
              </w:rPr>
              <w:t>3</w:t>
            </w:r>
            <w:r>
              <w:rPr>
                <w:rFonts w:hint="eastAsia"/>
              </w:rPr>
              <w:t>/a、绿化用水量为498m</w:t>
            </w:r>
            <w:r>
              <w:rPr>
                <w:rFonts w:hint="eastAsia"/>
                <w:vertAlign w:val="superscript"/>
              </w:rPr>
              <w:t>3</w:t>
            </w:r>
            <w:r>
              <w:rPr>
                <w:rFonts w:hint="eastAsia"/>
              </w:rPr>
              <w:t>/a、场地降尘用水量为720m</w:t>
            </w:r>
            <w:r>
              <w:rPr>
                <w:rFonts w:hint="eastAsia"/>
                <w:vertAlign w:val="superscript"/>
              </w:rPr>
              <w:t>3</w:t>
            </w:r>
            <w:r>
              <w:rPr>
                <w:rFonts w:hint="eastAsia"/>
              </w:rPr>
              <w:t>/a，生活污水和初期雨水产生量合计814m</w:t>
            </w:r>
            <w:r>
              <w:rPr>
                <w:rFonts w:hint="eastAsia"/>
                <w:vertAlign w:val="superscript"/>
              </w:rPr>
              <w:t>3</w:t>
            </w:r>
            <w:r>
              <w:rPr>
                <w:rFonts w:hint="eastAsia"/>
              </w:rPr>
              <w:t>/a、绿化和场地降尘合计1218m</w:t>
            </w:r>
            <w:r>
              <w:rPr>
                <w:rFonts w:hint="eastAsia"/>
                <w:vertAlign w:val="superscript"/>
              </w:rPr>
              <w:t>3</w:t>
            </w:r>
            <w:r>
              <w:rPr>
                <w:rFonts w:hint="eastAsia"/>
              </w:rPr>
              <w:t>/a，回用水量大于废污水产生量，生活污水和初期雨水处理后回用于绿化和场地降尘可行。考虑连续10日降雨不能回用生活污水，需对这部分处理后的生活污水进行暂存，后用于晴天绿化和降尘。10日生活污水产生量为5.46m</w:t>
            </w:r>
            <w:r>
              <w:rPr>
                <w:rFonts w:hint="eastAsia"/>
                <w:vertAlign w:val="superscript"/>
              </w:rPr>
              <w:t>3</w:t>
            </w:r>
            <w:r>
              <w:rPr>
                <w:rFonts w:hint="eastAsia"/>
              </w:rPr>
              <w:t>，利用初期雨水收集池进行暂存，初期雨水收集池容积15m</w:t>
            </w:r>
            <w:r>
              <w:rPr>
                <w:rFonts w:hint="eastAsia"/>
                <w:vertAlign w:val="superscript"/>
              </w:rPr>
              <w:t>3</w:t>
            </w:r>
            <w:r>
              <w:rPr>
                <w:rFonts w:hint="eastAsia"/>
              </w:rPr>
              <w:t>，可同时满足一次初期雨水量和10日生活污水产生量，满足暂存要求。</w:t>
            </w:r>
          </w:p>
          <w:p w14:paraId="6BF24BD0">
            <w:pPr>
              <w:ind w:firstLine="480"/>
            </w:pPr>
            <w:r>
              <w:rPr>
                <w:rFonts w:hint="eastAsia"/>
              </w:rPr>
              <w:t>综上，项目员工办公生活污水和收集的初期雨水均回用于绿化和场地洒水降尘，不外排可行。</w:t>
            </w:r>
          </w:p>
          <w:p w14:paraId="64067D3A">
            <w:pPr>
              <w:ind w:firstLine="482"/>
              <w:rPr>
                <w:b/>
                <w:bCs/>
              </w:rPr>
            </w:pPr>
            <w:r>
              <w:rPr>
                <w:rFonts w:hint="eastAsia"/>
                <w:b/>
                <w:bCs/>
              </w:rPr>
              <w:t>5、</w:t>
            </w:r>
            <w:r>
              <w:rPr>
                <w:b/>
                <w:bCs/>
              </w:rPr>
              <w:t>废水自行监测计划</w:t>
            </w:r>
          </w:p>
          <w:p w14:paraId="4F0D1E40">
            <w:pPr>
              <w:ind w:firstLine="480"/>
            </w:pPr>
            <w:r>
              <w:t>根据</w:t>
            </w:r>
            <w:r>
              <w:rPr>
                <w:rFonts w:hint="eastAsia"/>
              </w:rPr>
              <w:t>《排污许可证申请与核发技术规范——总则》（HJ942-2018）、《排污单位自行监测技术指南 总则》（HJ819-2017）和《排污许可证申请与核发技术规范石墨及其他非金属矿物制品制造》（HJ1119-2020）中的废水自行监测要求，本项目废水不外排不设自行监测计划，雨水应设置监测点</w:t>
            </w:r>
            <w:r>
              <w:t>，项目运营期环境监测计划见表4-2。</w:t>
            </w:r>
          </w:p>
          <w:p w14:paraId="7AC541F6">
            <w:pPr>
              <w:ind w:firstLine="422"/>
              <w:jc w:val="center"/>
              <w:rPr>
                <w:b/>
                <w:bCs/>
                <w:sz w:val="21"/>
                <w:szCs w:val="21"/>
              </w:rPr>
            </w:pPr>
            <w:r>
              <w:rPr>
                <w:b/>
                <w:bCs/>
                <w:sz w:val="21"/>
                <w:szCs w:val="21"/>
              </w:rPr>
              <w:t>表4-2  废水污染物自行监测计划一览表</w:t>
            </w:r>
          </w:p>
          <w:tbl>
            <w:tblPr>
              <w:tblStyle w:val="27"/>
              <w:tblW w:w="82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7"/>
              <w:gridCol w:w="2067"/>
              <w:gridCol w:w="2067"/>
              <w:gridCol w:w="2069"/>
            </w:tblGrid>
            <w:tr w14:paraId="0448B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067" w:type="dxa"/>
                  <w:vAlign w:val="center"/>
                </w:tcPr>
                <w:p w14:paraId="4DCAA7F5">
                  <w:pPr>
                    <w:spacing w:line="240" w:lineRule="auto"/>
                    <w:ind w:firstLine="0" w:firstLineChars="0"/>
                    <w:jc w:val="center"/>
                    <w:rPr>
                      <w:b/>
                      <w:bCs/>
                      <w:sz w:val="21"/>
                      <w:szCs w:val="21"/>
                    </w:rPr>
                  </w:pPr>
                  <w:r>
                    <w:rPr>
                      <w:b/>
                      <w:bCs/>
                      <w:sz w:val="21"/>
                      <w:szCs w:val="21"/>
                    </w:rPr>
                    <w:t>监测内容</w:t>
                  </w:r>
                </w:p>
              </w:tc>
              <w:tc>
                <w:tcPr>
                  <w:tcW w:w="2067" w:type="dxa"/>
                  <w:vAlign w:val="center"/>
                </w:tcPr>
                <w:p w14:paraId="2B1232D2">
                  <w:pPr>
                    <w:spacing w:line="240" w:lineRule="auto"/>
                    <w:ind w:firstLine="0" w:firstLineChars="0"/>
                    <w:jc w:val="center"/>
                    <w:rPr>
                      <w:b/>
                      <w:bCs/>
                      <w:sz w:val="21"/>
                      <w:szCs w:val="21"/>
                    </w:rPr>
                  </w:pPr>
                  <w:r>
                    <w:rPr>
                      <w:b/>
                      <w:bCs/>
                      <w:sz w:val="21"/>
                      <w:szCs w:val="21"/>
                    </w:rPr>
                    <w:t>监测点位</w:t>
                  </w:r>
                </w:p>
              </w:tc>
              <w:tc>
                <w:tcPr>
                  <w:tcW w:w="2067" w:type="dxa"/>
                  <w:vAlign w:val="center"/>
                </w:tcPr>
                <w:p w14:paraId="24704C7B">
                  <w:pPr>
                    <w:spacing w:line="240" w:lineRule="auto"/>
                    <w:ind w:firstLine="0" w:firstLineChars="0"/>
                    <w:jc w:val="center"/>
                    <w:rPr>
                      <w:b/>
                      <w:bCs/>
                      <w:sz w:val="21"/>
                      <w:szCs w:val="21"/>
                    </w:rPr>
                  </w:pPr>
                  <w:r>
                    <w:rPr>
                      <w:b/>
                      <w:bCs/>
                      <w:sz w:val="21"/>
                      <w:szCs w:val="21"/>
                    </w:rPr>
                    <w:t>监测项目</w:t>
                  </w:r>
                </w:p>
              </w:tc>
              <w:tc>
                <w:tcPr>
                  <w:tcW w:w="2069" w:type="dxa"/>
                  <w:vAlign w:val="center"/>
                </w:tcPr>
                <w:p w14:paraId="34698449">
                  <w:pPr>
                    <w:spacing w:line="240" w:lineRule="auto"/>
                    <w:ind w:firstLine="0" w:firstLineChars="0"/>
                    <w:jc w:val="center"/>
                    <w:rPr>
                      <w:b/>
                      <w:bCs/>
                      <w:sz w:val="21"/>
                      <w:szCs w:val="21"/>
                    </w:rPr>
                  </w:pPr>
                  <w:r>
                    <w:rPr>
                      <w:b/>
                      <w:bCs/>
                      <w:sz w:val="21"/>
                      <w:szCs w:val="21"/>
                    </w:rPr>
                    <w:t>监测频次</w:t>
                  </w:r>
                </w:p>
              </w:tc>
            </w:tr>
            <w:tr w14:paraId="350EC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067" w:type="dxa"/>
                  <w:vAlign w:val="center"/>
                </w:tcPr>
                <w:p w14:paraId="33C652BC">
                  <w:pPr>
                    <w:spacing w:line="240" w:lineRule="auto"/>
                    <w:ind w:firstLine="0" w:firstLineChars="0"/>
                    <w:jc w:val="center"/>
                    <w:rPr>
                      <w:sz w:val="21"/>
                      <w:szCs w:val="21"/>
                    </w:rPr>
                  </w:pPr>
                  <w:r>
                    <w:rPr>
                      <w:rFonts w:hint="eastAsia"/>
                      <w:sz w:val="21"/>
                      <w:szCs w:val="21"/>
                    </w:rPr>
                    <w:t>雨水</w:t>
                  </w:r>
                </w:p>
              </w:tc>
              <w:tc>
                <w:tcPr>
                  <w:tcW w:w="2067" w:type="dxa"/>
                  <w:vAlign w:val="center"/>
                </w:tcPr>
                <w:p w14:paraId="7E8C39DF">
                  <w:pPr>
                    <w:spacing w:line="240" w:lineRule="auto"/>
                    <w:ind w:firstLine="0" w:firstLineChars="0"/>
                    <w:jc w:val="center"/>
                    <w:rPr>
                      <w:sz w:val="21"/>
                      <w:szCs w:val="21"/>
                    </w:rPr>
                  </w:pPr>
                  <w:r>
                    <w:rPr>
                      <w:rFonts w:hint="eastAsia"/>
                      <w:sz w:val="21"/>
                      <w:szCs w:val="21"/>
                    </w:rPr>
                    <w:t>雨水排放口</w:t>
                  </w:r>
                </w:p>
              </w:tc>
              <w:tc>
                <w:tcPr>
                  <w:tcW w:w="2067" w:type="dxa"/>
                  <w:vAlign w:val="center"/>
                </w:tcPr>
                <w:p w14:paraId="4F4DE361">
                  <w:pPr>
                    <w:spacing w:line="240" w:lineRule="auto"/>
                    <w:ind w:firstLine="0" w:firstLineChars="0"/>
                    <w:jc w:val="center"/>
                    <w:rPr>
                      <w:sz w:val="21"/>
                      <w:szCs w:val="21"/>
                    </w:rPr>
                  </w:pPr>
                  <w:r>
                    <w:rPr>
                      <w:rFonts w:hint="eastAsia"/>
                      <w:sz w:val="21"/>
                      <w:szCs w:val="21"/>
                    </w:rPr>
                    <w:t>化学需氧量、氨氮</w:t>
                  </w:r>
                </w:p>
              </w:tc>
              <w:tc>
                <w:tcPr>
                  <w:tcW w:w="2069" w:type="dxa"/>
                  <w:vAlign w:val="center"/>
                </w:tcPr>
                <w:p w14:paraId="34502459">
                  <w:pPr>
                    <w:spacing w:line="240" w:lineRule="auto"/>
                    <w:ind w:firstLine="0" w:firstLineChars="0"/>
                    <w:jc w:val="center"/>
                    <w:rPr>
                      <w:sz w:val="21"/>
                      <w:szCs w:val="21"/>
                    </w:rPr>
                  </w:pPr>
                  <w:r>
                    <w:rPr>
                      <w:rFonts w:hint="eastAsia"/>
                      <w:sz w:val="21"/>
                      <w:szCs w:val="21"/>
                    </w:rPr>
                    <w:t>1次/日a</w:t>
                  </w:r>
                </w:p>
              </w:tc>
            </w:tr>
            <w:tr w14:paraId="2C2D8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70" w:type="dxa"/>
                  <w:gridSpan w:val="4"/>
                  <w:vAlign w:val="center"/>
                </w:tcPr>
                <w:p w14:paraId="75D34665">
                  <w:pPr>
                    <w:spacing w:line="240" w:lineRule="auto"/>
                    <w:ind w:firstLine="0" w:firstLineChars="0"/>
                    <w:rPr>
                      <w:sz w:val="21"/>
                      <w:szCs w:val="21"/>
                    </w:rPr>
                  </w:pPr>
                  <w:r>
                    <w:rPr>
                      <w:rFonts w:hint="eastAsia"/>
                      <w:sz w:val="21"/>
                      <w:szCs w:val="21"/>
                    </w:rPr>
                    <w:t>a 雨水排放口有流动水排放时开展监测，排放期间按日监测，如监测一年无异常情况，每季度第一次有流动水排放时按日开展监测。</w:t>
                  </w:r>
                </w:p>
              </w:tc>
            </w:tr>
          </w:tbl>
          <w:p w14:paraId="766EE811">
            <w:pPr>
              <w:ind w:firstLine="482"/>
              <w:rPr>
                <w:b/>
                <w:bCs/>
              </w:rPr>
            </w:pPr>
            <w:r>
              <w:rPr>
                <w:b/>
                <w:bCs/>
              </w:rPr>
              <w:t>6</w:t>
            </w:r>
            <w:r>
              <w:rPr>
                <w:rFonts w:hint="eastAsia"/>
                <w:b/>
                <w:bCs/>
              </w:rPr>
              <w:t>、废水影响分析结论</w:t>
            </w:r>
          </w:p>
          <w:p w14:paraId="1178D6D5">
            <w:pPr>
              <w:ind w:firstLine="480"/>
              <w:rPr>
                <w:color w:val="000000"/>
              </w:rPr>
            </w:pPr>
            <w:r>
              <w:rPr>
                <w:rFonts w:hint="eastAsia"/>
              </w:rPr>
              <w:t>项目车辆轮胎清洗废水沉淀处理后回用于车辆轮胎清洗，不外排；初期雨水经截排水沟收集后排入初期雨水收集池沉淀后回用于项目区绿化和场地洒水降尘，不外排；办公生活污水</w:t>
            </w:r>
            <w:r>
              <w:rPr>
                <w:rFonts w:hint="eastAsia"/>
                <w:color w:val="000000"/>
              </w:rPr>
              <w:t>经油水分离器、化粪池和一体化污水处理设施处理后回用于</w:t>
            </w:r>
            <w:r>
              <w:rPr>
                <w:rFonts w:hint="eastAsia"/>
              </w:rPr>
              <w:t>绿化和场地洒水降尘</w:t>
            </w:r>
            <w:r>
              <w:rPr>
                <w:rFonts w:hint="eastAsia"/>
                <w:color w:val="000000"/>
              </w:rPr>
              <w:t>，不外排。</w:t>
            </w:r>
          </w:p>
          <w:p w14:paraId="57531922">
            <w:pPr>
              <w:ind w:firstLine="480"/>
            </w:pPr>
            <w:r>
              <w:rPr>
                <w:rFonts w:hint="eastAsia"/>
              </w:rPr>
              <w:t>综上所述，项目运营期废污水经收集处理后全部回用，不外排，不会改变当地地表水环境功能。</w:t>
            </w:r>
          </w:p>
          <w:p w14:paraId="66B9E611">
            <w:pPr>
              <w:ind w:firstLine="0" w:firstLineChars="0"/>
              <w:rPr>
                <w:b/>
                <w:bCs/>
              </w:rPr>
            </w:pPr>
            <w:r>
              <w:rPr>
                <w:rFonts w:hint="eastAsia"/>
                <w:b/>
                <w:bCs/>
              </w:rPr>
              <w:t>三、</w:t>
            </w:r>
            <w:r>
              <w:rPr>
                <w:b/>
                <w:bCs/>
              </w:rPr>
              <w:t>噪声影响和保护措施</w:t>
            </w:r>
          </w:p>
          <w:p w14:paraId="71380F56">
            <w:pPr>
              <w:ind w:firstLine="482"/>
              <w:rPr>
                <w:b/>
                <w:bCs/>
              </w:rPr>
            </w:pPr>
            <w:r>
              <w:rPr>
                <w:rFonts w:hint="eastAsia"/>
                <w:b/>
                <w:bCs/>
              </w:rPr>
              <w:t>1、</w:t>
            </w:r>
            <w:r>
              <w:rPr>
                <w:b/>
                <w:bCs/>
              </w:rPr>
              <w:t>项目噪声源强</w:t>
            </w:r>
          </w:p>
          <w:p w14:paraId="7EA757E7">
            <w:pPr>
              <w:ind w:firstLine="480"/>
            </w:pPr>
            <w:r>
              <w:t>项目噪声源主要为</w:t>
            </w:r>
            <w:r>
              <w:rPr>
                <w:rFonts w:hint="eastAsia"/>
              </w:rPr>
              <w:t>给料机、皮带输送机、烘干滚筒、提升机、搅拌器及配套风机</w:t>
            </w:r>
            <w:r>
              <w:t>等设备</w:t>
            </w:r>
            <w:r>
              <w:rPr>
                <w:rFonts w:hint="eastAsia"/>
              </w:rPr>
              <w:t>运行时产生的</w:t>
            </w:r>
            <w:r>
              <w:t>噪声，项目</w:t>
            </w:r>
            <w:r>
              <w:rPr>
                <w:lang w:val="zh-CN"/>
              </w:rPr>
              <w:t>各</w:t>
            </w:r>
            <w:r>
              <w:t>设备</w:t>
            </w:r>
            <w:r>
              <w:rPr>
                <w:lang w:val="zh-CN"/>
              </w:rPr>
              <w:t>噪声值在</w:t>
            </w:r>
            <w:r>
              <w:rPr>
                <w:rFonts w:hint="eastAsia"/>
              </w:rPr>
              <w:t>65</w:t>
            </w:r>
            <w:r>
              <w:rPr>
                <w:lang w:val="zh-CN"/>
              </w:rPr>
              <w:t>～</w:t>
            </w:r>
            <w:r>
              <w:rPr>
                <w:rFonts w:hint="eastAsia"/>
              </w:rPr>
              <w:t>85</w:t>
            </w:r>
            <w:r>
              <w:rPr>
                <w:lang w:val="zh-CN"/>
              </w:rPr>
              <w:t>dB(A)之间。</w:t>
            </w:r>
            <w:r>
              <w:t>本项目主要噪声源声压级及降噪措施见表4-</w:t>
            </w:r>
            <w:r>
              <w:rPr>
                <w:rFonts w:hint="eastAsia"/>
              </w:rPr>
              <w:t>3</w:t>
            </w:r>
            <w:r>
              <w:t>。</w:t>
            </w:r>
          </w:p>
          <w:p w14:paraId="61FCEA5E">
            <w:pPr>
              <w:ind w:firstLine="480"/>
            </w:pPr>
          </w:p>
          <w:p w14:paraId="6CBB3697">
            <w:pPr>
              <w:ind w:firstLine="480"/>
            </w:pPr>
          </w:p>
          <w:p w14:paraId="40F514DD">
            <w:pPr>
              <w:pStyle w:val="15"/>
            </w:pPr>
          </w:p>
          <w:p w14:paraId="179F4FE1">
            <w:pPr>
              <w:pStyle w:val="15"/>
            </w:pPr>
          </w:p>
          <w:p w14:paraId="19E2A9C0">
            <w:pPr>
              <w:pStyle w:val="15"/>
            </w:pPr>
          </w:p>
          <w:p w14:paraId="64A21EBB">
            <w:pPr>
              <w:pStyle w:val="15"/>
            </w:pPr>
          </w:p>
          <w:p w14:paraId="48D9A0B3">
            <w:pPr>
              <w:pStyle w:val="15"/>
            </w:pPr>
          </w:p>
          <w:p w14:paraId="04DFEAA8">
            <w:pPr>
              <w:pStyle w:val="15"/>
              <w:ind w:left="0" w:leftChars="0" w:firstLine="0" w:firstLineChars="0"/>
            </w:pPr>
          </w:p>
          <w:p w14:paraId="271E95BB">
            <w:pPr>
              <w:pStyle w:val="15"/>
              <w:ind w:left="0" w:leftChars="0" w:firstLine="0" w:firstLineChars="0"/>
            </w:pPr>
          </w:p>
          <w:p w14:paraId="15691C35">
            <w:pPr>
              <w:pStyle w:val="15"/>
              <w:ind w:left="0" w:leftChars="0" w:firstLine="0" w:firstLineChars="0"/>
            </w:pPr>
          </w:p>
          <w:p w14:paraId="5CA5365B">
            <w:pPr>
              <w:pStyle w:val="15"/>
              <w:ind w:left="0" w:leftChars="0" w:firstLine="0" w:firstLineChars="0"/>
            </w:pPr>
          </w:p>
          <w:p w14:paraId="2284F35F">
            <w:pPr>
              <w:ind w:firstLine="0" w:firstLineChars="0"/>
            </w:pPr>
          </w:p>
        </w:tc>
      </w:tr>
    </w:tbl>
    <w:p w14:paraId="12E57110">
      <w:pPr>
        <w:ind w:firstLine="480"/>
        <w:sectPr>
          <w:pgSz w:w="12240" w:h="15840"/>
          <w:pgMar w:top="1440" w:right="1800" w:bottom="1440" w:left="1800" w:header="720" w:footer="720" w:gutter="0"/>
          <w:cols w:space="425" w:num="1"/>
          <w:docGrid w:type="lines" w:linePitch="312" w:charSpace="0"/>
        </w:sectPr>
      </w:pP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1"/>
        <w:gridCol w:w="12745"/>
      </w:tblGrid>
      <w:tr w14:paraId="7AF30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dxa"/>
            <w:vAlign w:val="center"/>
          </w:tcPr>
          <w:p w14:paraId="25A762E6">
            <w:pPr>
              <w:spacing w:line="240" w:lineRule="auto"/>
              <w:ind w:firstLine="0" w:firstLineChars="0"/>
              <w:jc w:val="center"/>
            </w:pPr>
            <w:r>
              <w:rPr>
                <w:rFonts w:hint="eastAsia"/>
              </w:rPr>
              <w:t>运营期环境影响和保护措施</w:t>
            </w:r>
          </w:p>
        </w:tc>
        <w:tc>
          <w:tcPr>
            <w:tcW w:w="12745" w:type="dxa"/>
            <w:vAlign w:val="center"/>
          </w:tcPr>
          <w:p w14:paraId="712B063F">
            <w:pPr>
              <w:spacing w:line="240" w:lineRule="auto"/>
              <w:ind w:firstLine="0" w:firstLineChars="0"/>
              <w:jc w:val="center"/>
              <w:rPr>
                <w:b/>
                <w:bCs/>
              </w:rPr>
            </w:pPr>
            <w:r>
              <w:rPr>
                <w:rFonts w:hint="eastAsia"/>
                <w:b/>
                <w:bCs/>
                <w:sz w:val="21"/>
                <w:szCs w:val="21"/>
              </w:rPr>
              <w:t>表4-3  工业企业噪声源强调查清单（室内声源）</w:t>
            </w:r>
          </w:p>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
              <w:gridCol w:w="848"/>
              <w:gridCol w:w="843"/>
              <w:gridCol w:w="451"/>
              <w:gridCol w:w="834"/>
              <w:gridCol w:w="859"/>
              <w:gridCol w:w="934"/>
              <w:gridCol w:w="814"/>
              <w:gridCol w:w="671"/>
              <w:gridCol w:w="949"/>
              <w:gridCol w:w="1097"/>
              <w:gridCol w:w="779"/>
              <w:gridCol w:w="1002"/>
              <w:gridCol w:w="964"/>
              <w:gridCol w:w="1027"/>
            </w:tblGrid>
            <w:tr w14:paraId="2C9DE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79" w:type="pct"/>
                  <w:vMerge w:val="restart"/>
                  <w:tcBorders>
                    <w:tl2br w:val="nil"/>
                    <w:tr2bl w:val="nil"/>
                  </w:tcBorders>
                  <w:shd w:val="clear" w:color="auto" w:fill="auto"/>
                  <w:noWrap/>
                  <w:vAlign w:val="center"/>
                </w:tcPr>
                <w:p w14:paraId="469A9EF8">
                  <w:pPr>
                    <w:pStyle w:val="12"/>
                    <w:keepLines/>
                    <w:adjustRightInd w:val="0"/>
                    <w:snapToGrid w:val="0"/>
                    <w:spacing w:line="240" w:lineRule="auto"/>
                    <w:ind w:firstLine="0" w:firstLineChars="0"/>
                    <w:jc w:val="center"/>
                    <w:rPr>
                      <w:rFonts w:ascii="Times New Roman" w:hAnsi="Times New Roman"/>
                      <w:b/>
                      <w:bCs/>
                      <w:kern w:val="0"/>
                      <w:sz w:val="21"/>
                    </w:rPr>
                  </w:pPr>
                  <w:r>
                    <w:rPr>
                      <w:rFonts w:hint="eastAsia" w:ascii="Times New Roman" w:hAnsi="Times New Roman"/>
                      <w:b/>
                      <w:bCs/>
                      <w:kern w:val="0"/>
                      <w:sz w:val="21"/>
                    </w:rPr>
                    <w:t>序号</w:t>
                  </w:r>
                </w:p>
              </w:tc>
              <w:tc>
                <w:tcPr>
                  <w:tcW w:w="339" w:type="pct"/>
                  <w:vMerge w:val="restart"/>
                  <w:tcBorders>
                    <w:tl2br w:val="nil"/>
                    <w:tr2bl w:val="nil"/>
                  </w:tcBorders>
                  <w:shd w:val="clear" w:color="auto" w:fill="auto"/>
                  <w:noWrap/>
                  <w:vAlign w:val="center"/>
                </w:tcPr>
                <w:p w14:paraId="67F0B57D">
                  <w:pPr>
                    <w:pStyle w:val="12"/>
                    <w:keepLines/>
                    <w:adjustRightInd w:val="0"/>
                    <w:snapToGrid w:val="0"/>
                    <w:spacing w:line="240" w:lineRule="auto"/>
                    <w:ind w:firstLine="0" w:firstLineChars="0"/>
                    <w:jc w:val="center"/>
                    <w:rPr>
                      <w:rFonts w:ascii="Times New Roman" w:hAnsi="Times New Roman"/>
                      <w:b/>
                      <w:bCs/>
                      <w:kern w:val="0"/>
                      <w:sz w:val="21"/>
                    </w:rPr>
                  </w:pPr>
                  <w:r>
                    <w:rPr>
                      <w:rFonts w:hint="eastAsia" w:ascii="Times New Roman" w:hAnsi="Times New Roman"/>
                      <w:b/>
                      <w:bCs/>
                      <w:kern w:val="0"/>
                      <w:sz w:val="21"/>
                    </w:rPr>
                    <w:t>建筑物名称</w:t>
                  </w:r>
                </w:p>
              </w:tc>
              <w:tc>
                <w:tcPr>
                  <w:tcW w:w="337" w:type="pct"/>
                  <w:vMerge w:val="restart"/>
                  <w:tcBorders>
                    <w:tl2br w:val="nil"/>
                    <w:tr2bl w:val="nil"/>
                  </w:tcBorders>
                  <w:shd w:val="clear" w:color="auto" w:fill="auto"/>
                  <w:noWrap/>
                  <w:vAlign w:val="center"/>
                </w:tcPr>
                <w:p w14:paraId="03FA92E8">
                  <w:pPr>
                    <w:pStyle w:val="12"/>
                    <w:keepLines/>
                    <w:adjustRightInd w:val="0"/>
                    <w:snapToGrid w:val="0"/>
                    <w:spacing w:line="240" w:lineRule="auto"/>
                    <w:ind w:firstLine="0" w:firstLineChars="0"/>
                    <w:jc w:val="center"/>
                    <w:rPr>
                      <w:rFonts w:ascii="Times New Roman" w:hAnsi="Times New Roman"/>
                      <w:b/>
                      <w:bCs/>
                      <w:kern w:val="0"/>
                      <w:sz w:val="21"/>
                    </w:rPr>
                  </w:pPr>
                  <w:r>
                    <w:rPr>
                      <w:rFonts w:hint="eastAsia" w:ascii="Times New Roman" w:hAnsi="Times New Roman"/>
                      <w:b/>
                      <w:bCs/>
                      <w:kern w:val="0"/>
                      <w:sz w:val="21"/>
                    </w:rPr>
                    <w:t>声源名称</w:t>
                  </w:r>
                </w:p>
              </w:tc>
              <w:tc>
                <w:tcPr>
                  <w:tcW w:w="180" w:type="pct"/>
                  <w:vMerge w:val="restart"/>
                  <w:tcBorders>
                    <w:tl2br w:val="nil"/>
                    <w:tr2bl w:val="nil"/>
                  </w:tcBorders>
                  <w:shd w:val="clear" w:color="auto" w:fill="auto"/>
                  <w:noWrap/>
                  <w:vAlign w:val="center"/>
                </w:tcPr>
                <w:p w14:paraId="22E4D91E">
                  <w:pPr>
                    <w:pStyle w:val="12"/>
                    <w:keepLines/>
                    <w:adjustRightInd w:val="0"/>
                    <w:snapToGrid w:val="0"/>
                    <w:spacing w:line="240" w:lineRule="auto"/>
                    <w:ind w:firstLine="0" w:firstLineChars="0"/>
                    <w:jc w:val="center"/>
                    <w:rPr>
                      <w:rFonts w:ascii="Times New Roman" w:hAnsi="Times New Roman"/>
                      <w:b/>
                      <w:bCs/>
                      <w:kern w:val="0"/>
                      <w:sz w:val="21"/>
                    </w:rPr>
                  </w:pPr>
                  <w:r>
                    <w:rPr>
                      <w:rFonts w:hint="eastAsia" w:ascii="Times New Roman" w:hAnsi="Times New Roman"/>
                      <w:b/>
                      <w:bCs/>
                      <w:kern w:val="0"/>
                      <w:sz w:val="21"/>
                    </w:rPr>
                    <w:t>型号</w:t>
                  </w:r>
                </w:p>
              </w:tc>
              <w:tc>
                <w:tcPr>
                  <w:tcW w:w="333" w:type="pct"/>
                  <w:tcBorders>
                    <w:left w:val="single" w:color="000000" w:sz="4" w:space="0"/>
                    <w:tl2br w:val="nil"/>
                    <w:tr2bl w:val="nil"/>
                  </w:tcBorders>
                  <w:shd w:val="clear" w:color="auto" w:fill="auto"/>
                  <w:noWrap/>
                  <w:vAlign w:val="center"/>
                </w:tcPr>
                <w:p w14:paraId="73A1F796">
                  <w:pPr>
                    <w:pStyle w:val="12"/>
                    <w:keepLines/>
                    <w:adjustRightInd w:val="0"/>
                    <w:snapToGrid w:val="0"/>
                    <w:spacing w:line="240" w:lineRule="auto"/>
                    <w:ind w:firstLine="0" w:firstLineChars="0"/>
                    <w:jc w:val="center"/>
                    <w:rPr>
                      <w:rFonts w:ascii="Times New Roman" w:hAnsi="Times New Roman"/>
                      <w:b/>
                      <w:bCs/>
                      <w:kern w:val="0"/>
                      <w:sz w:val="21"/>
                    </w:rPr>
                  </w:pPr>
                  <w:r>
                    <w:rPr>
                      <w:rFonts w:hint="eastAsia" w:ascii="Times New Roman" w:hAnsi="Times New Roman"/>
                      <w:b/>
                      <w:bCs/>
                      <w:kern w:val="0"/>
                      <w:sz w:val="21"/>
                    </w:rPr>
                    <w:t>声源源强</w:t>
                  </w:r>
                </w:p>
              </w:tc>
              <w:tc>
                <w:tcPr>
                  <w:tcW w:w="343" w:type="pct"/>
                  <w:vMerge w:val="restart"/>
                  <w:tcBorders>
                    <w:tl2br w:val="nil"/>
                    <w:tr2bl w:val="nil"/>
                  </w:tcBorders>
                  <w:shd w:val="clear" w:color="auto" w:fill="auto"/>
                  <w:noWrap/>
                  <w:vAlign w:val="center"/>
                </w:tcPr>
                <w:p w14:paraId="65A13DE7">
                  <w:pPr>
                    <w:pStyle w:val="12"/>
                    <w:keepLines/>
                    <w:adjustRightInd w:val="0"/>
                    <w:snapToGrid w:val="0"/>
                    <w:spacing w:line="240" w:lineRule="auto"/>
                    <w:ind w:firstLine="0" w:firstLineChars="0"/>
                    <w:jc w:val="center"/>
                    <w:rPr>
                      <w:rFonts w:ascii="Times New Roman" w:hAnsi="Times New Roman"/>
                      <w:b/>
                      <w:bCs/>
                      <w:kern w:val="0"/>
                      <w:sz w:val="21"/>
                    </w:rPr>
                  </w:pPr>
                  <w:r>
                    <w:rPr>
                      <w:rFonts w:hint="eastAsia" w:ascii="Times New Roman" w:hAnsi="Times New Roman"/>
                      <w:b/>
                      <w:bCs/>
                      <w:kern w:val="0"/>
                      <w:sz w:val="21"/>
                    </w:rPr>
                    <w:t>声源控制措施</w:t>
                  </w:r>
                </w:p>
              </w:tc>
              <w:tc>
                <w:tcPr>
                  <w:tcW w:w="966" w:type="pct"/>
                  <w:gridSpan w:val="3"/>
                  <w:tcBorders>
                    <w:tl2br w:val="nil"/>
                    <w:tr2bl w:val="nil"/>
                  </w:tcBorders>
                  <w:shd w:val="clear" w:color="auto" w:fill="auto"/>
                  <w:noWrap/>
                  <w:vAlign w:val="center"/>
                </w:tcPr>
                <w:p w14:paraId="21D29B9B">
                  <w:pPr>
                    <w:pStyle w:val="12"/>
                    <w:keepLines/>
                    <w:adjustRightInd w:val="0"/>
                    <w:snapToGrid w:val="0"/>
                    <w:spacing w:line="240" w:lineRule="auto"/>
                    <w:ind w:firstLine="0" w:firstLineChars="0"/>
                    <w:jc w:val="center"/>
                    <w:rPr>
                      <w:rFonts w:ascii="Times New Roman" w:hAnsi="Times New Roman"/>
                      <w:b/>
                      <w:bCs/>
                      <w:kern w:val="0"/>
                      <w:sz w:val="21"/>
                    </w:rPr>
                  </w:pPr>
                  <w:r>
                    <w:rPr>
                      <w:rFonts w:hint="eastAsia" w:ascii="Times New Roman" w:hAnsi="Times New Roman"/>
                      <w:b/>
                      <w:bCs/>
                      <w:kern w:val="0"/>
                      <w:sz w:val="21"/>
                    </w:rPr>
                    <w:t>空间相对位置/m</w:t>
                  </w:r>
                </w:p>
              </w:tc>
              <w:tc>
                <w:tcPr>
                  <w:tcW w:w="379" w:type="pct"/>
                  <w:vMerge w:val="restart"/>
                  <w:tcBorders>
                    <w:tl2br w:val="nil"/>
                    <w:tr2bl w:val="nil"/>
                  </w:tcBorders>
                  <w:shd w:val="clear" w:color="auto" w:fill="auto"/>
                  <w:noWrap/>
                  <w:vAlign w:val="center"/>
                </w:tcPr>
                <w:p w14:paraId="6966CB05">
                  <w:pPr>
                    <w:pStyle w:val="12"/>
                    <w:keepLines/>
                    <w:adjustRightInd w:val="0"/>
                    <w:snapToGrid w:val="0"/>
                    <w:spacing w:line="240" w:lineRule="auto"/>
                    <w:ind w:firstLine="0" w:firstLineChars="0"/>
                    <w:jc w:val="center"/>
                    <w:rPr>
                      <w:rFonts w:ascii="Times New Roman" w:hAnsi="Times New Roman"/>
                      <w:b/>
                      <w:bCs/>
                      <w:kern w:val="0"/>
                      <w:sz w:val="21"/>
                    </w:rPr>
                  </w:pPr>
                  <w:r>
                    <w:rPr>
                      <w:rFonts w:hint="eastAsia" w:ascii="Times New Roman" w:hAnsi="Times New Roman"/>
                      <w:b/>
                      <w:bCs/>
                      <w:kern w:val="0"/>
                      <w:sz w:val="21"/>
                    </w:rPr>
                    <w:t>距室内边界距离/m</w:t>
                  </w:r>
                </w:p>
              </w:tc>
              <w:tc>
                <w:tcPr>
                  <w:tcW w:w="438" w:type="pct"/>
                  <w:vMerge w:val="restart"/>
                  <w:tcBorders>
                    <w:tl2br w:val="nil"/>
                    <w:tr2bl w:val="nil"/>
                  </w:tcBorders>
                  <w:shd w:val="clear" w:color="auto" w:fill="auto"/>
                  <w:noWrap/>
                  <w:vAlign w:val="center"/>
                </w:tcPr>
                <w:p w14:paraId="7D182846">
                  <w:pPr>
                    <w:pStyle w:val="12"/>
                    <w:keepLines/>
                    <w:adjustRightInd w:val="0"/>
                    <w:snapToGrid w:val="0"/>
                    <w:spacing w:line="240" w:lineRule="auto"/>
                    <w:ind w:firstLine="0" w:firstLineChars="0"/>
                    <w:jc w:val="center"/>
                    <w:rPr>
                      <w:rFonts w:ascii="Times New Roman" w:hAnsi="Times New Roman"/>
                      <w:b/>
                      <w:bCs/>
                      <w:kern w:val="0"/>
                      <w:sz w:val="21"/>
                    </w:rPr>
                  </w:pPr>
                  <w:r>
                    <w:rPr>
                      <w:rFonts w:hint="eastAsia" w:ascii="Times New Roman" w:hAnsi="Times New Roman"/>
                      <w:b/>
                      <w:bCs/>
                      <w:kern w:val="0"/>
                      <w:sz w:val="21"/>
                    </w:rPr>
                    <w:t>室内边界声级/dB(A)</w:t>
                  </w:r>
                </w:p>
              </w:tc>
              <w:tc>
                <w:tcPr>
                  <w:tcW w:w="311" w:type="pct"/>
                  <w:vMerge w:val="restart"/>
                  <w:tcBorders>
                    <w:tl2br w:val="nil"/>
                    <w:tr2bl w:val="nil"/>
                  </w:tcBorders>
                  <w:shd w:val="clear" w:color="auto" w:fill="auto"/>
                  <w:noWrap/>
                  <w:vAlign w:val="center"/>
                </w:tcPr>
                <w:p w14:paraId="215A0221">
                  <w:pPr>
                    <w:pStyle w:val="12"/>
                    <w:keepLines/>
                    <w:adjustRightInd w:val="0"/>
                    <w:snapToGrid w:val="0"/>
                    <w:spacing w:line="240" w:lineRule="auto"/>
                    <w:ind w:firstLine="0" w:firstLineChars="0"/>
                    <w:jc w:val="center"/>
                    <w:rPr>
                      <w:rFonts w:ascii="Times New Roman" w:hAnsi="Times New Roman"/>
                      <w:b/>
                      <w:bCs/>
                      <w:kern w:val="0"/>
                      <w:sz w:val="21"/>
                    </w:rPr>
                  </w:pPr>
                  <w:r>
                    <w:rPr>
                      <w:rFonts w:hint="eastAsia" w:ascii="Times New Roman" w:hAnsi="Times New Roman"/>
                      <w:b/>
                      <w:bCs/>
                      <w:kern w:val="0"/>
                      <w:sz w:val="21"/>
                    </w:rPr>
                    <w:t>运行时段</w:t>
                  </w:r>
                </w:p>
              </w:tc>
              <w:tc>
                <w:tcPr>
                  <w:tcW w:w="400" w:type="pct"/>
                  <w:vMerge w:val="restart"/>
                  <w:tcBorders>
                    <w:tl2br w:val="nil"/>
                    <w:tr2bl w:val="nil"/>
                  </w:tcBorders>
                  <w:shd w:val="clear" w:color="auto" w:fill="auto"/>
                  <w:noWrap/>
                  <w:vAlign w:val="center"/>
                </w:tcPr>
                <w:p w14:paraId="24A83910">
                  <w:pPr>
                    <w:pStyle w:val="12"/>
                    <w:keepLines/>
                    <w:adjustRightInd w:val="0"/>
                    <w:snapToGrid w:val="0"/>
                    <w:spacing w:line="240" w:lineRule="auto"/>
                    <w:ind w:firstLine="0" w:firstLineChars="0"/>
                    <w:jc w:val="center"/>
                    <w:rPr>
                      <w:rFonts w:ascii="Times New Roman" w:hAnsi="Times New Roman"/>
                      <w:b/>
                      <w:bCs/>
                      <w:kern w:val="0"/>
                      <w:sz w:val="21"/>
                    </w:rPr>
                  </w:pPr>
                  <w:r>
                    <w:rPr>
                      <w:rFonts w:hint="eastAsia" w:ascii="Times New Roman" w:hAnsi="Times New Roman"/>
                      <w:b/>
                      <w:bCs/>
                      <w:kern w:val="0"/>
                      <w:sz w:val="21"/>
                    </w:rPr>
                    <w:t>建筑物插入损失/dB(A)</w:t>
                  </w:r>
                </w:p>
              </w:tc>
              <w:tc>
                <w:tcPr>
                  <w:tcW w:w="789" w:type="pct"/>
                  <w:gridSpan w:val="2"/>
                  <w:tcBorders>
                    <w:tl2br w:val="nil"/>
                    <w:tr2bl w:val="nil"/>
                  </w:tcBorders>
                  <w:shd w:val="clear" w:color="auto" w:fill="auto"/>
                  <w:noWrap/>
                  <w:vAlign w:val="center"/>
                </w:tcPr>
                <w:p w14:paraId="02E10107">
                  <w:pPr>
                    <w:pStyle w:val="12"/>
                    <w:keepLines/>
                    <w:adjustRightInd w:val="0"/>
                    <w:snapToGrid w:val="0"/>
                    <w:spacing w:line="240" w:lineRule="auto"/>
                    <w:ind w:firstLine="0" w:firstLineChars="0"/>
                    <w:jc w:val="center"/>
                    <w:rPr>
                      <w:rFonts w:ascii="Times New Roman" w:hAnsi="Times New Roman"/>
                      <w:b/>
                      <w:bCs/>
                      <w:kern w:val="0"/>
                      <w:sz w:val="21"/>
                    </w:rPr>
                  </w:pPr>
                  <w:r>
                    <w:rPr>
                      <w:rFonts w:hint="eastAsia" w:ascii="Times New Roman" w:hAnsi="Times New Roman"/>
                      <w:b/>
                      <w:bCs/>
                      <w:kern w:val="0"/>
                      <w:sz w:val="21"/>
                    </w:rPr>
                    <w:t>建筑物外噪声</w:t>
                  </w:r>
                </w:p>
              </w:tc>
            </w:tr>
            <w:tr w14:paraId="25EFB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79" w:type="pct"/>
                  <w:vMerge w:val="continue"/>
                  <w:tcBorders>
                    <w:tl2br w:val="nil"/>
                    <w:tr2bl w:val="nil"/>
                  </w:tcBorders>
                  <w:shd w:val="clear" w:color="auto" w:fill="auto"/>
                  <w:noWrap/>
                  <w:vAlign w:val="center"/>
                </w:tcPr>
                <w:p w14:paraId="1B5616FC">
                  <w:pPr>
                    <w:pStyle w:val="12"/>
                    <w:keepLines/>
                    <w:adjustRightInd w:val="0"/>
                    <w:snapToGrid w:val="0"/>
                    <w:spacing w:line="240" w:lineRule="auto"/>
                    <w:ind w:firstLine="0" w:firstLineChars="0"/>
                    <w:jc w:val="center"/>
                    <w:rPr>
                      <w:rFonts w:ascii="Times New Roman" w:hAnsi="Times New Roman"/>
                      <w:b/>
                      <w:bCs/>
                      <w:kern w:val="0"/>
                      <w:sz w:val="21"/>
                    </w:rPr>
                  </w:pPr>
                </w:p>
              </w:tc>
              <w:tc>
                <w:tcPr>
                  <w:tcW w:w="339" w:type="pct"/>
                  <w:vMerge w:val="continue"/>
                  <w:tcBorders>
                    <w:tl2br w:val="nil"/>
                    <w:tr2bl w:val="nil"/>
                  </w:tcBorders>
                  <w:shd w:val="clear" w:color="auto" w:fill="auto"/>
                  <w:noWrap/>
                  <w:vAlign w:val="center"/>
                </w:tcPr>
                <w:p w14:paraId="3C1DF00B">
                  <w:pPr>
                    <w:pStyle w:val="12"/>
                    <w:keepLines/>
                    <w:adjustRightInd w:val="0"/>
                    <w:snapToGrid w:val="0"/>
                    <w:spacing w:line="240" w:lineRule="auto"/>
                    <w:ind w:firstLine="0" w:firstLineChars="0"/>
                    <w:jc w:val="center"/>
                    <w:rPr>
                      <w:rFonts w:ascii="Times New Roman" w:hAnsi="Times New Roman"/>
                      <w:b/>
                      <w:bCs/>
                      <w:kern w:val="0"/>
                      <w:sz w:val="21"/>
                    </w:rPr>
                  </w:pPr>
                </w:p>
              </w:tc>
              <w:tc>
                <w:tcPr>
                  <w:tcW w:w="337" w:type="pct"/>
                  <w:vMerge w:val="continue"/>
                  <w:tcBorders>
                    <w:tl2br w:val="nil"/>
                    <w:tr2bl w:val="nil"/>
                  </w:tcBorders>
                  <w:shd w:val="clear" w:color="auto" w:fill="auto"/>
                  <w:noWrap/>
                  <w:vAlign w:val="center"/>
                </w:tcPr>
                <w:p w14:paraId="2FBB16D7">
                  <w:pPr>
                    <w:pStyle w:val="12"/>
                    <w:keepLines/>
                    <w:adjustRightInd w:val="0"/>
                    <w:snapToGrid w:val="0"/>
                    <w:spacing w:line="240" w:lineRule="auto"/>
                    <w:ind w:firstLine="0" w:firstLineChars="0"/>
                    <w:jc w:val="center"/>
                    <w:rPr>
                      <w:rFonts w:ascii="Times New Roman" w:hAnsi="Times New Roman"/>
                      <w:b/>
                      <w:bCs/>
                      <w:kern w:val="0"/>
                      <w:sz w:val="21"/>
                    </w:rPr>
                  </w:pPr>
                </w:p>
              </w:tc>
              <w:tc>
                <w:tcPr>
                  <w:tcW w:w="180" w:type="pct"/>
                  <w:vMerge w:val="continue"/>
                  <w:tcBorders>
                    <w:tl2br w:val="nil"/>
                    <w:tr2bl w:val="nil"/>
                  </w:tcBorders>
                  <w:shd w:val="clear" w:color="auto" w:fill="auto"/>
                  <w:noWrap/>
                  <w:vAlign w:val="center"/>
                </w:tcPr>
                <w:p w14:paraId="18E4F920">
                  <w:pPr>
                    <w:pStyle w:val="12"/>
                    <w:keepLines/>
                    <w:adjustRightInd w:val="0"/>
                    <w:snapToGrid w:val="0"/>
                    <w:spacing w:line="240" w:lineRule="auto"/>
                    <w:ind w:firstLine="0" w:firstLineChars="0"/>
                    <w:jc w:val="center"/>
                    <w:rPr>
                      <w:rFonts w:ascii="Times New Roman" w:hAnsi="Times New Roman"/>
                      <w:b/>
                      <w:bCs/>
                      <w:kern w:val="0"/>
                      <w:sz w:val="21"/>
                    </w:rPr>
                  </w:pPr>
                </w:p>
              </w:tc>
              <w:tc>
                <w:tcPr>
                  <w:tcW w:w="333" w:type="pct"/>
                  <w:tcBorders>
                    <w:left w:val="single" w:color="000000" w:sz="4" w:space="0"/>
                    <w:tl2br w:val="nil"/>
                    <w:tr2bl w:val="nil"/>
                  </w:tcBorders>
                  <w:shd w:val="clear" w:color="auto" w:fill="auto"/>
                  <w:vAlign w:val="center"/>
                </w:tcPr>
                <w:p w14:paraId="23B812A8">
                  <w:pPr>
                    <w:pStyle w:val="12"/>
                    <w:keepLines/>
                    <w:adjustRightInd w:val="0"/>
                    <w:snapToGrid w:val="0"/>
                    <w:spacing w:line="240" w:lineRule="auto"/>
                    <w:ind w:firstLine="0" w:firstLineChars="0"/>
                    <w:jc w:val="center"/>
                    <w:rPr>
                      <w:rFonts w:ascii="Times New Roman" w:hAnsi="Times New Roman"/>
                      <w:b/>
                      <w:bCs/>
                      <w:kern w:val="0"/>
                      <w:sz w:val="21"/>
                    </w:rPr>
                  </w:pPr>
                  <w:r>
                    <w:rPr>
                      <w:rFonts w:hint="eastAsia" w:ascii="Times New Roman" w:hAnsi="Times New Roman"/>
                      <w:b/>
                      <w:bCs/>
                      <w:kern w:val="0"/>
                      <w:sz w:val="21"/>
                    </w:rPr>
                    <w:t>声功率级</w:t>
                  </w:r>
                  <w:r>
                    <w:rPr>
                      <w:rFonts w:hint="eastAsia" w:ascii="Times New Roman" w:hAnsi="Times New Roman"/>
                      <w:b/>
                      <w:bCs/>
                      <w:kern w:val="0"/>
                      <w:sz w:val="21"/>
                    </w:rPr>
                    <w:br w:type="textWrapping"/>
                  </w:r>
                  <w:r>
                    <w:rPr>
                      <w:rFonts w:hint="eastAsia" w:ascii="Times New Roman" w:hAnsi="Times New Roman"/>
                      <w:b/>
                      <w:bCs/>
                      <w:kern w:val="0"/>
                      <w:sz w:val="21"/>
                    </w:rPr>
                    <w:t>/dB(A</w:t>
                  </w:r>
                </w:p>
              </w:tc>
              <w:tc>
                <w:tcPr>
                  <w:tcW w:w="343" w:type="pct"/>
                  <w:vMerge w:val="continue"/>
                  <w:tcBorders>
                    <w:tl2br w:val="nil"/>
                    <w:tr2bl w:val="nil"/>
                  </w:tcBorders>
                  <w:shd w:val="clear" w:color="auto" w:fill="auto"/>
                  <w:noWrap/>
                  <w:vAlign w:val="center"/>
                </w:tcPr>
                <w:p w14:paraId="5B99BE77">
                  <w:pPr>
                    <w:pStyle w:val="12"/>
                    <w:keepLines/>
                    <w:adjustRightInd w:val="0"/>
                    <w:snapToGrid w:val="0"/>
                    <w:spacing w:line="240" w:lineRule="auto"/>
                    <w:ind w:firstLine="0" w:firstLineChars="0"/>
                    <w:jc w:val="center"/>
                    <w:rPr>
                      <w:rFonts w:ascii="Times New Roman" w:hAnsi="Times New Roman"/>
                      <w:b/>
                      <w:bCs/>
                      <w:kern w:val="0"/>
                      <w:sz w:val="21"/>
                    </w:rPr>
                  </w:pPr>
                </w:p>
              </w:tc>
              <w:tc>
                <w:tcPr>
                  <w:tcW w:w="373" w:type="pct"/>
                  <w:tcBorders>
                    <w:tl2br w:val="nil"/>
                    <w:tr2bl w:val="nil"/>
                  </w:tcBorders>
                  <w:shd w:val="clear" w:color="auto" w:fill="auto"/>
                  <w:noWrap/>
                  <w:vAlign w:val="center"/>
                </w:tcPr>
                <w:p w14:paraId="7A238D54">
                  <w:pPr>
                    <w:pStyle w:val="12"/>
                    <w:keepLines/>
                    <w:adjustRightInd w:val="0"/>
                    <w:snapToGrid w:val="0"/>
                    <w:spacing w:line="240" w:lineRule="auto"/>
                    <w:ind w:firstLine="0" w:firstLineChars="0"/>
                    <w:jc w:val="center"/>
                    <w:rPr>
                      <w:rFonts w:ascii="Times New Roman" w:hAnsi="Times New Roman"/>
                      <w:b/>
                      <w:bCs/>
                      <w:kern w:val="0"/>
                      <w:sz w:val="21"/>
                    </w:rPr>
                  </w:pPr>
                  <w:r>
                    <w:rPr>
                      <w:rFonts w:hint="eastAsia" w:ascii="Times New Roman" w:hAnsi="Times New Roman"/>
                      <w:b/>
                      <w:bCs/>
                      <w:kern w:val="0"/>
                      <w:sz w:val="21"/>
                    </w:rPr>
                    <w:t>X</w:t>
                  </w:r>
                </w:p>
              </w:tc>
              <w:tc>
                <w:tcPr>
                  <w:tcW w:w="325" w:type="pct"/>
                  <w:tcBorders>
                    <w:tl2br w:val="nil"/>
                    <w:tr2bl w:val="nil"/>
                  </w:tcBorders>
                  <w:shd w:val="clear" w:color="auto" w:fill="auto"/>
                  <w:noWrap/>
                  <w:vAlign w:val="center"/>
                </w:tcPr>
                <w:p w14:paraId="75B48BCE">
                  <w:pPr>
                    <w:pStyle w:val="12"/>
                    <w:keepLines/>
                    <w:adjustRightInd w:val="0"/>
                    <w:snapToGrid w:val="0"/>
                    <w:spacing w:line="240" w:lineRule="auto"/>
                    <w:ind w:firstLine="0" w:firstLineChars="0"/>
                    <w:jc w:val="center"/>
                    <w:rPr>
                      <w:rFonts w:ascii="Times New Roman" w:hAnsi="Times New Roman"/>
                      <w:b/>
                      <w:bCs/>
                      <w:kern w:val="0"/>
                      <w:sz w:val="21"/>
                    </w:rPr>
                  </w:pPr>
                  <w:r>
                    <w:rPr>
                      <w:rFonts w:hint="eastAsia" w:ascii="Times New Roman" w:hAnsi="Times New Roman"/>
                      <w:b/>
                      <w:bCs/>
                      <w:kern w:val="0"/>
                      <w:sz w:val="21"/>
                    </w:rPr>
                    <w:t>Y</w:t>
                  </w:r>
                </w:p>
              </w:tc>
              <w:tc>
                <w:tcPr>
                  <w:tcW w:w="267" w:type="pct"/>
                  <w:tcBorders>
                    <w:tl2br w:val="nil"/>
                    <w:tr2bl w:val="nil"/>
                  </w:tcBorders>
                  <w:shd w:val="clear" w:color="auto" w:fill="auto"/>
                  <w:noWrap/>
                  <w:vAlign w:val="center"/>
                </w:tcPr>
                <w:p w14:paraId="15676090">
                  <w:pPr>
                    <w:pStyle w:val="12"/>
                    <w:keepLines/>
                    <w:adjustRightInd w:val="0"/>
                    <w:snapToGrid w:val="0"/>
                    <w:spacing w:line="240" w:lineRule="auto"/>
                    <w:ind w:firstLine="0" w:firstLineChars="0"/>
                    <w:jc w:val="center"/>
                    <w:rPr>
                      <w:rFonts w:ascii="Times New Roman" w:hAnsi="Times New Roman"/>
                      <w:b/>
                      <w:bCs/>
                      <w:kern w:val="0"/>
                      <w:sz w:val="21"/>
                    </w:rPr>
                  </w:pPr>
                  <w:r>
                    <w:rPr>
                      <w:rFonts w:hint="eastAsia" w:ascii="Times New Roman" w:hAnsi="Times New Roman"/>
                      <w:b/>
                      <w:bCs/>
                      <w:kern w:val="0"/>
                      <w:sz w:val="21"/>
                    </w:rPr>
                    <w:t>Z</w:t>
                  </w:r>
                </w:p>
              </w:tc>
              <w:tc>
                <w:tcPr>
                  <w:tcW w:w="379" w:type="pct"/>
                  <w:vMerge w:val="continue"/>
                  <w:tcBorders>
                    <w:tl2br w:val="nil"/>
                    <w:tr2bl w:val="nil"/>
                  </w:tcBorders>
                  <w:shd w:val="clear" w:color="auto" w:fill="auto"/>
                  <w:noWrap/>
                  <w:vAlign w:val="center"/>
                </w:tcPr>
                <w:p w14:paraId="2E01E10D">
                  <w:pPr>
                    <w:pStyle w:val="12"/>
                    <w:keepLines/>
                    <w:adjustRightInd w:val="0"/>
                    <w:snapToGrid w:val="0"/>
                    <w:spacing w:line="240" w:lineRule="auto"/>
                    <w:ind w:firstLine="0" w:firstLineChars="0"/>
                    <w:jc w:val="center"/>
                    <w:rPr>
                      <w:rFonts w:ascii="Times New Roman" w:hAnsi="Times New Roman"/>
                      <w:b/>
                      <w:bCs/>
                      <w:kern w:val="0"/>
                      <w:sz w:val="21"/>
                    </w:rPr>
                  </w:pPr>
                </w:p>
              </w:tc>
              <w:tc>
                <w:tcPr>
                  <w:tcW w:w="438" w:type="pct"/>
                  <w:vMerge w:val="continue"/>
                  <w:tcBorders>
                    <w:tl2br w:val="nil"/>
                    <w:tr2bl w:val="nil"/>
                  </w:tcBorders>
                  <w:shd w:val="clear" w:color="auto" w:fill="auto"/>
                  <w:noWrap/>
                  <w:vAlign w:val="center"/>
                </w:tcPr>
                <w:p w14:paraId="5E990F70">
                  <w:pPr>
                    <w:pStyle w:val="12"/>
                    <w:keepLines/>
                    <w:adjustRightInd w:val="0"/>
                    <w:snapToGrid w:val="0"/>
                    <w:spacing w:line="240" w:lineRule="auto"/>
                    <w:ind w:firstLine="0" w:firstLineChars="0"/>
                    <w:jc w:val="center"/>
                    <w:rPr>
                      <w:rFonts w:ascii="Times New Roman" w:hAnsi="Times New Roman"/>
                      <w:b/>
                      <w:bCs/>
                      <w:kern w:val="0"/>
                      <w:sz w:val="21"/>
                    </w:rPr>
                  </w:pPr>
                </w:p>
              </w:tc>
              <w:tc>
                <w:tcPr>
                  <w:tcW w:w="311" w:type="pct"/>
                  <w:vMerge w:val="continue"/>
                  <w:tcBorders>
                    <w:tl2br w:val="nil"/>
                    <w:tr2bl w:val="nil"/>
                  </w:tcBorders>
                  <w:shd w:val="clear" w:color="auto" w:fill="auto"/>
                  <w:noWrap/>
                  <w:vAlign w:val="center"/>
                </w:tcPr>
                <w:p w14:paraId="28EF3B2F">
                  <w:pPr>
                    <w:pStyle w:val="12"/>
                    <w:keepLines/>
                    <w:adjustRightInd w:val="0"/>
                    <w:snapToGrid w:val="0"/>
                    <w:spacing w:line="240" w:lineRule="auto"/>
                    <w:ind w:firstLine="0" w:firstLineChars="0"/>
                    <w:jc w:val="center"/>
                    <w:rPr>
                      <w:rFonts w:ascii="Times New Roman" w:hAnsi="Times New Roman"/>
                      <w:b/>
                      <w:bCs/>
                      <w:kern w:val="0"/>
                      <w:sz w:val="21"/>
                    </w:rPr>
                  </w:pPr>
                </w:p>
              </w:tc>
              <w:tc>
                <w:tcPr>
                  <w:tcW w:w="400" w:type="pct"/>
                  <w:vMerge w:val="continue"/>
                  <w:tcBorders>
                    <w:tl2br w:val="nil"/>
                    <w:tr2bl w:val="nil"/>
                  </w:tcBorders>
                  <w:shd w:val="clear" w:color="auto" w:fill="auto"/>
                  <w:noWrap/>
                  <w:vAlign w:val="center"/>
                </w:tcPr>
                <w:p w14:paraId="1FD1B289">
                  <w:pPr>
                    <w:pStyle w:val="12"/>
                    <w:keepLines/>
                    <w:adjustRightInd w:val="0"/>
                    <w:snapToGrid w:val="0"/>
                    <w:spacing w:line="240" w:lineRule="auto"/>
                    <w:ind w:firstLine="0" w:firstLineChars="0"/>
                    <w:jc w:val="center"/>
                    <w:rPr>
                      <w:rFonts w:ascii="Times New Roman" w:hAnsi="Times New Roman"/>
                      <w:b/>
                      <w:bCs/>
                      <w:kern w:val="0"/>
                      <w:sz w:val="21"/>
                    </w:rPr>
                  </w:pPr>
                </w:p>
              </w:tc>
              <w:tc>
                <w:tcPr>
                  <w:tcW w:w="385" w:type="pct"/>
                  <w:tcBorders>
                    <w:tl2br w:val="nil"/>
                    <w:tr2bl w:val="nil"/>
                  </w:tcBorders>
                  <w:shd w:val="clear" w:color="auto" w:fill="auto"/>
                  <w:noWrap/>
                  <w:vAlign w:val="center"/>
                </w:tcPr>
                <w:p w14:paraId="489FB964">
                  <w:pPr>
                    <w:pStyle w:val="12"/>
                    <w:keepLines/>
                    <w:adjustRightInd w:val="0"/>
                    <w:snapToGrid w:val="0"/>
                    <w:spacing w:line="240" w:lineRule="auto"/>
                    <w:ind w:firstLine="0" w:firstLineChars="0"/>
                    <w:jc w:val="center"/>
                    <w:rPr>
                      <w:rFonts w:ascii="Times New Roman" w:hAnsi="Times New Roman"/>
                      <w:b/>
                      <w:bCs/>
                      <w:kern w:val="0"/>
                      <w:sz w:val="21"/>
                    </w:rPr>
                  </w:pPr>
                  <w:r>
                    <w:rPr>
                      <w:rFonts w:hint="eastAsia" w:ascii="Times New Roman" w:hAnsi="Times New Roman"/>
                      <w:b/>
                      <w:bCs/>
                      <w:kern w:val="0"/>
                      <w:sz w:val="21"/>
                    </w:rPr>
                    <w:t>声压级/dB(A)</w:t>
                  </w:r>
                </w:p>
              </w:tc>
              <w:tc>
                <w:tcPr>
                  <w:tcW w:w="404" w:type="pct"/>
                  <w:tcBorders>
                    <w:tl2br w:val="nil"/>
                    <w:tr2bl w:val="nil"/>
                  </w:tcBorders>
                  <w:shd w:val="clear" w:color="auto" w:fill="auto"/>
                  <w:noWrap/>
                  <w:vAlign w:val="center"/>
                </w:tcPr>
                <w:p w14:paraId="3035D909">
                  <w:pPr>
                    <w:pStyle w:val="12"/>
                    <w:keepLines/>
                    <w:adjustRightInd w:val="0"/>
                    <w:snapToGrid w:val="0"/>
                    <w:spacing w:line="240" w:lineRule="auto"/>
                    <w:ind w:firstLine="0" w:firstLineChars="0"/>
                    <w:jc w:val="center"/>
                    <w:rPr>
                      <w:rFonts w:ascii="Times New Roman" w:hAnsi="Times New Roman"/>
                      <w:b/>
                      <w:bCs/>
                      <w:kern w:val="0"/>
                      <w:sz w:val="21"/>
                    </w:rPr>
                  </w:pPr>
                  <w:r>
                    <w:rPr>
                      <w:rFonts w:hint="eastAsia" w:ascii="Times New Roman" w:hAnsi="Times New Roman"/>
                      <w:b/>
                      <w:bCs/>
                      <w:kern w:val="0"/>
                      <w:sz w:val="21"/>
                    </w:rPr>
                    <w:t>建筑物外距离</w:t>
                  </w:r>
                </w:p>
              </w:tc>
            </w:tr>
            <w:tr w14:paraId="77739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79" w:type="pct"/>
                  <w:vMerge w:val="restart"/>
                  <w:tcBorders>
                    <w:tl2br w:val="nil"/>
                    <w:tr2bl w:val="nil"/>
                  </w:tcBorders>
                  <w:shd w:val="clear" w:color="auto" w:fill="auto"/>
                  <w:noWrap/>
                  <w:vAlign w:val="center"/>
                </w:tcPr>
                <w:p w14:paraId="668F0451">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w:t>
                  </w:r>
                </w:p>
              </w:tc>
              <w:tc>
                <w:tcPr>
                  <w:tcW w:w="339" w:type="pct"/>
                  <w:vMerge w:val="restart"/>
                  <w:tcBorders>
                    <w:tl2br w:val="nil"/>
                    <w:tr2bl w:val="nil"/>
                  </w:tcBorders>
                  <w:shd w:val="clear" w:color="auto" w:fill="auto"/>
                  <w:noWrap/>
                  <w:vAlign w:val="center"/>
                </w:tcPr>
                <w:p w14:paraId="73488D67">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矿粉仓库</w:t>
                  </w:r>
                </w:p>
              </w:tc>
              <w:tc>
                <w:tcPr>
                  <w:tcW w:w="337" w:type="pct"/>
                  <w:vMerge w:val="restart"/>
                  <w:tcBorders>
                    <w:tl2br w:val="nil"/>
                    <w:tr2bl w:val="nil"/>
                  </w:tcBorders>
                  <w:shd w:val="clear" w:color="auto" w:fill="auto"/>
                  <w:noWrap/>
                  <w:vAlign w:val="center"/>
                </w:tcPr>
                <w:p w14:paraId="7407B880">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矿粉料仓空压机</w:t>
                  </w:r>
                </w:p>
              </w:tc>
              <w:tc>
                <w:tcPr>
                  <w:tcW w:w="180" w:type="pct"/>
                  <w:vMerge w:val="restart"/>
                  <w:tcBorders>
                    <w:tl2br w:val="nil"/>
                    <w:tr2bl w:val="nil"/>
                  </w:tcBorders>
                  <w:shd w:val="clear" w:color="auto" w:fill="auto"/>
                  <w:noWrap/>
                  <w:vAlign w:val="center"/>
                </w:tcPr>
                <w:p w14:paraId="4C3D95BF">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w:t>
                  </w:r>
                </w:p>
              </w:tc>
              <w:tc>
                <w:tcPr>
                  <w:tcW w:w="333" w:type="pct"/>
                  <w:vMerge w:val="restart"/>
                  <w:tcBorders>
                    <w:tl2br w:val="nil"/>
                    <w:tr2bl w:val="nil"/>
                  </w:tcBorders>
                  <w:shd w:val="clear" w:color="auto" w:fill="auto"/>
                  <w:noWrap/>
                  <w:vAlign w:val="center"/>
                </w:tcPr>
                <w:p w14:paraId="442CDFE1">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80</w:t>
                  </w:r>
                </w:p>
              </w:tc>
              <w:tc>
                <w:tcPr>
                  <w:tcW w:w="343" w:type="pct"/>
                  <w:vMerge w:val="restart"/>
                  <w:tcBorders>
                    <w:tl2br w:val="nil"/>
                    <w:tr2bl w:val="nil"/>
                  </w:tcBorders>
                  <w:shd w:val="clear" w:color="auto" w:fill="auto"/>
                  <w:noWrap/>
                  <w:vAlign w:val="center"/>
                </w:tcPr>
                <w:p w14:paraId="7BF73101">
                  <w:pPr>
                    <w:pStyle w:val="12"/>
                    <w:keepLines/>
                    <w:adjustRightInd w:val="0"/>
                    <w:snapToGrid w:val="0"/>
                    <w:spacing w:line="240" w:lineRule="auto"/>
                    <w:ind w:firstLine="0" w:firstLineChars="0"/>
                    <w:jc w:val="center"/>
                    <w:rPr>
                      <w:rFonts w:ascii="Times New Roman" w:hAnsi="Times New Roman"/>
                      <w:sz w:val="21"/>
                    </w:rPr>
                  </w:pPr>
                  <w:r>
                    <w:rPr>
                      <w:rFonts w:hint="eastAsia" w:ascii="Times New Roman" w:hAnsi="Times New Roman"/>
                      <w:sz w:val="21"/>
                    </w:rPr>
                    <w:t>消音减振装置、厂房隔声、距离衰减</w:t>
                  </w:r>
                </w:p>
              </w:tc>
              <w:tc>
                <w:tcPr>
                  <w:tcW w:w="373" w:type="pct"/>
                  <w:vMerge w:val="restart"/>
                  <w:tcBorders>
                    <w:tl2br w:val="nil"/>
                    <w:tr2bl w:val="nil"/>
                  </w:tcBorders>
                  <w:shd w:val="clear" w:color="auto" w:fill="auto"/>
                  <w:noWrap/>
                  <w:vAlign w:val="center"/>
                </w:tcPr>
                <w:p w14:paraId="291D2804">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62.12</w:t>
                  </w:r>
                </w:p>
              </w:tc>
              <w:tc>
                <w:tcPr>
                  <w:tcW w:w="325" w:type="pct"/>
                  <w:vMerge w:val="restart"/>
                  <w:tcBorders>
                    <w:tl2br w:val="nil"/>
                    <w:tr2bl w:val="nil"/>
                  </w:tcBorders>
                  <w:shd w:val="clear" w:color="auto" w:fill="auto"/>
                  <w:noWrap/>
                  <w:vAlign w:val="center"/>
                </w:tcPr>
                <w:p w14:paraId="64C7C31E">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52.46</w:t>
                  </w:r>
                </w:p>
              </w:tc>
              <w:tc>
                <w:tcPr>
                  <w:tcW w:w="267" w:type="pct"/>
                  <w:vMerge w:val="restart"/>
                  <w:tcBorders>
                    <w:tl2br w:val="nil"/>
                    <w:tr2bl w:val="nil"/>
                  </w:tcBorders>
                  <w:shd w:val="clear" w:color="auto" w:fill="auto"/>
                  <w:noWrap/>
                  <w:vAlign w:val="center"/>
                </w:tcPr>
                <w:p w14:paraId="7C83C9A9">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w:t>
                  </w:r>
                </w:p>
              </w:tc>
              <w:tc>
                <w:tcPr>
                  <w:tcW w:w="379" w:type="pct"/>
                  <w:tcBorders>
                    <w:tl2br w:val="nil"/>
                    <w:tr2bl w:val="nil"/>
                  </w:tcBorders>
                  <w:shd w:val="clear" w:color="auto" w:fill="auto"/>
                  <w:noWrap/>
                  <w:vAlign w:val="center"/>
                </w:tcPr>
                <w:p w14:paraId="41FBBDEA">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4.44</w:t>
                  </w:r>
                </w:p>
              </w:tc>
              <w:tc>
                <w:tcPr>
                  <w:tcW w:w="438" w:type="pct"/>
                  <w:tcBorders>
                    <w:tl2br w:val="nil"/>
                    <w:tr2bl w:val="nil"/>
                  </w:tcBorders>
                  <w:shd w:val="clear" w:color="auto" w:fill="auto"/>
                  <w:noWrap/>
                  <w:vAlign w:val="center"/>
                </w:tcPr>
                <w:p w14:paraId="1035F206">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72.80</w:t>
                  </w:r>
                </w:p>
              </w:tc>
              <w:tc>
                <w:tcPr>
                  <w:tcW w:w="311" w:type="pct"/>
                  <w:vMerge w:val="restart"/>
                  <w:tcBorders>
                    <w:tl2br w:val="nil"/>
                    <w:tr2bl w:val="nil"/>
                  </w:tcBorders>
                  <w:shd w:val="clear" w:color="auto" w:fill="auto"/>
                  <w:noWrap/>
                  <w:vAlign w:val="center"/>
                </w:tcPr>
                <w:p w14:paraId="5593D095">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昼间</w:t>
                  </w:r>
                </w:p>
              </w:tc>
              <w:tc>
                <w:tcPr>
                  <w:tcW w:w="400" w:type="pct"/>
                  <w:tcBorders>
                    <w:tl2br w:val="nil"/>
                    <w:tr2bl w:val="nil"/>
                  </w:tcBorders>
                  <w:shd w:val="clear" w:color="auto" w:fill="auto"/>
                  <w:noWrap/>
                  <w:vAlign w:val="center"/>
                </w:tcPr>
                <w:p w14:paraId="12CABA1B">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20</w:t>
                  </w:r>
                </w:p>
              </w:tc>
              <w:tc>
                <w:tcPr>
                  <w:tcW w:w="385" w:type="pct"/>
                  <w:tcBorders>
                    <w:tl2br w:val="nil"/>
                    <w:tr2bl w:val="nil"/>
                  </w:tcBorders>
                  <w:shd w:val="clear" w:color="auto" w:fill="auto"/>
                  <w:noWrap/>
                  <w:vAlign w:val="center"/>
                </w:tcPr>
                <w:p w14:paraId="79F7ECC2">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46.80</w:t>
                  </w:r>
                </w:p>
              </w:tc>
              <w:tc>
                <w:tcPr>
                  <w:tcW w:w="404" w:type="pct"/>
                  <w:tcBorders>
                    <w:tl2br w:val="nil"/>
                    <w:tr2bl w:val="nil"/>
                  </w:tcBorders>
                  <w:shd w:val="clear" w:color="auto" w:fill="auto"/>
                  <w:noWrap/>
                  <w:vAlign w:val="center"/>
                </w:tcPr>
                <w:p w14:paraId="6014A0DF">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w:t>
                  </w:r>
                </w:p>
              </w:tc>
            </w:tr>
            <w:tr w14:paraId="33EB2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79" w:type="pct"/>
                  <w:vMerge w:val="continue"/>
                  <w:tcBorders>
                    <w:tl2br w:val="nil"/>
                    <w:tr2bl w:val="nil"/>
                  </w:tcBorders>
                  <w:shd w:val="clear" w:color="auto" w:fill="auto"/>
                  <w:noWrap/>
                  <w:vAlign w:val="center"/>
                </w:tcPr>
                <w:p w14:paraId="5715AABA">
                  <w:pPr>
                    <w:pStyle w:val="12"/>
                    <w:keepLines/>
                    <w:adjustRightInd w:val="0"/>
                    <w:snapToGrid w:val="0"/>
                    <w:spacing w:line="240" w:lineRule="auto"/>
                    <w:ind w:firstLine="0" w:firstLineChars="0"/>
                    <w:jc w:val="center"/>
                    <w:rPr>
                      <w:rFonts w:ascii="Times New Roman" w:hAnsi="Times New Roman"/>
                      <w:kern w:val="0"/>
                      <w:sz w:val="21"/>
                    </w:rPr>
                  </w:pPr>
                </w:p>
              </w:tc>
              <w:tc>
                <w:tcPr>
                  <w:tcW w:w="339" w:type="pct"/>
                  <w:vMerge w:val="continue"/>
                  <w:tcBorders>
                    <w:tl2br w:val="nil"/>
                    <w:tr2bl w:val="nil"/>
                  </w:tcBorders>
                  <w:shd w:val="clear" w:color="auto" w:fill="auto"/>
                  <w:noWrap/>
                  <w:vAlign w:val="center"/>
                </w:tcPr>
                <w:p w14:paraId="4163452C">
                  <w:pPr>
                    <w:pStyle w:val="12"/>
                    <w:keepLines/>
                    <w:adjustRightInd w:val="0"/>
                    <w:snapToGrid w:val="0"/>
                    <w:spacing w:line="240" w:lineRule="auto"/>
                    <w:ind w:firstLine="0" w:firstLineChars="0"/>
                    <w:jc w:val="center"/>
                    <w:rPr>
                      <w:rFonts w:ascii="Times New Roman" w:hAnsi="Times New Roman"/>
                      <w:kern w:val="0"/>
                      <w:sz w:val="21"/>
                    </w:rPr>
                  </w:pPr>
                </w:p>
              </w:tc>
              <w:tc>
                <w:tcPr>
                  <w:tcW w:w="337" w:type="pct"/>
                  <w:vMerge w:val="continue"/>
                  <w:tcBorders>
                    <w:tl2br w:val="nil"/>
                    <w:tr2bl w:val="nil"/>
                  </w:tcBorders>
                  <w:shd w:val="clear" w:color="auto" w:fill="auto"/>
                  <w:noWrap/>
                  <w:vAlign w:val="center"/>
                </w:tcPr>
                <w:p w14:paraId="3EE84402">
                  <w:pPr>
                    <w:pStyle w:val="12"/>
                    <w:keepLines/>
                    <w:adjustRightInd w:val="0"/>
                    <w:snapToGrid w:val="0"/>
                    <w:spacing w:line="240" w:lineRule="auto"/>
                    <w:ind w:firstLine="0" w:firstLineChars="0"/>
                    <w:jc w:val="center"/>
                    <w:rPr>
                      <w:rFonts w:ascii="Times New Roman" w:hAnsi="Times New Roman"/>
                      <w:kern w:val="0"/>
                      <w:sz w:val="21"/>
                    </w:rPr>
                  </w:pPr>
                </w:p>
              </w:tc>
              <w:tc>
                <w:tcPr>
                  <w:tcW w:w="180" w:type="pct"/>
                  <w:vMerge w:val="continue"/>
                  <w:tcBorders>
                    <w:tl2br w:val="nil"/>
                    <w:tr2bl w:val="nil"/>
                  </w:tcBorders>
                  <w:shd w:val="clear" w:color="auto" w:fill="auto"/>
                  <w:noWrap/>
                  <w:vAlign w:val="center"/>
                </w:tcPr>
                <w:p w14:paraId="73358D08">
                  <w:pPr>
                    <w:pStyle w:val="12"/>
                    <w:keepLines/>
                    <w:adjustRightInd w:val="0"/>
                    <w:snapToGrid w:val="0"/>
                    <w:spacing w:line="240" w:lineRule="auto"/>
                    <w:ind w:firstLine="0" w:firstLineChars="0"/>
                    <w:jc w:val="center"/>
                    <w:rPr>
                      <w:rFonts w:ascii="Times New Roman" w:hAnsi="Times New Roman"/>
                      <w:kern w:val="0"/>
                      <w:sz w:val="21"/>
                    </w:rPr>
                  </w:pPr>
                </w:p>
              </w:tc>
              <w:tc>
                <w:tcPr>
                  <w:tcW w:w="333" w:type="pct"/>
                  <w:vMerge w:val="continue"/>
                  <w:tcBorders>
                    <w:tl2br w:val="nil"/>
                    <w:tr2bl w:val="nil"/>
                  </w:tcBorders>
                  <w:shd w:val="clear" w:color="auto" w:fill="auto"/>
                  <w:noWrap/>
                  <w:vAlign w:val="center"/>
                </w:tcPr>
                <w:p w14:paraId="0335F9BD">
                  <w:pPr>
                    <w:pStyle w:val="12"/>
                    <w:keepLines/>
                    <w:adjustRightInd w:val="0"/>
                    <w:snapToGrid w:val="0"/>
                    <w:spacing w:line="240" w:lineRule="auto"/>
                    <w:ind w:firstLine="0" w:firstLineChars="0"/>
                    <w:jc w:val="center"/>
                    <w:rPr>
                      <w:rFonts w:ascii="Times New Roman" w:hAnsi="Times New Roman"/>
                      <w:kern w:val="0"/>
                      <w:sz w:val="21"/>
                    </w:rPr>
                  </w:pPr>
                </w:p>
              </w:tc>
              <w:tc>
                <w:tcPr>
                  <w:tcW w:w="343" w:type="pct"/>
                  <w:vMerge w:val="continue"/>
                  <w:tcBorders>
                    <w:tl2br w:val="nil"/>
                    <w:tr2bl w:val="nil"/>
                  </w:tcBorders>
                  <w:shd w:val="clear" w:color="auto" w:fill="auto"/>
                  <w:noWrap/>
                  <w:vAlign w:val="center"/>
                </w:tcPr>
                <w:p w14:paraId="5DAF8D74">
                  <w:pPr>
                    <w:pStyle w:val="12"/>
                    <w:keepLines/>
                    <w:adjustRightInd w:val="0"/>
                    <w:snapToGrid w:val="0"/>
                    <w:spacing w:line="240" w:lineRule="auto"/>
                    <w:ind w:firstLine="0" w:firstLineChars="0"/>
                    <w:jc w:val="center"/>
                    <w:rPr>
                      <w:rFonts w:ascii="Times New Roman" w:hAnsi="Times New Roman"/>
                      <w:sz w:val="21"/>
                    </w:rPr>
                  </w:pPr>
                </w:p>
              </w:tc>
              <w:tc>
                <w:tcPr>
                  <w:tcW w:w="373" w:type="pct"/>
                  <w:vMerge w:val="continue"/>
                  <w:tcBorders>
                    <w:tl2br w:val="nil"/>
                    <w:tr2bl w:val="nil"/>
                  </w:tcBorders>
                  <w:shd w:val="clear" w:color="auto" w:fill="auto"/>
                  <w:noWrap/>
                  <w:vAlign w:val="center"/>
                </w:tcPr>
                <w:p w14:paraId="49514CEC">
                  <w:pPr>
                    <w:pStyle w:val="12"/>
                    <w:keepLines/>
                    <w:adjustRightInd w:val="0"/>
                    <w:snapToGrid w:val="0"/>
                    <w:spacing w:line="240" w:lineRule="auto"/>
                    <w:ind w:firstLine="0" w:firstLineChars="0"/>
                    <w:jc w:val="center"/>
                    <w:rPr>
                      <w:rFonts w:ascii="Times New Roman" w:hAnsi="Times New Roman"/>
                      <w:kern w:val="0"/>
                      <w:sz w:val="21"/>
                    </w:rPr>
                  </w:pPr>
                </w:p>
              </w:tc>
              <w:tc>
                <w:tcPr>
                  <w:tcW w:w="325" w:type="pct"/>
                  <w:vMerge w:val="continue"/>
                  <w:tcBorders>
                    <w:tl2br w:val="nil"/>
                    <w:tr2bl w:val="nil"/>
                  </w:tcBorders>
                  <w:shd w:val="clear" w:color="auto" w:fill="auto"/>
                  <w:noWrap/>
                  <w:vAlign w:val="center"/>
                </w:tcPr>
                <w:p w14:paraId="5632ABEC">
                  <w:pPr>
                    <w:pStyle w:val="12"/>
                    <w:keepLines/>
                    <w:adjustRightInd w:val="0"/>
                    <w:snapToGrid w:val="0"/>
                    <w:spacing w:line="240" w:lineRule="auto"/>
                    <w:ind w:firstLine="0" w:firstLineChars="0"/>
                    <w:jc w:val="center"/>
                    <w:rPr>
                      <w:rFonts w:ascii="Times New Roman" w:hAnsi="Times New Roman"/>
                      <w:kern w:val="0"/>
                      <w:sz w:val="21"/>
                    </w:rPr>
                  </w:pPr>
                </w:p>
              </w:tc>
              <w:tc>
                <w:tcPr>
                  <w:tcW w:w="267" w:type="pct"/>
                  <w:vMerge w:val="continue"/>
                  <w:tcBorders>
                    <w:tl2br w:val="nil"/>
                    <w:tr2bl w:val="nil"/>
                  </w:tcBorders>
                  <w:shd w:val="clear" w:color="auto" w:fill="auto"/>
                  <w:noWrap/>
                  <w:vAlign w:val="center"/>
                </w:tcPr>
                <w:p w14:paraId="322D939A">
                  <w:pPr>
                    <w:pStyle w:val="12"/>
                    <w:keepLines/>
                    <w:adjustRightInd w:val="0"/>
                    <w:snapToGrid w:val="0"/>
                    <w:spacing w:line="240" w:lineRule="auto"/>
                    <w:ind w:firstLine="0" w:firstLineChars="0"/>
                    <w:jc w:val="center"/>
                    <w:rPr>
                      <w:rFonts w:ascii="Times New Roman" w:hAnsi="Times New Roman"/>
                      <w:kern w:val="0"/>
                      <w:sz w:val="21"/>
                    </w:rPr>
                  </w:pPr>
                </w:p>
              </w:tc>
              <w:tc>
                <w:tcPr>
                  <w:tcW w:w="379" w:type="pct"/>
                  <w:tcBorders>
                    <w:tl2br w:val="nil"/>
                    <w:tr2bl w:val="nil"/>
                  </w:tcBorders>
                  <w:shd w:val="clear" w:color="auto" w:fill="auto"/>
                  <w:noWrap/>
                  <w:vAlign w:val="center"/>
                </w:tcPr>
                <w:p w14:paraId="5B3916F1">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7.11</w:t>
                  </w:r>
                </w:p>
              </w:tc>
              <w:tc>
                <w:tcPr>
                  <w:tcW w:w="438" w:type="pct"/>
                  <w:tcBorders>
                    <w:tl2br w:val="nil"/>
                    <w:tr2bl w:val="nil"/>
                  </w:tcBorders>
                  <w:shd w:val="clear" w:color="auto" w:fill="auto"/>
                  <w:noWrap/>
                  <w:vAlign w:val="center"/>
                </w:tcPr>
                <w:p w14:paraId="7D1ACAFE">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72.74</w:t>
                  </w:r>
                </w:p>
              </w:tc>
              <w:tc>
                <w:tcPr>
                  <w:tcW w:w="311" w:type="pct"/>
                  <w:vMerge w:val="continue"/>
                  <w:tcBorders>
                    <w:tl2br w:val="nil"/>
                    <w:tr2bl w:val="nil"/>
                  </w:tcBorders>
                  <w:shd w:val="clear" w:color="auto" w:fill="auto"/>
                  <w:noWrap/>
                  <w:vAlign w:val="center"/>
                </w:tcPr>
                <w:p w14:paraId="2A0EA8C8">
                  <w:pPr>
                    <w:pStyle w:val="12"/>
                    <w:keepLines/>
                    <w:adjustRightInd w:val="0"/>
                    <w:snapToGrid w:val="0"/>
                    <w:spacing w:line="240" w:lineRule="auto"/>
                    <w:ind w:firstLine="0" w:firstLineChars="0"/>
                    <w:jc w:val="center"/>
                    <w:rPr>
                      <w:rFonts w:ascii="Times New Roman" w:hAnsi="Times New Roman"/>
                      <w:kern w:val="0"/>
                      <w:sz w:val="21"/>
                    </w:rPr>
                  </w:pPr>
                </w:p>
              </w:tc>
              <w:tc>
                <w:tcPr>
                  <w:tcW w:w="400" w:type="pct"/>
                  <w:tcBorders>
                    <w:tl2br w:val="nil"/>
                    <w:tr2bl w:val="nil"/>
                  </w:tcBorders>
                  <w:shd w:val="clear" w:color="auto" w:fill="auto"/>
                  <w:noWrap/>
                  <w:vAlign w:val="center"/>
                </w:tcPr>
                <w:p w14:paraId="2005B067">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20</w:t>
                  </w:r>
                </w:p>
              </w:tc>
              <w:tc>
                <w:tcPr>
                  <w:tcW w:w="385" w:type="pct"/>
                  <w:tcBorders>
                    <w:tl2br w:val="nil"/>
                    <w:tr2bl w:val="nil"/>
                  </w:tcBorders>
                  <w:shd w:val="clear" w:color="auto" w:fill="auto"/>
                  <w:noWrap/>
                  <w:vAlign w:val="center"/>
                </w:tcPr>
                <w:p w14:paraId="399B432F">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46.74</w:t>
                  </w:r>
                </w:p>
              </w:tc>
              <w:tc>
                <w:tcPr>
                  <w:tcW w:w="404" w:type="pct"/>
                  <w:tcBorders>
                    <w:tl2br w:val="nil"/>
                    <w:tr2bl w:val="nil"/>
                  </w:tcBorders>
                  <w:shd w:val="clear" w:color="auto" w:fill="auto"/>
                  <w:noWrap/>
                  <w:vAlign w:val="center"/>
                </w:tcPr>
                <w:p w14:paraId="0E2780AD">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w:t>
                  </w:r>
                </w:p>
              </w:tc>
            </w:tr>
            <w:tr w14:paraId="2F8FE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79" w:type="pct"/>
                  <w:vMerge w:val="continue"/>
                  <w:tcBorders>
                    <w:tl2br w:val="nil"/>
                    <w:tr2bl w:val="nil"/>
                  </w:tcBorders>
                  <w:shd w:val="clear" w:color="auto" w:fill="auto"/>
                  <w:noWrap/>
                  <w:vAlign w:val="center"/>
                </w:tcPr>
                <w:p w14:paraId="64425742">
                  <w:pPr>
                    <w:pStyle w:val="12"/>
                    <w:keepLines/>
                    <w:adjustRightInd w:val="0"/>
                    <w:snapToGrid w:val="0"/>
                    <w:spacing w:line="240" w:lineRule="auto"/>
                    <w:ind w:firstLine="0" w:firstLineChars="0"/>
                    <w:jc w:val="center"/>
                    <w:rPr>
                      <w:rFonts w:ascii="Times New Roman" w:hAnsi="Times New Roman"/>
                      <w:kern w:val="0"/>
                      <w:sz w:val="21"/>
                    </w:rPr>
                  </w:pPr>
                </w:p>
              </w:tc>
              <w:tc>
                <w:tcPr>
                  <w:tcW w:w="339" w:type="pct"/>
                  <w:vMerge w:val="continue"/>
                  <w:tcBorders>
                    <w:tl2br w:val="nil"/>
                    <w:tr2bl w:val="nil"/>
                  </w:tcBorders>
                  <w:shd w:val="clear" w:color="auto" w:fill="auto"/>
                  <w:noWrap/>
                  <w:vAlign w:val="center"/>
                </w:tcPr>
                <w:p w14:paraId="3999BD6E">
                  <w:pPr>
                    <w:pStyle w:val="12"/>
                    <w:keepLines/>
                    <w:adjustRightInd w:val="0"/>
                    <w:snapToGrid w:val="0"/>
                    <w:spacing w:line="240" w:lineRule="auto"/>
                    <w:ind w:firstLine="0" w:firstLineChars="0"/>
                    <w:jc w:val="center"/>
                    <w:rPr>
                      <w:rFonts w:ascii="Times New Roman" w:hAnsi="Times New Roman"/>
                      <w:kern w:val="0"/>
                      <w:sz w:val="21"/>
                    </w:rPr>
                  </w:pPr>
                </w:p>
              </w:tc>
              <w:tc>
                <w:tcPr>
                  <w:tcW w:w="337" w:type="pct"/>
                  <w:vMerge w:val="continue"/>
                  <w:tcBorders>
                    <w:tl2br w:val="nil"/>
                    <w:tr2bl w:val="nil"/>
                  </w:tcBorders>
                  <w:shd w:val="clear" w:color="auto" w:fill="auto"/>
                  <w:noWrap/>
                  <w:vAlign w:val="center"/>
                </w:tcPr>
                <w:p w14:paraId="2E651DAA">
                  <w:pPr>
                    <w:pStyle w:val="12"/>
                    <w:keepLines/>
                    <w:adjustRightInd w:val="0"/>
                    <w:snapToGrid w:val="0"/>
                    <w:spacing w:line="240" w:lineRule="auto"/>
                    <w:ind w:firstLine="0" w:firstLineChars="0"/>
                    <w:jc w:val="center"/>
                    <w:rPr>
                      <w:rFonts w:ascii="Times New Roman" w:hAnsi="Times New Roman"/>
                      <w:kern w:val="0"/>
                      <w:sz w:val="21"/>
                    </w:rPr>
                  </w:pPr>
                </w:p>
              </w:tc>
              <w:tc>
                <w:tcPr>
                  <w:tcW w:w="180" w:type="pct"/>
                  <w:vMerge w:val="continue"/>
                  <w:tcBorders>
                    <w:tl2br w:val="nil"/>
                    <w:tr2bl w:val="nil"/>
                  </w:tcBorders>
                  <w:shd w:val="clear" w:color="auto" w:fill="auto"/>
                  <w:noWrap/>
                  <w:vAlign w:val="center"/>
                </w:tcPr>
                <w:p w14:paraId="4A0229BD">
                  <w:pPr>
                    <w:pStyle w:val="12"/>
                    <w:keepLines/>
                    <w:adjustRightInd w:val="0"/>
                    <w:snapToGrid w:val="0"/>
                    <w:spacing w:line="240" w:lineRule="auto"/>
                    <w:ind w:firstLine="0" w:firstLineChars="0"/>
                    <w:jc w:val="center"/>
                    <w:rPr>
                      <w:rFonts w:ascii="Times New Roman" w:hAnsi="Times New Roman"/>
                      <w:kern w:val="0"/>
                      <w:sz w:val="21"/>
                    </w:rPr>
                  </w:pPr>
                </w:p>
              </w:tc>
              <w:tc>
                <w:tcPr>
                  <w:tcW w:w="333" w:type="pct"/>
                  <w:vMerge w:val="continue"/>
                  <w:tcBorders>
                    <w:tl2br w:val="nil"/>
                    <w:tr2bl w:val="nil"/>
                  </w:tcBorders>
                  <w:shd w:val="clear" w:color="auto" w:fill="auto"/>
                  <w:noWrap/>
                  <w:vAlign w:val="center"/>
                </w:tcPr>
                <w:p w14:paraId="74CC74D5">
                  <w:pPr>
                    <w:pStyle w:val="12"/>
                    <w:keepLines/>
                    <w:adjustRightInd w:val="0"/>
                    <w:snapToGrid w:val="0"/>
                    <w:spacing w:line="240" w:lineRule="auto"/>
                    <w:ind w:firstLine="0" w:firstLineChars="0"/>
                    <w:jc w:val="center"/>
                    <w:rPr>
                      <w:rFonts w:ascii="Times New Roman" w:hAnsi="Times New Roman"/>
                      <w:kern w:val="0"/>
                      <w:sz w:val="21"/>
                    </w:rPr>
                  </w:pPr>
                </w:p>
              </w:tc>
              <w:tc>
                <w:tcPr>
                  <w:tcW w:w="343" w:type="pct"/>
                  <w:vMerge w:val="continue"/>
                  <w:tcBorders>
                    <w:tl2br w:val="nil"/>
                    <w:tr2bl w:val="nil"/>
                  </w:tcBorders>
                  <w:shd w:val="clear" w:color="auto" w:fill="auto"/>
                  <w:noWrap/>
                  <w:vAlign w:val="center"/>
                </w:tcPr>
                <w:p w14:paraId="2CD7BBF8">
                  <w:pPr>
                    <w:pStyle w:val="12"/>
                    <w:keepLines/>
                    <w:adjustRightInd w:val="0"/>
                    <w:snapToGrid w:val="0"/>
                    <w:spacing w:line="240" w:lineRule="auto"/>
                    <w:ind w:firstLine="0" w:firstLineChars="0"/>
                    <w:jc w:val="center"/>
                    <w:rPr>
                      <w:rFonts w:ascii="Times New Roman" w:hAnsi="Times New Roman"/>
                      <w:sz w:val="21"/>
                    </w:rPr>
                  </w:pPr>
                </w:p>
              </w:tc>
              <w:tc>
                <w:tcPr>
                  <w:tcW w:w="373" w:type="pct"/>
                  <w:vMerge w:val="continue"/>
                  <w:tcBorders>
                    <w:tl2br w:val="nil"/>
                    <w:tr2bl w:val="nil"/>
                  </w:tcBorders>
                  <w:shd w:val="clear" w:color="auto" w:fill="auto"/>
                  <w:noWrap/>
                  <w:vAlign w:val="center"/>
                </w:tcPr>
                <w:p w14:paraId="18368058">
                  <w:pPr>
                    <w:pStyle w:val="12"/>
                    <w:keepLines/>
                    <w:adjustRightInd w:val="0"/>
                    <w:snapToGrid w:val="0"/>
                    <w:spacing w:line="240" w:lineRule="auto"/>
                    <w:ind w:firstLine="0" w:firstLineChars="0"/>
                    <w:jc w:val="center"/>
                    <w:rPr>
                      <w:rFonts w:ascii="Times New Roman" w:hAnsi="Times New Roman"/>
                      <w:kern w:val="0"/>
                      <w:sz w:val="21"/>
                    </w:rPr>
                  </w:pPr>
                </w:p>
              </w:tc>
              <w:tc>
                <w:tcPr>
                  <w:tcW w:w="325" w:type="pct"/>
                  <w:vMerge w:val="continue"/>
                  <w:tcBorders>
                    <w:tl2br w:val="nil"/>
                    <w:tr2bl w:val="nil"/>
                  </w:tcBorders>
                  <w:shd w:val="clear" w:color="auto" w:fill="auto"/>
                  <w:noWrap/>
                  <w:vAlign w:val="center"/>
                </w:tcPr>
                <w:p w14:paraId="357BE594">
                  <w:pPr>
                    <w:pStyle w:val="12"/>
                    <w:keepLines/>
                    <w:adjustRightInd w:val="0"/>
                    <w:snapToGrid w:val="0"/>
                    <w:spacing w:line="240" w:lineRule="auto"/>
                    <w:ind w:firstLine="0" w:firstLineChars="0"/>
                    <w:jc w:val="center"/>
                    <w:rPr>
                      <w:rFonts w:ascii="Times New Roman" w:hAnsi="Times New Roman"/>
                      <w:kern w:val="0"/>
                      <w:sz w:val="21"/>
                    </w:rPr>
                  </w:pPr>
                </w:p>
              </w:tc>
              <w:tc>
                <w:tcPr>
                  <w:tcW w:w="267" w:type="pct"/>
                  <w:vMerge w:val="continue"/>
                  <w:tcBorders>
                    <w:tl2br w:val="nil"/>
                    <w:tr2bl w:val="nil"/>
                  </w:tcBorders>
                  <w:shd w:val="clear" w:color="auto" w:fill="auto"/>
                  <w:noWrap/>
                  <w:vAlign w:val="center"/>
                </w:tcPr>
                <w:p w14:paraId="659EF43F">
                  <w:pPr>
                    <w:pStyle w:val="12"/>
                    <w:keepLines/>
                    <w:adjustRightInd w:val="0"/>
                    <w:snapToGrid w:val="0"/>
                    <w:spacing w:line="240" w:lineRule="auto"/>
                    <w:ind w:firstLine="0" w:firstLineChars="0"/>
                    <w:jc w:val="center"/>
                    <w:rPr>
                      <w:rFonts w:ascii="Times New Roman" w:hAnsi="Times New Roman"/>
                      <w:kern w:val="0"/>
                      <w:sz w:val="21"/>
                    </w:rPr>
                  </w:pPr>
                </w:p>
              </w:tc>
              <w:tc>
                <w:tcPr>
                  <w:tcW w:w="379" w:type="pct"/>
                  <w:tcBorders>
                    <w:tl2br w:val="nil"/>
                    <w:tr2bl w:val="nil"/>
                  </w:tcBorders>
                  <w:shd w:val="clear" w:color="auto" w:fill="auto"/>
                  <w:noWrap/>
                  <w:vAlign w:val="center"/>
                </w:tcPr>
                <w:p w14:paraId="32943CE2">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29.32</w:t>
                  </w:r>
                </w:p>
              </w:tc>
              <w:tc>
                <w:tcPr>
                  <w:tcW w:w="438" w:type="pct"/>
                  <w:tcBorders>
                    <w:tl2br w:val="nil"/>
                    <w:tr2bl w:val="nil"/>
                  </w:tcBorders>
                  <w:shd w:val="clear" w:color="auto" w:fill="auto"/>
                  <w:noWrap/>
                  <w:vAlign w:val="center"/>
                </w:tcPr>
                <w:p w14:paraId="46FE07D7">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72.71</w:t>
                  </w:r>
                </w:p>
              </w:tc>
              <w:tc>
                <w:tcPr>
                  <w:tcW w:w="311" w:type="pct"/>
                  <w:vMerge w:val="continue"/>
                  <w:tcBorders>
                    <w:tl2br w:val="nil"/>
                    <w:tr2bl w:val="nil"/>
                  </w:tcBorders>
                  <w:shd w:val="clear" w:color="auto" w:fill="auto"/>
                  <w:noWrap/>
                  <w:vAlign w:val="center"/>
                </w:tcPr>
                <w:p w14:paraId="37348431">
                  <w:pPr>
                    <w:pStyle w:val="12"/>
                    <w:keepLines/>
                    <w:adjustRightInd w:val="0"/>
                    <w:snapToGrid w:val="0"/>
                    <w:spacing w:line="240" w:lineRule="auto"/>
                    <w:ind w:firstLine="0" w:firstLineChars="0"/>
                    <w:jc w:val="center"/>
                    <w:rPr>
                      <w:rFonts w:ascii="Times New Roman" w:hAnsi="Times New Roman"/>
                      <w:kern w:val="0"/>
                      <w:sz w:val="21"/>
                    </w:rPr>
                  </w:pPr>
                </w:p>
              </w:tc>
              <w:tc>
                <w:tcPr>
                  <w:tcW w:w="400" w:type="pct"/>
                  <w:tcBorders>
                    <w:tl2br w:val="nil"/>
                    <w:tr2bl w:val="nil"/>
                  </w:tcBorders>
                  <w:shd w:val="clear" w:color="auto" w:fill="auto"/>
                  <w:noWrap/>
                  <w:vAlign w:val="center"/>
                </w:tcPr>
                <w:p w14:paraId="1A6FB723">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20</w:t>
                  </w:r>
                </w:p>
              </w:tc>
              <w:tc>
                <w:tcPr>
                  <w:tcW w:w="385" w:type="pct"/>
                  <w:tcBorders>
                    <w:tl2br w:val="nil"/>
                    <w:tr2bl w:val="nil"/>
                  </w:tcBorders>
                  <w:shd w:val="clear" w:color="auto" w:fill="auto"/>
                  <w:noWrap/>
                  <w:vAlign w:val="center"/>
                </w:tcPr>
                <w:p w14:paraId="24DB9972">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46.71</w:t>
                  </w:r>
                </w:p>
              </w:tc>
              <w:tc>
                <w:tcPr>
                  <w:tcW w:w="404" w:type="pct"/>
                  <w:tcBorders>
                    <w:tl2br w:val="nil"/>
                    <w:tr2bl w:val="nil"/>
                  </w:tcBorders>
                  <w:shd w:val="clear" w:color="auto" w:fill="auto"/>
                  <w:noWrap/>
                  <w:vAlign w:val="center"/>
                </w:tcPr>
                <w:p w14:paraId="20232964">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w:t>
                  </w:r>
                </w:p>
              </w:tc>
            </w:tr>
            <w:tr w14:paraId="46226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79" w:type="pct"/>
                  <w:vMerge w:val="continue"/>
                  <w:tcBorders>
                    <w:tl2br w:val="nil"/>
                    <w:tr2bl w:val="nil"/>
                  </w:tcBorders>
                  <w:shd w:val="clear" w:color="auto" w:fill="auto"/>
                  <w:noWrap/>
                  <w:vAlign w:val="center"/>
                </w:tcPr>
                <w:p w14:paraId="34B55C1D">
                  <w:pPr>
                    <w:pStyle w:val="12"/>
                    <w:keepLines/>
                    <w:adjustRightInd w:val="0"/>
                    <w:snapToGrid w:val="0"/>
                    <w:spacing w:line="240" w:lineRule="auto"/>
                    <w:ind w:firstLine="0" w:firstLineChars="0"/>
                    <w:jc w:val="center"/>
                    <w:rPr>
                      <w:rFonts w:ascii="Times New Roman" w:hAnsi="Times New Roman"/>
                      <w:kern w:val="0"/>
                      <w:sz w:val="21"/>
                    </w:rPr>
                  </w:pPr>
                </w:p>
              </w:tc>
              <w:tc>
                <w:tcPr>
                  <w:tcW w:w="339" w:type="pct"/>
                  <w:vMerge w:val="continue"/>
                  <w:tcBorders>
                    <w:tl2br w:val="nil"/>
                    <w:tr2bl w:val="nil"/>
                  </w:tcBorders>
                  <w:shd w:val="clear" w:color="auto" w:fill="auto"/>
                  <w:noWrap/>
                  <w:vAlign w:val="center"/>
                </w:tcPr>
                <w:p w14:paraId="5CBDBE27">
                  <w:pPr>
                    <w:pStyle w:val="12"/>
                    <w:keepLines/>
                    <w:adjustRightInd w:val="0"/>
                    <w:snapToGrid w:val="0"/>
                    <w:spacing w:line="240" w:lineRule="auto"/>
                    <w:ind w:firstLine="0" w:firstLineChars="0"/>
                    <w:jc w:val="center"/>
                    <w:rPr>
                      <w:rFonts w:ascii="Times New Roman" w:hAnsi="Times New Roman"/>
                      <w:kern w:val="0"/>
                      <w:sz w:val="21"/>
                    </w:rPr>
                  </w:pPr>
                </w:p>
              </w:tc>
              <w:tc>
                <w:tcPr>
                  <w:tcW w:w="337" w:type="pct"/>
                  <w:vMerge w:val="continue"/>
                  <w:tcBorders>
                    <w:tl2br w:val="nil"/>
                    <w:tr2bl w:val="nil"/>
                  </w:tcBorders>
                  <w:shd w:val="clear" w:color="auto" w:fill="auto"/>
                  <w:noWrap/>
                  <w:vAlign w:val="center"/>
                </w:tcPr>
                <w:p w14:paraId="11A56968">
                  <w:pPr>
                    <w:pStyle w:val="12"/>
                    <w:keepLines/>
                    <w:adjustRightInd w:val="0"/>
                    <w:snapToGrid w:val="0"/>
                    <w:spacing w:line="240" w:lineRule="auto"/>
                    <w:ind w:firstLine="0" w:firstLineChars="0"/>
                    <w:jc w:val="center"/>
                    <w:rPr>
                      <w:rFonts w:ascii="Times New Roman" w:hAnsi="Times New Roman"/>
                      <w:kern w:val="0"/>
                      <w:sz w:val="21"/>
                    </w:rPr>
                  </w:pPr>
                </w:p>
              </w:tc>
              <w:tc>
                <w:tcPr>
                  <w:tcW w:w="180" w:type="pct"/>
                  <w:vMerge w:val="continue"/>
                  <w:tcBorders>
                    <w:tl2br w:val="nil"/>
                    <w:tr2bl w:val="nil"/>
                  </w:tcBorders>
                  <w:shd w:val="clear" w:color="auto" w:fill="auto"/>
                  <w:noWrap/>
                  <w:vAlign w:val="center"/>
                </w:tcPr>
                <w:p w14:paraId="4E124584">
                  <w:pPr>
                    <w:pStyle w:val="12"/>
                    <w:keepLines/>
                    <w:adjustRightInd w:val="0"/>
                    <w:snapToGrid w:val="0"/>
                    <w:spacing w:line="240" w:lineRule="auto"/>
                    <w:ind w:firstLine="0" w:firstLineChars="0"/>
                    <w:jc w:val="center"/>
                    <w:rPr>
                      <w:rFonts w:ascii="Times New Roman" w:hAnsi="Times New Roman"/>
                      <w:kern w:val="0"/>
                      <w:sz w:val="21"/>
                    </w:rPr>
                  </w:pPr>
                </w:p>
              </w:tc>
              <w:tc>
                <w:tcPr>
                  <w:tcW w:w="333" w:type="pct"/>
                  <w:vMerge w:val="continue"/>
                  <w:tcBorders>
                    <w:tl2br w:val="nil"/>
                    <w:tr2bl w:val="nil"/>
                  </w:tcBorders>
                  <w:shd w:val="clear" w:color="auto" w:fill="auto"/>
                  <w:noWrap/>
                  <w:vAlign w:val="center"/>
                </w:tcPr>
                <w:p w14:paraId="5F582F2D">
                  <w:pPr>
                    <w:pStyle w:val="12"/>
                    <w:keepLines/>
                    <w:adjustRightInd w:val="0"/>
                    <w:snapToGrid w:val="0"/>
                    <w:spacing w:line="240" w:lineRule="auto"/>
                    <w:ind w:firstLine="0" w:firstLineChars="0"/>
                    <w:jc w:val="center"/>
                    <w:rPr>
                      <w:rFonts w:ascii="Times New Roman" w:hAnsi="Times New Roman"/>
                      <w:kern w:val="0"/>
                      <w:sz w:val="21"/>
                    </w:rPr>
                  </w:pPr>
                </w:p>
              </w:tc>
              <w:tc>
                <w:tcPr>
                  <w:tcW w:w="343" w:type="pct"/>
                  <w:vMerge w:val="continue"/>
                  <w:tcBorders>
                    <w:tl2br w:val="nil"/>
                    <w:tr2bl w:val="nil"/>
                  </w:tcBorders>
                  <w:shd w:val="clear" w:color="auto" w:fill="auto"/>
                  <w:noWrap/>
                  <w:vAlign w:val="center"/>
                </w:tcPr>
                <w:p w14:paraId="1973E208">
                  <w:pPr>
                    <w:pStyle w:val="12"/>
                    <w:keepLines/>
                    <w:adjustRightInd w:val="0"/>
                    <w:snapToGrid w:val="0"/>
                    <w:spacing w:line="240" w:lineRule="auto"/>
                    <w:ind w:firstLine="0" w:firstLineChars="0"/>
                    <w:jc w:val="center"/>
                    <w:rPr>
                      <w:rFonts w:ascii="Times New Roman" w:hAnsi="Times New Roman"/>
                      <w:sz w:val="21"/>
                    </w:rPr>
                  </w:pPr>
                </w:p>
              </w:tc>
              <w:tc>
                <w:tcPr>
                  <w:tcW w:w="373" w:type="pct"/>
                  <w:vMerge w:val="continue"/>
                  <w:tcBorders>
                    <w:tl2br w:val="nil"/>
                    <w:tr2bl w:val="nil"/>
                  </w:tcBorders>
                  <w:shd w:val="clear" w:color="auto" w:fill="auto"/>
                  <w:noWrap/>
                  <w:vAlign w:val="center"/>
                </w:tcPr>
                <w:p w14:paraId="2BAF48DF">
                  <w:pPr>
                    <w:pStyle w:val="12"/>
                    <w:keepLines/>
                    <w:adjustRightInd w:val="0"/>
                    <w:snapToGrid w:val="0"/>
                    <w:spacing w:line="240" w:lineRule="auto"/>
                    <w:ind w:firstLine="0" w:firstLineChars="0"/>
                    <w:jc w:val="center"/>
                    <w:rPr>
                      <w:rFonts w:ascii="Times New Roman" w:hAnsi="Times New Roman"/>
                      <w:kern w:val="0"/>
                      <w:sz w:val="21"/>
                    </w:rPr>
                  </w:pPr>
                </w:p>
              </w:tc>
              <w:tc>
                <w:tcPr>
                  <w:tcW w:w="325" w:type="pct"/>
                  <w:vMerge w:val="continue"/>
                  <w:tcBorders>
                    <w:tl2br w:val="nil"/>
                    <w:tr2bl w:val="nil"/>
                  </w:tcBorders>
                  <w:shd w:val="clear" w:color="auto" w:fill="auto"/>
                  <w:noWrap/>
                  <w:vAlign w:val="center"/>
                </w:tcPr>
                <w:p w14:paraId="6BA4C16A">
                  <w:pPr>
                    <w:pStyle w:val="12"/>
                    <w:keepLines/>
                    <w:adjustRightInd w:val="0"/>
                    <w:snapToGrid w:val="0"/>
                    <w:spacing w:line="240" w:lineRule="auto"/>
                    <w:ind w:firstLine="0" w:firstLineChars="0"/>
                    <w:jc w:val="center"/>
                    <w:rPr>
                      <w:rFonts w:ascii="Times New Roman" w:hAnsi="Times New Roman"/>
                      <w:kern w:val="0"/>
                      <w:sz w:val="21"/>
                    </w:rPr>
                  </w:pPr>
                </w:p>
              </w:tc>
              <w:tc>
                <w:tcPr>
                  <w:tcW w:w="267" w:type="pct"/>
                  <w:vMerge w:val="continue"/>
                  <w:tcBorders>
                    <w:tl2br w:val="nil"/>
                    <w:tr2bl w:val="nil"/>
                  </w:tcBorders>
                  <w:shd w:val="clear" w:color="auto" w:fill="auto"/>
                  <w:noWrap/>
                  <w:vAlign w:val="center"/>
                </w:tcPr>
                <w:p w14:paraId="0C55DDE0">
                  <w:pPr>
                    <w:pStyle w:val="12"/>
                    <w:keepLines/>
                    <w:adjustRightInd w:val="0"/>
                    <w:snapToGrid w:val="0"/>
                    <w:spacing w:line="240" w:lineRule="auto"/>
                    <w:ind w:firstLine="0" w:firstLineChars="0"/>
                    <w:jc w:val="center"/>
                    <w:rPr>
                      <w:rFonts w:ascii="Times New Roman" w:hAnsi="Times New Roman"/>
                      <w:kern w:val="0"/>
                      <w:sz w:val="21"/>
                    </w:rPr>
                  </w:pPr>
                </w:p>
              </w:tc>
              <w:tc>
                <w:tcPr>
                  <w:tcW w:w="379" w:type="pct"/>
                  <w:tcBorders>
                    <w:tl2br w:val="nil"/>
                    <w:tr2bl w:val="nil"/>
                  </w:tcBorders>
                  <w:shd w:val="clear" w:color="auto" w:fill="auto"/>
                  <w:noWrap/>
                  <w:vAlign w:val="center"/>
                </w:tcPr>
                <w:p w14:paraId="1A43BBE8">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5.62</w:t>
                  </w:r>
                </w:p>
              </w:tc>
              <w:tc>
                <w:tcPr>
                  <w:tcW w:w="438" w:type="pct"/>
                  <w:tcBorders>
                    <w:tl2br w:val="nil"/>
                    <w:tr2bl w:val="nil"/>
                  </w:tcBorders>
                  <w:shd w:val="clear" w:color="auto" w:fill="auto"/>
                  <w:noWrap/>
                  <w:vAlign w:val="center"/>
                </w:tcPr>
                <w:p w14:paraId="4A400527">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72.76</w:t>
                  </w:r>
                </w:p>
              </w:tc>
              <w:tc>
                <w:tcPr>
                  <w:tcW w:w="311" w:type="pct"/>
                  <w:vMerge w:val="continue"/>
                  <w:tcBorders>
                    <w:tl2br w:val="nil"/>
                    <w:tr2bl w:val="nil"/>
                  </w:tcBorders>
                  <w:shd w:val="clear" w:color="auto" w:fill="auto"/>
                  <w:noWrap/>
                  <w:vAlign w:val="center"/>
                </w:tcPr>
                <w:p w14:paraId="10E1BC5C">
                  <w:pPr>
                    <w:pStyle w:val="12"/>
                    <w:keepLines/>
                    <w:adjustRightInd w:val="0"/>
                    <w:snapToGrid w:val="0"/>
                    <w:spacing w:line="240" w:lineRule="auto"/>
                    <w:ind w:firstLine="0" w:firstLineChars="0"/>
                    <w:jc w:val="center"/>
                    <w:rPr>
                      <w:rFonts w:ascii="Times New Roman" w:hAnsi="Times New Roman"/>
                      <w:kern w:val="0"/>
                      <w:sz w:val="21"/>
                    </w:rPr>
                  </w:pPr>
                </w:p>
              </w:tc>
              <w:tc>
                <w:tcPr>
                  <w:tcW w:w="400" w:type="pct"/>
                  <w:tcBorders>
                    <w:tl2br w:val="nil"/>
                    <w:tr2bl w:val="nil"/>
                  </w:tcBorders>
                  <w:shd w:val="clear" w:color="auto" w:fill="auto"/>
                  <w:noWrap/>
                  <w:vAlign w:val="center"/>
                </w:tcPr>
                <w:p w14:paraId="5D72E1EF">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20</w:t>
                  </w:r>
                </w:p>
              </w:tc>
              <w:tc>
                <w:tcPr>
                  <w:tcW w:w="385" w:type="pct"/>
                  <w:tcBorders>
                    <w:tl2br w:val="nil"/>
                    <w:tr2bl w:val="nil"/>
                  </w:tcBorders>
                  <w:shd w:val="clear" w:color="auto" w:fill="auto"/>
                  <w:noWrap/>
                  <w:vAlign w:val="center"/>
                </w:tcPr>
                <w:p w14:paraId="29863599">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46.76</w:t>
                  </w:r>
                </w:p>
              </w:tc>
              <w:tc>
                <w:tcPr>
                  <w:tcW w:w="404" w:type="pct"/>
                  <w:tcBorders>
                    <w:tl2br w:val="nil"/>
                    <w:tr2bl w:val="nil"/>
                  </w:tcBorders>
                  <w:shd w:val="clear" w:color="auto" w:fill="auto"/>
                  <w:noWrap/>
                  <w:vAlign w:val="center"/>
                </w:tcPr>
                <w:p w14:paraId="65475229">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w:t>
                  </w:r>
                </w:p>
              </w:tc>
            </w:tr>
            <w:tr w14:paraId="4BF63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79" w:type="pct"/>
                  <w:vMerge w:val="restart"/>
                  <w:tcBorders>
                    <w:tl2br w:val="nil"/>
                    <w:tr2bl w:val="nil"/>
                  </w:tcBorders>
                  <w:shd w:val="clear" w:color="auto" w:fill="auto"/>
                  <w:noWrap/>
                  <w:vAlign w:val="center"/>
                </w:tcPr>
                <w:p w14:paraId="6601504B">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2</w:t>
                  </w:r>
                </w:p>
              </w:tc>
              <w:tc>
                <w:tcPr>
                  <w:tcW w:w="339" w:type="pct"/>
                  <w:vMerge w:val="restart"/>
                  <w:tcBorders>
                    <w:tl2br w:val="nil"/>
                    <w:tr2bl w:val="nil"/>
                  </w:tcBorders>
                  <w:shd w:val="clear" w:color="auto" w:fill="auto"/>
                  <w:noWrap/>
                  <w:vAlign w:val="center"/>
                </w:tcPr>
                <w:p w14:paraId="4DE5CA08">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砂石料仓库</w:t>
                  </w:r>
                </w:p>
              </w:tc>
              <w:tc>
                <w:tcPr>
                  <w:tcW w:w="337" w:type="pct"/>
                  <w:vMerge w:val="restart"/>
                  <w:tcBorders>
                    <w:tl2br w:val="nil"/>
                    <w:tr2bl w:val="nil"/>
                  </w:tcBorders>
                  <w:shd w:val="clear" w:color="auto" w:fill="auto"/>
                  <w:noWrap/>
                  <w:vAlign w:val="center"/>
                </w:tcPr>
                <w:p w14:paraId="63B43CB8">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1#给料机</w:t>
                  </w:r>
                </w:p>
              </w:tc>
              <w:tc>
                <w:tcPr>
                  <w:tcW w:w="180" w:type="pct"/>
                  <w:vMerge w:val="restart"/>
                  <w:tcBorders>
                    <w:tl2br w:val="nil"/>
                    <w:tr2bl w:val="nil"/>
                  </w:tcBorders>
                  <w:shd w:val="clear" w:color="auto" w:fill="auto"/>
                  <w:noWrap/>
                  <w:vAlign w:val="center"/>
                </w:tcPr>
                <w:p w14:paraId="56C0C885">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w:t>
                  </w:r>
                </w:p>
              </w:tc>
              <w:tc>
                <w:tcPr>
                  <w:tcW w:w="333" w:type="pct"/>
                  <w:vMerge w:val="restart"/>
                  <w:tcBorders>
                    <w:tl2br w:val="nil"/>
                    <w:tr2bl w:val="nil"/>
                  </w:tcBorders>
                  <w:shd w:val="clear" w:color="auto" w:fill="auto"/>
                  <w:noWrap/>
                  <w:vAlign w:val="center"/>
                </w:tcPr>
                <w:p w14:paraId="7A53C5EB">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70</w:t>
                  </w:r>
                </w:p>
              </w:tc>
              <w:tc>
                <w:tcPr>
                  <w:tcW w:w="343" w:type="pct"/>
                  <w:vMerge w:val="continue"/>
                  <w:tcBorders>
                    <w:tl2br w:val="nil"/>
                    <w:tr2bl w:val="nil"/>
                  </w:tcBorders>
                  <w:shd w:val="clear" w:color="auto" w:fill="auto"/>
                  <w:noWrap/>
                  <w:vAlign w:val="center"/>
                </w:tcPr>
                <w:p w14:paraId="409FE094">
                  <w:pPr>
                    <w:pStyle w:val="12"/>
                    <w:keepLines/>
                    <w:adjustRightInd w:val="0"/>
                    <w:snapToGrid w:val="0"/>
                    <w:spacing w:line="240" w:lineRule="auto"/>
                    <w:ind w:firstLine="0" w:firstLineChars="0"/>
                    <w:jc w:val="center"/>
                    <w:rPr>
                      <w:rFonts w:ascii="Times New Roman" w:hAnsi="Times New Roman"/>
                      <w:sz w:val="21"/>
                    </w:rPr>
                  </w:pPr>
                </w:p>
              </w:tc>
              <w:tc>
                <w:tcPr>
                  <w:tcW w:w="373" w:type="pct"/>
                  <w:vMerge w:val="restart"/>
                  <w:tcBorders>
                    <w:tl2br w:val="nil"/>
                    <w:tr2bl w:val="nil"/>
                  </w:tcBorders>
                  <w:shd w:val="clear" w:color="auto" w:fill="auto"/>
                  <w:noWrap/>
                  <w:vAlign w:val="center"/>
                </w:tcPr>
                <w:p w14:paraId="4CAE894D">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24.38</w:t>
                  </w:r>
                </w:p>
              </w:tc>
              <w:tc>
                <w:tcPr>
                  <w:tcW w:w="325" w:type="pct"/>
                  <w:vMerge w:val="restart"/>
                  <w:tcBorders>
                    <w:tl2br w:val="nil"/>
                    <w:tr2bl w:val="nil"/>
                  </w:tcBorders>
                  <w:shd w:val="clear" w:color="auto" w:fill="auto"/>
                  <w:noWrap/>
                  <w:vAlign w:val="center"/>
                </w:tcPr>
                <w:p w14:paraId="24FA8C4D">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26.39</w:t>
                  </w:r>
                </w:p>
              </w:tc>
              <w:tc>
                <w:tcPr>
                  <w:tcW w:w="267" w:type="pct"/>
                  <w:vMerge w:val="restart"/>
                  <w:tcBorders>
                    <w:tl2br w:val="nil"/>
                    <w:tr2bl w:val="nil"/>
                  </w:tcBorders>
                  <w:shd w:val="clear" w:color="auto" w:fill="auto"/>
                  <w:noWrap/>
                  <w:vAlign w:val="center"/>
                </w:tcPr>
                <w:p w14:paraId="1A65F09B">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w:t>
                  </w:r>
                </w:p>
              </w:tc>
              <w:tc>
                <w:tcPr>
                  <w:tcW w:w="379" w:type="pct"/>
                  <w:tcBorders>
                    <w:tl2br w:val="nil"/>
                    <w:tr2bl w:val="nil"/>
                  </w:tcBorders>
                  <w:shd w:val="clear" w:color="auto" w:fill="auto"/>
                  <w:noWrap/>
                  <w:vAlign w:val="center"/>
                </w:tcPr>
                <w:p w14:paraId="516EAD60">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0.88</w:t>
                  </w:r>
                </w:p>
              </w:tc>
              <w:tc>
                <w:tcPr>
                  <w:tcW w:w="438" w:type="pct"/>
                  <w:tcBorders>
                    <w:tl2br w:val="nil"/>
                    <w:tr2bl w:val="nil"/>
                  </w:tcBorders>
                  <w:shd w:val="clear" w:color="auto" w:fill="auto"/>
                  <w:noWrap/>
                  <w:vAlign w:val="center"/>
                </w:tcPr>
                <w:p w14:paraId="06041CC0">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66.66</w:t>
                  </w:r>
                </w:p>
              </w:tc>
              <w:tc>
                <w:tcPr>
                  <w:tcW w:w="311" w:type="pct"/>
                  <w:vMerge w:val="continue"/>
                  <w:tcBorders>
                    <w:tl2br w:val="nil"/>
                    <w:tr2bl w:val="nil"/>
                  </w:tcBorders>
                  <w:shd w:val="clear" w:color="auto" w:fill="auto"/>
                  <w:noWrap/>
                  <w:vAlign w:val="center"/>
                </w:tcPr>
                <w:p w14:paraId="539DE52C">
                  <w:pPr>
                    <w:pStyle w:val="12"/>
                    <w:keepLines/>
                    <w:adjustRightInd w:val="0"/>
                    <w:snapToGrid w:val="0"/>
                    <w:spacing w:line="240" w:lineRule="auto"/>
                    <w:ind w:firstLine="0" w:firstLineChars="0"/>
                    <w:jc w:val="center"/>
                    <w:rPr>
                      <w:rFonts w:ascii="Times New Roman" w:hAnsi="Times New Roman"/>
                      <w:kern w:val="0"/>
                      <w:sz w:val="21"/>
                    </w:rPr>
                  </w:pPr>
                </w:p>
              </w:tc>
              <w:tc>
                <w:tcPr>
                  <w:tcW w:w="400" w:type="pct"/>
                  <w:tcBorders>
                    <w:tl2br w:val="nil"/>
                    <w:tr2bl w:val="nil"/>
                  </w:tcBorders>
                  <w:shd w:val="clear" w:color="auto" w:fill="auto"/>
                  <w:noWrap/>
                  <w:vAlign w:val="center"/>
                </w:tcPr>
                <w:p w14:paraId="36F8ADF0">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20</w:t>
                  </w:r>
                </w:p>
              </w:tc>
              <w:tc>
                <w:tcPr>
                  <w:tcW w:w="385" w:type="pct"/>
                  <w:tcBorders>
                    <w:tl2br w:val="nil"/>
                    <w:tr2bl w:val="nil"/>
                  </w:tcBorders>
                  <w:shd w:val="clear" w:color="auto" w:fill="auto"/>
                  <w:noWrap/>
                  <w:vAlign w:val="center"/>
                </w:tcPr>
                <w:p w14:paraId="6D92E070">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40.66</w:t>
                  </w:r>
                </w:p>
              </w:tc>
              <w:tc>
                <w:tcPr>
                  <w:tcW w:w="404" w:type="pct"/>
                  <w:tcBorders>
                    <w:tl2br w:val="nil"/>
                    <w:tr2bl w:val="nil"/>
                  </w:tcBorders>
                  <w:shd w:val="clear" w:color="auto" w:fill="auto"/>
                  <w:noWrap/>
                  <w:vAlign w:val="center"/>
                </w:tcPr>
                <w:p w14:paraId="4E77D1F0">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w:t>
                  </w:r>
                </w:p>
              </w:tc>
            </w:tr>
            <w:tr w14:paraId="1DA52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79" w:type="pct"/>
                  <w:vMerge w:val="continue"/>
                  <w:tcBorders>
                    <w:tl2br w:val="nil"/>
                    <w:tr2bl w:val="nil"/>
                  </w:tcBorders>
                  <w:shd w:val="clear" w:color="auto" w:fill="auto"/>
                  <w:noWrap/>
                  <w:vAlign w:val="center"/>
                </w:tcPr>
                <w:p w14:paraId="6954926E">
                  <w:pPr>
                    <w:pStyle w:val="12"/>
                    <w:keepLines/>
                    <w:adjustRightInd w:val="0"/>
                    <w:snapToGrid w:val="0"/>
                    <w:spacing w:line="240" w:lineRule="auto"/>
                    <w:ind w:firstLine="0" w:firstLineChars="0"/>
                    <w:jc w:val="center"/>
                    <w:rPr>
                      <w:rFonts w:ascii="Times New Roman" w:hAnsi="Times New Roman"/>
                      <w:kern w:val="0"/>
                      <w:sz w:val="21"/>
                    </w:rPr>
                  </w:pPr>
                </w:p>
              </w:tc>
              <w:tc>
                <w:tcPr>
                  <w:tcW w:w="339" w:type="pct"/>
                  <w:vMerge w:val="continue"/>
                  <w:tcBorders>
                    <w:tl2br w:val="nil"/>
                    <w:tr2bl w:val="nil"/>
                  </w:tcBorders>
                  <w:shd w:val="clear" w:color="auto" w:fill="auto"/>
                  <w:noWrap/>
                  <w:vAlign w:val="center"/>
                </w:tcPr>
                <w:p w14:paraId="2F9F8F8C">
                  <w:pPr>
                    <w:pStyle w:val="12"/>
                    <w:keepLines/>
                    <w:adjustRightInd w:val="0"/>
                    <w:snapToGrid w:val="0"/>
                    <w:spacing w:line="240" w:lineRule="auto"/>
                    <w:ind w:firstLine="0" w:firstLineChars="0"/>
                    <w:jc w:val="center"/>
                    <w:rPr>
                      <w:rFonts w:ascii="Times New Roman" w:hAnsi="Times New Roman"/>
                      <w:kern w:val="0"/>
                      <w:sz w:val="21"/>
                    </w:rPr>
                  </w:pPr>
                </w:p>
              </w:tc>
              <w:tc>
                <w:tcPr>
                  <w:tcW w:w="337" w:type="pct"/>
                  <w:vMerge w:val="continue"/>
                  <w:tcBorders>
                    <w:tl2br w:val="nil"/>
                    <w:tr2bl w:val="nil"/>
                  </w:tcBorders>
                  <w:shd w:val="clear" w:color="auto" w:fill="auto"/>
                  <w:noWrap/>
                  <w:vAlign w:val="center"/>
                </w:tcPr>
                <w:p w14:paraId="0DEE742F">
                  <w:pPr>
                    <w:pStyle w:val="12"/>
                    <w:keepLines/>
                    <w:adjustRightInd w:val="0"/>
                    <w:snapToGrid w:val="0"/>
                    <w:spacing w:line="240" w:lineRule="auto"/>
                    <w:ind w:firstLine="0" w:firstLineChars="0"/>
                    <w:jc w:val="center"/>
                    <w:rPr>
                      <w:rFonts w:ascii="Times New Roman" w:hAnsi="Times New Roman"/>
                      <w:kern w:val="0"/>
                      <w:sz w:val="21"/>
                    </w:rPr>
                  </w:pPr>
                </w:p>
              </w:tc>
              <w:tc>
                <w:tcPr>
                  <w:tcW w:w="180" w:type="pct"/>
                  <w:vMerge w:val="continue"/>
                  <w:tcBorders>
                    <w:tl2br w:val="nil"/>
                    <w:tr2bl w:val="nil"/>
                  </w:tcBorders>
                  <w:shd w:val="clear" w:color="auto" w:fill="auto"/>
                  <w:noWrap/>
                  <w:vAlign w:val="center"/>
                </w:tcPr>
                <w:p w14:paraId="5014D1C2">
                  <w:pPr>
                    <w:pStyle w:val="12"/>
                    <w:keepLines/>
                    <w:adjustRightInd w:val="0"/>
                    <w:snapToGrid w:val="0"/>
                    <w:spacing w:line="240" w:lineRule="auto"/>
                    <w:ind w:firstLine="0" w:firstLineChars="0"/>
                    <w:jc w:val="center"/>
                    <w:rPr>
                      <w:rFonts w:ascii="Times New Roman" w:hAnsi="Times New Roman"/>
                      <w:kern w:val="0"/>
                      <w:sz w:val="21"/>
                    </w:rPr>
                  </w:pPr>
                </w:p>
              </w:tc>
              <w:tc>
                <w:tcPr>
                  <w:tcW w:w="333" w:type="pct"/>
                  <w:vMerge w:val="continue"/>
                  <w:tcBorders>
                    <w:tl2br w:val="nil"/>
                    <w:tr2bl w:val="nil"/>
                  </w:tcBorders>
                  <w:shd w:val="clear" w:color="auto" w:fill="auto"/>
                  <w:noWrap/>
                  <w:vAlign w:val="center"/>
                </w:tcPr>
                <w:p w14:paraId="06530456">
                  <w:pPr>
                    <w:pStyle w:val="12"/>
                    <w:keepLines/>
                    <w:adjustRightInd w:val="0"/>
                    <w:snapToGrid w:val="0"/>
                    <w:spacing w:line="240" w:lineRule="auto"/>
                    <w:ind w:firstLine="0" w:firstLineChars="0"/>
                    <w:jc w:val="center"/>
                    <w:rPr>
                      <w:rFonts w:ascii="Times New Roman" w:hAnsi="Times New Roman"/>
                      <w:kern w:val="0"/>
                      <w:sz w:val="21"/>
                    </w:rPr>
                  </w:pPr>
                </w:p>
              </w:tc>
              <w:tc>
                <w:tcPr>
                  <w:tcW w:w="343" w:type="pct"/>
                  <w:vMerge w:val="continue"/>
                  <w:tcBorders>
                    <w:tl2br w:val="nil"/>
                    <w:tr2bl w:val="nil"/>
                  </w:tcBorders>
                  <w:shd w:val="clear" w:color="auto" w:fill="auto"/>
                  <w:noWrap/>
                  <w:vAlign w:val="center"/>
                </w:tcPr>
                <w:p w14:paraId="7775936C">
                  <w:pPr>
                    <w:pStyle w:val="12"/>
                    <w:keepLines/>
                    <w:adjustRightInd w:val="0"/>
                    <w:snapToGrid w:val="0"/>
                    <w:spacing w:line="240" w:lineRule="auto"/>
                    <w:ind w:firstLine="0" w:firstLineChars="0"/>
                    <w:jc w:val="center"/>
                    <w:rPr>
                      <w:rFonts w:ascii="Times New Roman" w:hAnsi="Times New Roman"/>
                      <w:sz w:val="21"/>
                    </w:rPr>
                  </w:pPr>
                </w:p>
              </w:tc>
              <w:tc>
                <w:tcPr>
                  <w:tcW w:w="373" w:type="pct"/>
                  <w:vMerge w:val="continue"/>
                  <w:tcBorders>
                    <w:tl2br w:val="nil"/>
                    <w:tr2bl w:val="nil"/>
                  </w:tcBorders>
                  <w:shd w:val="clear" w:color="auto" w:fill="auto"/>
                  <w:noWrap/>
                  <w:vAlign w:val="center"/>
                </w:tcPr>
                <w:p w14:paraId="35E925C9">
                  <w:pPr>
                    <w:pStyle w:val="12"/>
                    <w:keepLines/>
                    <w:adjustRightInd w:val="0"/>
                    <w:snapToGrid w:val="0"/>
                    <w:spacing w:line="240" w:lineRule="auto"/>
                    <w:ind w:firstLine="0" w:firstLineChars="0"/>
                    <w:jc w:val="center"/>
                    <w:rPr>
                      <w:rFonts w:ascii="Times New Roman" w:hAnsi="Times New Roman"/>
                      <w:kern w:val="0"/>
                      <w:sz w:val="21"/>
                    </w:rPr>
                  </w:pPr>
                </w:p>
              </w:tc>
              <w:tc>
                <w:tcPr>
                  <w:tcW w:w="325" w:type="pct"/>
                  <w:vMerge w:val="continue"/>
                  <w:tcBorders>
                    <w:tl2br w:val="nil"/>
                    <w:tr2bl w:val="nil"/>
                  </w:tcBorders>
                  <w:shd w:val="clear" w:color="auto" w:fill="auto"/>
                  <w:noWrap/>
                  <w:vAlign w:val="center"/>
                </w:tcPr>
                <w:p w14:paraId="752D378D">
                  <w:pPr>
                    <w:pStyle w:val="12"/>
                    <w:keepLines/>
                    <w:adjustRightInd w:val="0"/>
                    <w:snapToGrid w:val="0"/>
                    <w:spacing w:line="240" w:lineRule="auto"/>
                    <w:ind w:firstLine="0" w:firstLineChars="0"/>
                    <w:jc w:val="center"/>
                    <w:rPr>
                      <w:rFonts w:ascii="Times New Roman" w:hAnsi="Times New Roman"/>
                      <w:kern w:val="0"/>
                      <w:sz w:val="21"/>
                    </w:rPr>
                  </w:pPr>
                </w:p>
              </w:tc>
              <w:tc>
                <w:tcPr>
                  <w:tcW w:w="267" w:type="pct"/>
                  <w:vMerge w:val="continue"/>
                  <w:tcBorders>
                    <w:tl2br w:val="nil"/>
                    <w:tr2bl w:val="nil"/>
                  </w:tcBorders>
                  <w:shd w:val="clear" w:color="auto" w:fill="auto"/>
                  <w:noWrap/>
                  <w:vAlign w:val="center"/>
                </w:tcPr>
                <w:p w14:paraId="46412F04">
                  <w:pPr>
                    <w:pStyle w:val="12"/>
                    <w:keepLines/>
                    <w:adjustRightInd w:val="0"/>
                    <w:snapToGrid w:val="0"/>
                    <w:spacing w:line="240" w:lineRule="auto"/>
                    <w:ind w:firstLine="0" w:firstLineChars="0"/>
                    <w:jc w:val="center"/>
                    <w:rPr>
                      <w:rFonts w:ascii="Times New Roman" w:hAnsi="Times New Roman"/>
                      <w:kern w:val="0"/>
                      <w:sz w:val="21"/>
                    </w:rPr>
                  </w:pPr>
                </w:p>
              </w:tc>
              <w:tc>
                <w:tcPr>
                  <w:tcW w:w="379" w:type="pct"/>
                  <w:tcBorders>
                    <w:tl2br w:val="nil"/>
                    <w:tr2bl w:val="nil"/>
                  </w:tcBorders>
                  <w:shd w:val="clear" w:color="auto" w:fill="auto"/>
                  <w:noWrap/>
                  <w:vAlign w:val="center"/>
                </w:tcPr>
                <w:p w14:paraId="230C70E2">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27.45</w:t>
                  </w:r>
                </w:p>
              </w:tc>
              <w:tc>
                <w:tcPr>
                  <w:tcW w:w="438" w:type="pct"/>
                  <w:tcBorders>
                    <w:tl2br w:val="nil"/>
                    <w:tr2bl w:val="nil"/>
                  </w:tcBorders>
                  <w:shd w:val="clear" w:color="auto" w:fill="auto"/>
                  <w:noWrap/>
                  <w:vAlign w:val="center"/>
                </w:tcPr>
                <w:p w14:paraId="41A9C846">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65.57</w:t>
                  </w:r>
                </w:p>
              </w:tc>
              <w:tc>
                <w:tcPr>
                  <w:tcW w:w="311" w:type="pct"/>
                  <w:vMerge w:val="continue"/>
                  <w:tcBorders>
                    <w:tl2br w:val="nil"/>
                    <w:tr2bl w:val="nil"/>
                  </w:tcBorders>
                  <w:shd w:val="clear" w:color="auto" w:fill="auto"/>
                  <w:noWrap/>
                  <w:vAlign w:val="center"/>
                </w:tcPr>
                <w:p w14:paraId="3E80920D">
                  <w:pPr>
                    <w:pStyle w:val="12"/>
                    <w:keepLines/>
                    <w:adjustRightInd w:val="0"/>
                    <w:snapToGrid w:val="0"/>
                    <w:spacing w:line="240" w:lineRule="auto"/>
                    <w:ind w:firstLine="0" w:firstLineChars="0"/>
                    <w:jc w:val="center"/>
                    <w:rPr>
                      <w:rFonts w:ascii="Times New Roman" w:hAnsi="Times New Roman"/>
                      <w:kern w:val="0"/>
                      <w:sz w:val="21"/>
                    </w:rPr>
                  </w:pPr>
                </w:p>
              </w:tc>
              <w:tc>
                <w:tcPr>
                  <w:tcW w:w="400" w:type="pct"/>
                  <w:tcBorders>
                    <w:tl2br w:val="nil"/>
                    <w:tr2bl w:val="nil"/>
                  </w:tcBorders>
                  <w:shd w:val="clear" w:color="auto" w:fill="auto"/>
                  <w:noWrap/>
                  <w:vAlign w:val="center"/>
                </w:tcPr>
                <w:p w14:paraId="1DDD904D">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20</w:t>
                  </w:r>
                </w:p>
              </w:tc>
              <w:tc>
                <w:tcPr>
                  <w:tcW w:w="385" w:type="pct"/>
                  <w:tcBorders>
                    <w:tl2br w:val="nil"/>
                    <w:tr2bl w:val="nil"/>
                  </w:tcBorders>
                  <w:shd w:val="clear" w:color="auto" w:fill="auto"/>
                  <w:noWrap/>
                  <w:vAlign w:val="center"/>
                </w:tcPr>
                <w:p w14:paraId="1152C381">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39.57</w:t>
                  </w:r>
                </w:p>
              </w:tc>
              <w:tc>
                <w:tcPr>
                  <w:tcW w:w="404" w:type="pct"/>
                  <w:tcBorders>
                    <w:tl2br w:val="nil"/>
                    <w:tr2bl w:val="nil"/>
                  </w:tcBorders>
                  <w:shd w:val="clear" w:color="auto" w:fill="auto"/>
                  <w:noWrap/>
                  <w:vAlign w:val="center"/>
                </w:tcPr>
                <w:p w14:paraId="1B11619E">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w:t>
                  </w:r>
                </w:p>
              </w:tc>
            </w:tr>
            <w:tr w14:paraId="5C06B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79" w:type="pct"/>
                  <w:vMerge w:val="continue"/>
                  <w:tcBorders>
                    <w:tl2br w:val="nil"/>
                    <w:tr2bl w:val="nil"/>
                  </w:tcBorders>
                  <w:shd w:val="clear" w:color="auto" w:fill="auto"/>
                  <w:noWrap/>
                  <w:vAlign w:val="center"/>
                </w:tcPr>
                <w:p w14:paraId="42BA1ACD">
                  <w:pPr>
                    <w:pStyle w:val="12"/>
                    <w:keepLines/>
                    <w:adjustRightInd w:val="0"/>
                    <w:snapToGrid w:val="0"/>
                    <w:spacing w:line="240" w:lineRule="auto"/>
                    <w:ind w:firstLine="0" w:firstLineChars="0"/>
                    <w:jc w:val="center"/>
                    <w:rPr>
                      <w:rFonts w:ascii="Times New Roman" w:hAnsi="Times New Roman"/>
                      <w:kern w:val="0"/>
                      <w:sz w:val="21"/>
                    </w:rPr>
                  </w:pPr>
                </w:p>
              </w:tc>
              <w:tc>
                <w:tcPr>
                  <w:tcW w:w="339" w:type="pct"/>
                  <w:vMerge w:val="continue"/>
                  <w:tcBorders>
                    <w:tl2br w:val="nil"/>
                    <w:tr2bl w:val="nil"/>
                  </w:tcBorders>
                  <w:shd w:val="clear" w:color="auto" w:fill="auto"/>
                  <w:noWrap/>
                  <w:vAlign w:val="center"/>
                </w:tcPr>
                <w:p w14:paraId="1E7084E6">
                  <w:pPr>
                    <w:pStyle w:val="12"/>
                    <w:keepLines/>
                    <w:adjustRightInd w:val="0"/>
                    <w:snapToGrid w:val="0"/>
                    <w:spacing w:line="240" w:lineRule="auto"/>
                    <w:ind w:firstLine="0" w:firstLineChars="0"/>
                    <w:jc w:val="center"/>
                    <w:rPr>
                      <w:rFonts w:ascii="Times New Roman" w:hAnsi="Times New Roman"/>
                      <w:kern w:val="0"/>
                      <w:sz w:val="21"/>
                    </w:rPr>
                  </w:pPr>
                </w:p>
              </w:tc>
              <w:tc>
                <w:tcPr>
                  <w:tcW w:w="337" w:type="pct"/>
                  <w:vMerge w:val="continue"/>
                  <w:tcBorders>
                    <w:tl2br w:val="nil"/>
                    <w:tr2bl w:val="nil"/>
                  </w:tcBorders>
                  <w:shd w:val="clear" w:color="auto" w:fill="auto"/>
                  <w:noWrap/>
                  <w:vAlign w:val="center"/>
                </w:tcPr>
                <w:p w14:paraId="29E0BCBC">
                  <w:pPr>
                    <w:pStyle w:val="12"/>
                    <w:keepLines/>
                    <w:adjustRightInd w:val="0"/>
                    <w:snapToGrid w:val="0"/>
                    <w:spacing w:line="240" w:lineRule="auto"/>
                    <w:ind w:firstLine="0" w:firstLineChars="0"/>
                    <w:jc w:val="center"/>
                    <w:rPr>
                      <w:rFonts w:ascii="Times New Roman" w:hAnsi="Times New Roman"/>
                      <w:kern w:val="0"/>
                      <w:sz w:val="21"/>
                    </w:rPr>
                  </w:pPr>
                </w:p>
              </w:tc>
              <w:tc>
                <w:tcPr>
                  <w:tcW w:w="180" w:type="pct"/>
                  <w:vMerge w:val="continue"/>
                  <w:tcBorders>
                    <w:tl2br w:val="nil"/>
                    <w:tr2bl w:val="nil"/>
                  </w:tcBorders>
                  <w:shd w:val="clear" w:color="auto" w:fill="auto"/>
                  <w:noWrap/>
                  <w:vAlign w:val="center"/>
                </w:tcPr>
                <w:p w14:paraId="75B8CEDC">
                  <w:pPr>
                    <w:pStyle w:val="12"/>
                    <w:keepLines/>
                    <w:adjustRightInd w:val="0"/>
                    <w:snapToGrid w:val="0"/>
                    <w:spacing w:line="240" w:lineRule="auto"/>
                    <w:ind w:firstLine="0" w:firstLineChars="0"/>
                    <w:jc w:val="center"/>
                    <w:rPr>
                      <w:rFonts w:ascii="Times New Roman" w:hAnsi="Times New Roman"/>
                      <w:kern w:val="0"/>
                      <w:sz w:val="21"/>
                    </w:rPr>
                  </w:pPr>
                </w:p>
              </w:tc>
              <w:tc>
                <w:tcPr>
                  <w:tcW w:w="333" w:type="pct"/>
                  <w:vMerge w:val="continue"/>
                  <w:tcBorders>
                    <w:tl2br w:val="nil"/>
                    <w:tr2bl w:val="nil"/>
                  </w:tcBorders>
                  <w:shd w:val="clear" w:color="auto" w:fill="auto"/>
                  <w:noWrap/>
                  <w:vAlign w:val="center"/>
                </w:tcPr>
                <w:p w14:paraId="509CEE64">
                  <w:pPr>
                    <w:pStyle w:val="12"/>
                    <w:keepLines/>
                    <w:adjustRightInd w:val="0"/>
                    <w:snapToGrid w:val="0"/>
                    <w:spacing w:line="240" w:lineRule="auto"/>
                    <w:ind w:firstLine="0" w:firstLineChars="0"/>
                    <w:jc w:val="center"/>
                    <w:rPr>
                      <w:rFonts w:ascii="Times New Roman" w:hAnsi="Times New Roman"/>
                      <w:kern w:val="0"/>
                      <w:sz w:val="21"/>
                    </w:rPr>
                  </w:pPr>
                </w:p>
              </w:tc>
              <w:tc>
                <w:tcPr>
                  <w:tcW w:w="343" w:type="pct"/>
                  <w:vMerge w:val="continue"/>
                  <w:tcBorders>
                    <w:tl2br w:val="nil"/>
                    <w:tr2bl w:val="nil"/>
                  </w:tcBorders>
                  <w:shd w:val="clear" w:color="auto" w:fill="auto"/>
                  <w:noWrap/>
                  <w:vAlign w:val="center"/>
                </w:tcPr>
                <w:p w14:paraId="6DDB6435">
                  <w:pPr>
                    <w:pStyle w:val="12"/>
                    <w:keepLines/>
                    <w:adjustRightInd w:val="0"/>
                    <w:snapToGrid w:val="0"/>
                    <w:spacing w:line="240" w:lineRule="auto"/>
                    <w:ind w:firstLine="0" w:firstLineChars="0"/>
                    <w:jc w:val="center"/>
                    <w:rPr>
                      <w:rFonts w:ascii="Times New Roman" w:hAnsi="Times New Roman"/>
                      <w:sz w:val="21"/>
                    </w:rPr>
                  </w:pPr>
                </w:p>
              </w:tc>
              <w:tc>
                <w:tcPr>
                  <w:tcW w:w="373" w:type="pct"/>
                  <w:vMerge w:val="continue"/>
                  <w:tcBorders>
                    <w:tl2br w:val="nil"/>
                    <w:tr2bl w:val="nil"/>
                  </w:tcBorders>
                  <w:shd w:val="clear" w:color="auto" w:fill="auto"/>
                  <w:noWrap/>
                  <w:vAlign w:val="center"/>
                </w:tcPr>
                <w:p w14:paraId="66375AAE">
                  <w:pPr>
                    <w:pStyle w:val="12"/>
                    <w:keepLines/>
                    <w:adjustRightInd w:val="0"/>
                    <w:snapToGrid w:val="0"/>
                    <w:spacing w:line="240" w:lineRule="auto"/>
                    <w:ind w:firstLine="0" w:firstLineChars="0"/>
                    <w:jc w:val="center"/>
                    <w:rPr>
                      <w:rFonts w:ascii="Times New Roman" w:hAnsi="Times New Roman"/>
                      <w:kern w:val="0"/>
                      <w:sz w:val="21"/>
                    </w:rPr>
                  </w:pPr>
                </w:p>
              </w:tc>
              <w:tc>
                <w:tcPr>
                  <w:tcW w:w="325" w:type="pct"/>
                  <w:vMerge w:val="continue"/>
                  <w:tcBorders>
                    <w:tl2br w:val="nil"/>
                    <w:tr2bl w:val="nil"/>
                  </w:tcBorders>
                  <w:shd w:val="clear" w:color="auto" w:fill="auto"/>
                  <w:noWrap/>
                  <w:vAlign w:val="center"/>
                </w:tcPr>
                <w:p w14:paraId="30BB9A07">
                  <w:pPr>
                    <w:pStyle w:val="12"/>
                    <w:keepLines/>
                    <w:adjustRightInd w:val="0"/>
                    <w:snapToGrid w:val="0"/>
                    <w:spacing w:line="240" w:lineRule="auto"/>
                    <w:ind w:firstLine="0" w:firstLineChars="0"/>
                    <w:jc w:val="center"/>
                    <w:rPr>
                      <w:rFonts w:ascii="Times New Roman" w:hAnsi="Times New Roman"/>
                      <w:kern w:val="0"/>
                      <w:sz w:val="21"/>
                    </w:rPr>
                  </w:pPr>
                </w:p>
              </w:tc>
              <w:tc>
                <w:tcPr>
                  <w:tcW w:w="267" w:type="pct"/>
                  <w:vMerge w:val="continue"/>
                  <w:tcBorders>
                    <w:tl2br w:val="nil"/>
                    <w:tr2bl w:val="nil"/>
                  </w:tcBorders>
                  <w:shd w:val="clear" w:color="auto" w:fill="auto"/>
                  <w:noWrap/>
                  <w:vAlign w:val="center"/>
                </w:tcPr>
                <w:p w14:paraId="41F4D46E">
                  <w:pPr>
                    <w:pStyle w:val="12"/>
                    <w:keepLines/>
                    <w:adjustRightInd w:val="0"/>
                    <w:snapToGrid w:val="0"/>
                    <w:spacing w:line="240" w:lineRule="auto"/>
                    <w:ind w:firstLine="0" w:firstLineChars="0"/>
                    <w:jc w:val="center"/>
                    <w:rPr>
                      <w:rFonts w:ascii="Times New Roman" w:hAnsi="Times New Roman"/>
                      <w:kern w:val="0"/>
                      <w:sz w:val="21"/>
                    </w:rPr>
                  </w:pPr>
                </w:p>
              </w:tc>
              <w:tc>
                <w:tcPr>
                  <w:tcW w:w="379" w:type="pct"/>
                  <w:tcBorders>
                    <w:tl2br w:val="nil"/>
                    <w:tr2bl w:val="nil"/>
                  </w:tcBorders>
                  <w:shd w:val="clear" w:color="auto" w:fill="auto"/>
                  <w:noWrap/>
                  <w:vAlign w:val="center"/>
                </w:tcPr>
                <w:p w14:paraId="0D3EFA2D">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4.10</w:t>
                  </w:r>
                </w:p>
              </w:tc>
              <w:tc>
                <w:tcPr>
                  <w:tcW w:w="438" w:type="pct"/>
                  <w:tcBorders>
                    <w:tl2br w:val="nil"/>
                    <w:tr2bl w:val="nil"/>
                  </w:tcBorders>
                  <w:shd w:val="clear" w:color="auto" w:fill="auto"/>
                  <w:noWrap/>
                  <w:vAlign w:val="center"/>
                </w:tcPr>
                <w:p w14:paraId="335ADA89">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65.63</w:t>
                  </w:r>
                </w:p>
              </w:tc>
              <w:tc>
                <w:tcPr>
                  <w:tcW w:w="311" w:type="pct"/>
                  <w:vMerge w:val="continue"/>
                  <w:tcBorders>
                    <w:tl2br w:val="nil"/>
                    <w:tr2bl w:val="nil"/>
                  </w:tcBorders>
                  <w:shd w:val="clear" w:color="auto" w:fill="auto"/>
                  <w:noWrap/>
                  <w:vAlign w:val="center"/>
                </w:tcPr>
                <w:p w14:paraId="4EBCD437">
                  <w:pPr>
                    <w:pStyle w:val="12"/>
                    <w:keepLines/>
                    <w:adjustRightInd w:val="0"/>
                    <w:snapToGrid w:val="0"/>
                    <w:spacing w:line="240" w:lineRule="auto"/>
                    <w:ind w:firstLine="0" w:firstLineChars="0"/>
                    <w:jc w:val="center"/>
                    <w:rPr>
                      <w:rFonts w:ascii="Times New Roman" w:hAnsi="Times New Roman"/>
                      <w:kern w:val="0"/>
                      <w:sz w:val="21"/>
                    </w:rPr>
                  </w:pPr>
                </w:p>
              </w:tc>
              <w:tc>
                <w:tcPr>
                  <w:tcW w:w="400" w:type="pct"/>
                  <w:tcBorders>
                    <w:tl2br w:val="nil"/>
                    <w:tr2bl w:val="nil"/>
                  </w:tcBorders>
                  <w:shd w:val="clear" w:color="auto" w:fill="auto"/>
                  <w:noWrap/>
                  <w:vAlign w:val="center"/>
                </w:tcPr>
                <w:p w14:paraId="12E14B82">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20</w:t>
                  </w:r>
                </w:p>
              </w:tc>
              <w:tc>
                <w:tcPr>
                  <w:tcW w:w="385" w:type="pct"/>
                  <w:tcBorders>
                    <w:tl2br w:val="nil"/>
                    <w:tr2bl w:val="nil"/>
                  </w:tcBorders>
                  <w:shd w:val="clear" w:color="auto" w:fill="auto"/>
                  <w:noWrap/>
                  <w:vAlign w:val="center"/>
                </w:tcPr>
                <w:p w14:paraId="29A61F3E">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39.63</w:t>
                  </w:r>
                </w:p>
              </w:tc>
              <w:tc>
                <w:tcPr>
                  <w:tcW w:w="404" w:type="pct"/>
                  <w:tcBorders>
                    <w:tl2br w:val="nil"/>
                    <w:tr2bl w:val="nil"/>
                  </w:tcBorders>
                  <w:shd w:val="clear" w:color="auto" w:fill="auto"/>
                  <w:noWrap/>
                  <w:vAlign w:val="center"/>
                </w:tcPr>
                <w:p w14:paraId="0C87F6A7">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w:t>
                  </w:r>
                </w:p>
              </w:tc>
            </w:tr>
            <w:tr w14:paraId="696D2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79" w:type="pct"/>
                  <w:vMerge w:val="continue"/>
                  <w:tcBorders>
                    <w:tl2br w:val="nil"/>
                    <w:tr2bl w:val="nil"/>
                  </w:tcBorders>
                  <w:shd w:val="clear" w:color="auto" w:fill="auto"/>
                  <w:noWrap/>
                  <w:vAlign w:val="center"/>
                </w:tcPr>
                <w:p w14:paraId="06E7BA13">
                  <w:pPr>
                    <w:pStyle w:val="12"/>
                    <w:keepLines/>
                    <w:adjustRightInd w:val="0"/>
                    <w:snapToGrid w:val="0"/>
                    <w:spacing w:line="240" w:lineRule="auto"/>
                    <w:ind w:firstLine="0" w:firstLineChars="0"/>
                    <w:jc w:val="center"/>
                    <w:rPr>
                      <w:rFonts w:ascii="Times New Roman" w:hAnsi="Times New Roman"/>
                      <w:kern w:val="0"/>
                      <w:sz w:val="21"/>
                    </w:rPr>
                  </w:pPr>
                </w:p>
              </w:tc>
              <w:tc>
                <w:tcPr>
                  <w:tcW w:w="339" w:type="pct"/>
                  <w:vMerge w:val="continue"/>
                  <w:tcBorders>
                    <w:tl2br w:val="nil"/>
                    <w:tr2bl w:val="nil"/>
                  </w:tcBorders>
                  <w:shd w:val="clear" w:color="auto" w:fill="auto"/>
                  <w:noWrap/>
                  <w:vAlign w:val="center"/>
                </w:tcPr>
                <w:p w14:paraId="7E9FCAC3">
                  <w:pPr>
                    <w:pStyle w:val="12"/>
                    <w:keepLines/>
                    <w:adjustRightInd w:val="0"/>
                    <w:snapToGrid w:val="0"/>
                    <w:spacing w:line="240" w:lineRule="auto"/>
                    <w:ind w:firstLine="0" w:firstLineChars="0"/>
                    <w:jc w:val="center"/>
                    <w:rPr>
                      <w:rFonts w:ascii="Times New Roman" w:hAnsi="Times New Roman"/>
                      <w:kern w:val="0"/>
                      <w:sz w:val="21"/>
                    </w:rPr>
                  </w:pPr>
                </w:p>
              </w:tc>
              <w:tc>
                <w:tcPr>
                  <w:tcW w:w="337" w:type="pct"/>
                  <w:vMerge w:val="continue"/>
                  <w:tcBorders>
                    <w:tl2br w:val="nil"/>
                    <w:tr2bl w:val="nil"/>
                  </w:tcBorders>
                  <w:shd w:val="clear" w:color="auto" w:fill="auto"/>
                  <w:noWrap/>
                  <w:vAlign w:val="center"/>
                </w:tcPr>
                <w:p w14:paraId="2174179F">
                  <w:pPr>
                    <w:pStyle w:val="12"/>
                    <w:keepLines/>
                    <w:adjustRightInd w:val="0"/>
                    <w:snapToGrid w:val="0"/>
                    <w:spacing w:line="240" w:lineRule="auto"/>
                    <w:ind w:firstLine="0" w:firstLineChars="0"/>
                    <w:jc w:val="center"/>
                    <w:rPr>
                      <w:rFonts w:ascii="Times New Roman" w:hAnsi="Times New Roman"/>
                      <w:kern w:val="0"/>
                      <w:sz w:val="21"/>
                    </w:rPr>
                  </w:pPr>
                </w:p>
              </w:tc>
              <w:tc>
                <w:tcPr>
                  <w:tcW w:w="180" w:type="pct"/>
                  <w:vMerge w:val="continue"/>
                  <w:tcBorders>
                    <w:tl2br w:val="nil"/>
                    <w:tr2bl w:val="nil"/>
                  </w:tcBorders>
                  <w:shd w:val="clear" w:color="auto" w:fill="auto"/>
                  <w:noWrap/>
                  <w:vAlign w:val="center"/>
                </w:tcPr>
                <w:p w14:paraId="49BBA398">
                  <w:pPr>
                    <w:pStyle w:val="12"/>
                    <w:keepLines/>
                    <w:adjustRightInd w:val="0"/>
                    <w:snapToGrid w:val="0"/>
                    <w:spacing w:line="240" w:lineRule="auto"/>
                    <w:ind w:firstLine="0" w:firstLineChars="0"/>
                    <w:jc w:val="center"/>
                    <w:rPr>
                      <w:rFonts w:ascii="Times New Roman" w:hAnsi="Times New Roman"/>
                      <w:kern w:val="0"/>
                      <w:sz w:val="21"/>
                    </w:rPr>
                  </w:pPr>
                </w:p>
              </w:tc>
              <w:tc>
                <w:tcPr>
                  <w:tcW w:w="333" w:type="pct"/>
                  <w:vMerge w:val="continue"/>
                  <w:tcBorders>
                    <w:tl2br w:val="nil"/>
                    <w:tr2bl w:val="nil"/>
                  </w:tcBorders>
                  <w:shd w:val="clear" w:color="auto" w:fill="auto"/>
                  <w:noWrap/>
                  <w:vAlign w:val="center"/>
                </w:tcPr>
                <w:p w14:paraId="0F2E555E">
                  <w:pPr>
                    <w:pStyle w:val="12"/>
                    <w:keepLines/>
                    <w:adjustRightInd w:val="0"/>
                    <w:snapToGrid w:val="0"/>
                    <w:spacing w:line="240" w:lineRule="auto"/>
                    <w:ind w:firstLine="0" w:firstLineChars="0"/>
                    <w:jc w:val="center"/>
                    <w:rPr>
                      <w:rFonts w:ascii="Times New Roman" w:hAnsi="Times New Roman"/>
                      <w:kern w:val="0"/>
                      <w:sz w:val="21"/>
                    </w:rPr>
                  </w:pPr>
                </w:p>
              </w:tc>
              <w:tc>
                <w:tcPr>
                  <w:tcW w:w="343" w:type="pct"/>
                  <w:vMerge w:val="continue"/>
                  <w:tcBorders>
                    <w:tl2br w:val="nil"/>
                    <w:tr2bl w:val="nil"/>
                  </w:tcBorders>
                  <w:shd w:val="clear" w:color="auto" w:fill="auto"/>
                  <w:noWrap/>
                  <w:vAlign w:val="center"/>
                </w:tcPr>
                <w:p w14:paraId="2381F294">
                  <w:pPr>
                    <w:pStyle w:val="12"/>
                    <w:keepLines/>
                    <w:adjustRightInd w:val="0"/>
                    <w:snapToGrid w:val="0"/>
                    <w:spacing w:line="240" w:lineRule="auto"/>
                    <w:ind w:firstLine="0" w:firstLineChars="0"/>
                    <w:jc w:val="center"/>
                    <w:rPr>
                      <w:rFonts w:ascii="Times New Roman" w:hAnsi="Times New Roman"/>
                      <w:sz w:val="21"/>
                    </w:rPr>
                  </w:pPr>
                </w:p>
              </w:tc>
              <w:tc>
                <w:tcPr>
                  <w:tcW w:w="373" w:type="pct"/>
                  <w:vMerge w:val="continue"/>
                  <w:tcBorders>
                    <w:tl2br w:val="nil"/>
                    <w:tr2bl w:val="nil"/>
                  </w:tcBorders>
                  <w:shd w:val="clear" w:color="auto" w:fill="auto"/>
                  <w:noWrap/>
                  <w:vAlign w:val="center"/>
                </w:tcPr>
                <w:p w14:paraId="14AA5D24">
                  <w:pPr>
                    <w:pStyle w:val="12"/>
                    <w:keepLines/>
                    <w:adjustRightInd w:val="0"/>
                    <w:snapToGrid w:val="0"/>
                    <w:spacing w:line="240" w:lineRule="auto"/>
                    <w:ind w:firstLine="0" w:firstLineChars="0"/>
                    <w:jc w:val="center"/>
                    <w:rPr>
                      <w:rFonts w:ascii="Times New Roman" w:hAnsi="Times New Roman"/>
                      <w:kern w:val="0"/>
                      <w:sz w:val="21"/>
                    </w:rPr>
                  </w:pPr>
                </w:p>
              </w:tc>
              <w:tc>
                <w:tcPr>
                  <w:tcW w:w="325" w:type="pct"/>
                  <w:vMerge w:val="continue"/>
                  <w:tcBorders>
                    <w:tl2br w:val="nil"/>
                    <w:tr2bl w:val="nil"/>
                  </w:tcBorders>
                  <w:shd w:val="clear" w:color="auto" w:fill="auto"/>
                  <w:noWrap/>
                  <w:vAlign w:val="center"/>
                </w:tcPr>
                <w:p w14:paraId="4F4D8831">
                  <w:pPr>
                    <w:pStyle w:val="12"/>
                    <w:keepLines/>
                    <w:adjustRightInd w:val="0"/>
                    <w:snapToGrid w:val="0"/>
                    <w:spacing w:line="240" w:lineRule="auto"/>
                    <w:ind w:firstLine="0" w:firstLineChars="0"/>
                    <w:jc w:val="center"/>
                    <w:rPr>
                      <w:rFonts w:ascii="Times New Roman" w:hAnsi="Times New Roman"/>
                      <w:kern w:val="0"/>
                      <w:sz w:val="21"/>
                    </w:rPr>
                  </w:pPr>
                </w:p>
              </w:tc>
              <w:tc>
                <w:tcPr>
                  <w:tcW w:w="267" w:type="pct"/>
                  <w:vMerge w:val="continue"/>
                  <w:tcBorders>
                    <w:tl2br w:val="nil"/>
                    <w:tr2bl w:val="nil"/>
                  </w:tcBorders>
                  <w:shd w:val="clear" w:color="auto" w:fill="auto"/>
                  <w:noWrap/>
                  <w:vAlign w:val="center"/>
                </w:tcPr>
                <w:p w14:paraId="104716D0">
                  <w:pPr>
                    <w:pStyle w:val="12"/>
                    <w:keepLines/>
                    <w:adjustRightInd w:val="0"/>
                    <w:snapToGrid w:val="0"/>
                    <w:spacing w:line="240" w:lineRule="auto"/>
                    <w:ind w:firstLine="0" w:firstLineChars="0"/>
                    <w:jc w:val="center"/>
                    <w:rPr>
                      <w:rFonts w:ascii="Times New Roman" w:hAnsi="Times New Roman"/>
                      <w:kern w:val="0"/>
                      <w:sz w:val="21"/>
                    </w:rPr>
                  </w:pPr>
                </w:p>
              </w:tc>
              <w:tc>
                <w:tcPr>
                  <w:tcW w:w="379" w:type="pct"/>
                  <w:tcBorders>
                    <w:tl2br w:val="nil"/>
                    <w:tr2bl w:val="nil"/>
                  </w:tcBorders>
                  <w:shd w:val="clear" w:color="auto" w:fill="auto"/>
                  <w:noWrap/>
                  <w:vAlign w:val="center"/>
                </w:tcPr>
                <w:p w14:paraId="13C0B98B">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4.41</w:t>
                  </w:r>
                </w:p>
              </w:tc>
              <w:tc>
                <w:tcPr>
                  <w:tcW w:w="438" w:type="pct"/>
                  <w:tcBorders>
                    <w:tl2br w:val="nil"/>
                    <w:tr2bl w:val="nil"/>
                  </w:tcBorders>
                  <w:shd w:val="clear" w:color="auto" w:fill="auto"/>
                  <w:noWrap/>
                  <w:vAlign w:val="center"/>
                </w:tcPr>
                <w:p w14:paraId="21A3035D">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65.62</w:t>
                  </w:r>
                </w:p>
              </w:tc>
              <w:tc>
                <w:tcPr>
                  <w:tcW w:w="311" w:type="pct"/>
                  <w:vMerge w:val="continue"/>
                  <w:tcBorders>
                    <w:tl2br w:val="nil"/>
                    <w:tr2bl w:val="nil"/>
                  </w:tcBorders>
                  <w:shd w:val="clear" w:color="auto" w:fill="auto"/>
                  <w:noWrap/>
                  <w:vAlign w:val="center"/>
                </w:tcPr>
                <w:p w14:paraId="0E5DBB48">
                  <w:pPr>
                    <w:pStyle w:val="12"/>
                    <w:keepLines/>
                    <w:adjustRightInd w:val="0"/>
                    <w:snapToGrid w:val="0"/>
                    <w:spacing w:line="240" w:lineRule="auto"/>
                    <w:ind w:firstLine="0" w:firstLineChars="0"/>
                    <w:jc w:val="center"/>
                    <w:rPr>
                      <w:rFonts w:ascii="Times New Roman" w:hAnsi="Times New Roman"/>
                      <w:kern w:val="0"/>
                      <w:sz w:val="21"/>
                    </w:rPr>
                  </w:pPr>
                </w:p>
              </w:tc>
              <w:tc>
                <w:tcPr>
                  <w:tcW w:w="400" w:type="pct"/>
                  <w:tcBorders>
                    <w:tl2br w:val="nil"/>
                    <w:tr2bl w:val="nil"/>
                  </w:tcBorders>
                  <w:shd w:val="clear" w:color="auto" w:fill="auto"/>
                  <w:noWrap/>
                  <w:vAlign w:val="center"/>
                </w:tcPr>
                <w:p w14:paraId="24F08326">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20</w:t>
                  </w:r>
                </w:p>
              </w:tc>
              <w:tc>
                <w:tcPr>
                  <w:tcW w:w="385" w:type="pct"/>
                  <w:tcBorders>
                    <w:tl2br w:val="nil"/>
                    <w:tr2bl w:val="nil"/>
                  </w:tcBorders>
                  <w:shd w:val="clear" w:color="auto" w:fill="auto"/>
                  <w:noWrap/>
                  <w:vAlign w:val="center"/>
                </w:tcPr>
                <w:p w14:paraId="0924FB14">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39.62</w:t>
                  </w:r>
                </w:p>
              </w:tc>
              <w:tc>
                <w:tcPr>
                  <w:tcW w:w="404" w:type="pct"/>
                  <w:tcBorders>
                    <w:tl2br w:val="nil"/>
                    <w:tr2bl w:val="nil"/>
                  </w:tcBorders>
                  <w:shd w:val="clear" w:color="auto" w:fill="auto"/>
                  <w:noWrap/>
                  <w:vAlign w:val="center"/>
                </w:tcPr>
                <w:p w14:paraId="25A07720">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w:t>
                  </w:r>
                </w:p>
              </w:tc>
            </w:tr>
            <w:tr w14:paraId="2635A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79" w:type="pct"/>
                  <w:vMerge w:val="restart"/>
                  <w:tcBorders>
                    <w:tl2br w:val="nil"/>
                    <w:tr2bl w:val="nil"/>
                  </w:tcBorders>
                  <w:shd w:val="clear" w:color="auto" w:fill="auto"/>
                  <w:noWrap/>
                  <w:vAlign w:val="center"/>
                </w:tcPr>
                <w:p w14:paraId="3B0DC25C">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3</w:t>
                  </w:r>
                </w:p>
              </w:tc>
              <w:tc>
                <w:tcPr>
                  <w:tcW w:w="339" w:type="pct"/>
                  <w:vMerge w:val="restart"/>
                  <w:tcBorders>
                    <w:tl2br w:val="nil"/>
                    <w:tr2bl w:val="nil"/>
                  </w:tcBorders>
                  <w:shd w:val="clear" w:color="auto" w:fill="auto"/>
                  <w:noWrap/>
                  <w:vAlign w:val="center"/>
                </w:tcPr>
                <w:p w14:paraId="39CC71E6">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砂石料仓库</w:t>
                  </w:r>
                </w:p>
              </w:tc>
              <w:tc>
                <w:tcPr>
                  <w:tcW w:w="337" w:type="pct"/>
                  <w:vMerge w:val="restart"/>
                  <w:tcBorders>
                    <w:tl2br w:val="nil"/>
                    <w:tr2bl w:val="nil"/>
                  </w:tcBorders>
                  <w:shd w:val="clear" w:color="auto" w:fill="auto"/>
                  <w:noWrap/>
                  <w:vAlign w:val="center"/>
                </w:tcPr>
                <w:p w14:paraId="6094EC13">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2#给料机</w:t>
                  </w:r>
                </w:p>
              </w:tc>
              <w:tc>
                <w:tcPr>
                  <w:tcW w:w="180" w:type="pct"/>
                  <w:vMerge w:val="restart"/>
                  <w:tcBorders>
                    <w:tl2br w:val="nil"/>
                    <w:tr2bl w:val="nil"/>
                  </w:tcBorders>
                  <w:shd w:val="clear" w:color="auto" w:fill="auto"/>
                  <w:noWrap/>
                  <w:vAlign w:val="center"/>
                </w:tcPr>
                <w:p w14:paraId="01C9C9A1">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w:t>
                  </w:r>
                </w:p>
              </w:tc>
              <w:tc>
                <w:tcPr>
                  <w:tcW w:w="333" w:type="pct"/>
                  <w:vMerge w:val="restart"/>
                  <w:tcBorders>
                    <w:tl2br w:val="nil"/>
                    <w:tr2bl w:val="nil"/>
                  </w:tcBorders>
                  <w:shd w:val="clear" w:color="auto" w:fill="auto"/>
                  <w:noWrap/>
                  <w:vAlign w:val="center"/>
                </w:tcPr>
                <w:p w14:paraId="3B4CD890">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70</w:t>
                  </w:r>
                </w:p>
              </w:tc>
              <w:tc>
                <w:tcPr>
                  <w:tcW w:w="343" w:type="pct"/>
                  <w:vMerge w:val="continue"/>
                  <w:tcBorders>
                    <w:tl2br w:val="nil"/>
                    <w:tr2bl w:val="nil"/>
                  </w:tcBorders>
                  <w:shd w:val="clear" w:color="auto" w:fill="auto"/>
                  <w:noWrap/>
                  <w:vAlign w:val="center"/>
                </w:tcPr>
                <w:p w14:paraId="25F5D266">
                  <w:pPr>
                    <w:pStyle w:val="12"/>
                    <w:keepLines/>
                    <w:adjustRightInd w:val="0"/>
                    <w:snapToGrid w:val="0"/>
                    <w:spacing w:line="240" w:lineRule="auto"/>
                    <w:ind w:firstLine="0" w:firstLineChars="0"/>
                    <w:jc w:val="center"/>
                    <w:rPr>
                      <w:rFonts w:ascii="Times New Roman" w:hAnsi="Times New Roman"/>
                      <w:sz w:val="21"/>
                    </w:rPr>
                  </w:pPr>
                </w:p>
              </w:tc>
              <w:tc>
                <w:tcPr>
                  <w:tcW w:w="373" w:type="pct"/>
                  <w:vMerge w:val="restart"/>
                  <w:tcBorders>
                    <w:tl2br w:val="nil"/>
                    <w:tr2bl w:val="nil"/>
                  </w:tcBorders>
                  <w:shd w:val="clear" w:color="auto" w:fill="auto"/>
                  <w:noWrap/>
                  <w:vAlign w:val="center"/>
                </w:tcPr>
                <w:p w14:paraId="66836572">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31.39</w:t>
                  </w:r>
                </w:p>
              </w:tc>
              <w:tc>
                <w:tcPr>
                  <w:tcW w:w="325" w:type="pct"/>
                  <w:vMerge w:val="restart"/>
                  <w:tcBorders>
                    <w:tl2br w:val="nil"/>
                    <w:tr2bl w:val="nil"/>
                  </w:tcBorders>
                  <w:shd w:val="clear" w:color="auto" w:fill="auto"/>
                  <w:noWrap/>
                  <w:vAlign w:val="center"/>
                </w:tcPr>
                <w:p w14:paraId="763A65C9">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26.3</w:t>
                  </w:r>
                </w:p>
              </w:tc>
              <w:tc>
                <w:tcPr>
                  <w:tcW w:w="267" w:type="pct"/>
                  <w:vMerge w:val="restart"/>
                  <w:tcBorders>
                    <w:tl2br w:val="nil"/>
                    <w:tr2bl w:val="nil"/>
                  </w:tcBorders>
                  <w:shd w:val="clear" w:color="auto" w:fill="auto"/>
                  <w:noWrap/>
                  <w:vAlign w:val="center"/>
                </w:tcPr>
                <w:p w14:paraId="10AA8BEE">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w:t>
                  </w:r>
                </w:p>
              </w:tc>
              <w:tc>
                <w:tcPr>
                  <w:tcW w:w="379" w:type="pct"/>
                  <w:tcBorders>
                    <w:tl2br w:val="nil"/>
                    <w:tr2bl w:val="nil"/>
                  </w:tcBorders>
                  <w:shd w:val="clear" w:color="auto" w:fill="auto"/>
                  <w:noWrap/>
                  <w:vAlign w:val="center"/>
                </w:tcPr>
                <w:p w14:paraId="6228BB16">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0.83</w:t>
                  </w:r>
                </w:p>
              </w:tc>
              <w:tc>
                <w:tcPr>
                  <w:tcW w:w="438" w:type="pct"/>
                  <w:tcBorders>
                    <w:tl2br w:val="nil"/>
                    <w:tr2bl w:val="nil"/>
                  </w:tcBorders>
                  <w:shd w:val="clear" w:color="auto" w:fill="auto"/>
                  <w:noWrap/>
                  <w:vAlign w:val="center"/>
                </w:tcPr>
                <w:p w14:paraId="1193F716">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66.78</w:t>
                  </w:r>
                </w:p>
              </w:tc>
              <w:tc>
                <w:tcPr>
                  <w:tcW w:w="311" w:type="pct"/>
                  <w:vMerge w:val="continue"/>
                  <w:tcBorders>
                    <w:tl2br w:val="nil"/>
                    <w:tr2bl w:val="nil"/>
                  </w:tcBorders>
                  <w:shd w:val="clear" w:color="auto" w:fill="auto"/>
                  <w:noWrap/>
                  <w:vAlign w:val="center"/>
                </w:tcPr>
                <w:p w14:paraId="74CD0F1A">
                  <w:pPr>
                    <w:pStyle w:val="12"/>
                    <w:keepLines/>
                    <w:adjustRightInd w:val="0"/>
                    <w:snapToGrid w:val="0"/>
                    <w:spacing w:line="240" w:lineRule="auto"/>
                    <w:ind w:firstLine="0" w:firstLineChars="0"/>
                    <w:jc w:val="center"/>
                    <w:rPr>
                      <w:rFonts w:ascii="Times New Roman" w:hAnsi="Times New Roman"/>
                      <w:kern w:val="0"/>
                      <w:sz w:val="21"/>
                    </w:rPr>
                  </w:pPr>
                </w:p>
              </w:tc>
              <w:tc>
                <w:tcPr>
                  <w:tcW w:w="400" w:type="pct"/>
                  <w:tcBorders>
                    <w:tl2br w:val="nil"/>
                    <w:tr2bl w:val="nil"/>
                  </w:tcBorders>
                  <w:shd w:val="clear" w:color="auto" w:fill="auto"/>
                  <w:noWrap/>
                  <w:vAlign w:val="center"/>
                </w:tcPr>
                <w:p w14:paraId="34CFA0A1">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20</w:t>
                  </w:r>
                </w:p>
              </w:tc>
              <w:tc>
                <w:tcPr>
                  <w:tcW w:w="385" w:type="pct"/>
                  <w:tcBorders>
                    <w:tl2br w:val="nil"/>
                    <w:tr2bl w:val="nil"/>
                  </w:tcBorders>
                  <w:shd w:val="clear" w:color="auto" w:fill="auto"/>
                  <w:noWrap/>
                  <w:vAlign w:val="center"/>
                </w:tcPr>
                <w:p w14:paraId="395ABE96">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40.78</w:t>
                  </w:r>
                </w:p>
              </w:tc>
              <w:tc>
                <w:tcPr>
                  <w:tcW w:w="404" w:type="pct"/>
                  <w:tcBorders>
                    <w:tl2br w:val="nil"/>
                    <w:tr2bl w:val="nil"/>
                  </w:tcBorders>
                  <w:shd w:val="clear" w:color="auto" w:fill="auto"/>
                  <w:noWrap/>
                  <w:vAlign w:val="center"/>
                </w:tcPr>
                <w:p w14:paraId="097FD230">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w:t>
                  </w:r>
                </w:p>
              </w:tc>
            </w:tr>
            <w:tr w14:paraId="4E647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79" w:type="pct"/>
                  <w:vMerge w:val="continue"/>
                  <w:tcBorders>
                    <w:tl2br w:val="nil"/>
                    <w:tr2bl w:val="nil"/>
                  </w:tcBorders>
                  <w:shd w:val="clear" w:color="auto" w:fill="auto"/>
                  <w:noWrap/>
                  <w:vAlign w:val="center"/>
                </w:tcPr>
                <w:p w14:paraId="08D4D09F">
                  <w:pPr>
                    <w:pStyle w:val="12"/>
                    <w:keepLines/>
                    <w:adjustRightInd w:val="0"/>
                    <w:snapToGrid w:val="0"/>
                    <w:spacing w:line="240" w:lineRule="auto"/>
                    <w:ind w:firstLine="0" w:firstLineChars="0"/>
                    <w:jc w:val="center"/>
                    <w:rPr>
                      <w:rFonts w:ascii="Times New Roman" w:hAnsi="Times New Roman"/>
                      <w:kern w:val="0"/>
                      <w:sz w:val="21"/>
                    </w:rPr>
                  </w:pPr>
                </w:p>
              </w:tc>
              <w:tc>
                <w:tcPr>
                  <w:tcW w:w="339" w:type="pct"/>
                  <w:vMerge w:val="continue"/>
                  <w:tcBorders>
                    <w:tl2br w:val="nil"/>
                    <w:tr2bl w:val="nil"/>
                  </w:tcBorders>
                  <w:shd w:val="clear" w:color="auto" w:fill="auto"/>
                  <w:noWrap/>
                  <w:vAlign w:val="center"/>
                </w:tcPr>
                <w:p w14:paraId="4A53D320">
                  <w:pPr>
                    <w:pStyle w:val="12"/>
                    <w:keepLines/>
                    <w:adjustRightInd w:val="0"/>
                    <w:snapToGrid w:val="0"/>
                    <w:spacing w:line="240" w:lineRule="auto"/>
                    <w:ind w:firstLine="0" w:firstLineChars="0"/>
                    <w:jc w:val="center"/>
                    <w:rPr>
                      <w:rFonts w:ascii="Times New Roman" w:hAnsi="Times New Roman"/>
                      <w:kern w:val="0"/>
                      <w:sz w:val="21"/>
                    </w:rPr>
                  </w:pPr>
                </w:p>
              </w:tc>
              <w:tc>
                <w:tcPr>
                  <w:tcW w:w="337" w:type="pct"/>
                  <w:vMerge w:val="continue"/>
                  <w:tcBorders>
                    <w:tl2br w:val="nil"/>
                    <w:tr2bl w:val="nil"/>
                  </w:tcBorders>
                  <w:shd w:val="clear" w:color="auto" w:fill="auto"/>
                  <w:noWrap/>
                  <w:vAlign w:val="center"/>
                </w:tcPr>
                <w:p w14:paraId="6B767F0A">
                  <w:pPr>
                    <w:pStyle w:val="12"/>
                    <w:keepLines/>
                    <w:adjustRightInd w:val="0"/>
                    <w:snapToGrid w:val="0"/>
                    <w:spacing w:line="240" w:lineRule="auto"/>
                    <w:ind w:firstLine="0" w:firstLineChars="0"/>
                    <w:jc w:val="center"/>
                    <w:rPr>
                      <w:rFonts w:ascii="Times New Roman" w:hAnsi="Times New Roman"/>
                      <w:kern w:val="0"/>
                      <w:sz w:val="21"/>
                    </w:rPr>
                  </w:pPr>
                </w:p>
              </w:tc>
              <w:tc>
                <w:tcPr>
                  <w:tcW w:w="180" w:type="pct"/>
                  <w:vMerge w:val="continue"/>
                  <w:tcBorders>
                    <w:tl2br w:val="nil"/>
                    <w:tr2bl w:val="nil"/>
                  </w:tcBorders>
                  <w:shd w:val="clear" w:color="auto" w:fill="auto"/>
                  <w:noWrap/>
                  <w:vAlign w:val="center"/>
                </w:tcPr>
                <w:p w14:paraId="344D0E14">
                  <w:pPr>
                    <w:pStyle w:val="12"/>
                    <w:keepLines/>
                    <w:adjustRightInd w:val="0"/>
                    <w:snapToGrid w:val="0"/>
                    <w:spacing w:line="240" w:lineRule="auto"/>
                    <w:ind w:firstLine="0" w:firstLineChars="0"/>
                    <w:jc w:val="center"/>
                    <w:rPr>
                      <w:rFonts w:ascii="Times New Roman" w:hAnsi="Times New Roman"/>
                      <w:kern w:val="0"/>
                      <w:sz w:val="21"/>
                    </w:rPr>
                  </w:pPr>
                </w:p>
              </w:tc>
              <w:tc>
                <w:tcPr>
                  <w:tcW w:w="333" w:type="pct"/>
                  <w:vMerge w:val="continue"/>
                  <w:tcBorders>
                    <w:tl2br w:val="nil"/>
                    <w:tr2bl w:val="nil"/>
                  </w:tcBorders>
                  <w:shd w:val="clear" w:color="auto" w:fill="auto"/>
                  <w:noWrap/>
                  <w:vAlign w:val="center"/>
                </w:tcPr>
                <w:p w14:paraId="29A199BD">
                  <w:pPr>
                    <w:pStyle w:val="12"/>
                    <w:keepLines/>
                    <w:adjustRightInd w:val="0"/>
                    <w:snapToGrid w:val="0"/>
                    <w:spacing w:line="240" w:lineRule="auto"/>
                    <w:ind w:firstLine="0" w:firstLineChars="0"/>
                    <w:jc w:val="center"/>
                    <w:rPr>
                      <w:rFonts w:ascii="Times New Roman" w:hAnsi="Times New Roman"/>
                      <w:kern w:val="0"/>
                      <w:sz w:val="21"/>
                    </w:rPr>
                  </w:pPr>
                </w:p>
              </w:tc>
              <w:tc>
                <w:tcPr>
                  <w:tcW w:w="343" w:type="pct"/>
                  <w:vMerge w:val="continue"/>
                  <w:tcBorders>
                    <w:tl2br w:val="nil"/>
                    <w:tr2bl w:val="nil"/>
                  </w:tcBorders>
                  <w:shd w:val="clear" w:color="auto" w:fill="auto"/>
                  <w:noWrap/>
                  <w:vAlign w:val="center"/>
                </w:tcPr>
                <w:p w14:paraId="2ECE7332">
                  <w:pPr>
                    <w:pStyle w:val="12"/>
                    <w:keepLines/>
                    <w:adjustRightInd w:val="0"/>
                    <w:snapToGrid w:val="0"/>
                    <w:spacing w:line="240" w:lineRule="auto"/>
                    <w:ind w:firstLine="0" w:firstLineChars="0"/>
                    <w:jc w:val="center"/>
                    <w:rPr>
                      <w:rFonts w:ascii="Times New Roman" w:hAnsi="Times New Roman"/>
                      <w:sz w:val="21"/>
                    </w:rPr>
                  </w:pPr>
                </w:p>
              </w:tc>
              <w:tc>
                <w:tcPr>
                  <w:tcW w:w="373" w:type="pct"/>
                  <w:vMerge w:val="continue"/>
                  <w:tcBorders>
                    <w:tl2br w:val="nil"/>
                    <w:tr2bl w:val="nil"/>
                  </w:tcBorders>
                  <w:shd w:val="clear" w:color="auto" w:fill="auto"/>
                  <w:noWrap/>
                  <w:vAlign w:val="center"/>
                </w:tcPr>
                <w:p w14:paraId="1A7809FB">
                  <w:pPr>
                    <w:pStyle w:val="12"/>
                    <w:keepLines/>
                    <w:adjustRightInd w:val="0"/>
                    <w:snapToGrid w:val="0"/>
                    <w:spacing w:line="240" w:lineRule="auto"/>
                    <w:ind w:firstLine="0" w:firstLineChars="0"/>
                    <w:jc w:val="center"/>
                    <w:rPr>
                      <w:rFonts w:ascii="Times New Roman" w:hAnsi="Times New Roman"/>
                      <w:kern w:val="0"/>
                      <w:sz w:val="21"/>
                    </w:rPr>
                  </w:pPr>
                </w:p>
              </w:tc>
              <w:tc>
                <w:tcPr>
                  <w:tcW w:w="325" w:type="pct"/>
                  <w:vMerge w:val="continue"/>
                  <w:tcBorders>
                    <w:tl2br w:val="nil"/>
                    <w:tr2bl w:val="nil"/>
                  </w:tcBorders>
                  <w:shd w:val="clear" w:color="auto" w:fill="auto"/>
                  <w:noWrap/>
                  <w:vAlign w:val="center"/>
                </w:tcPr>
                <w:p w14:paraId="6B8B9FD0">
                  <w:pPr>
                    <w:pStyle w:val="12"/>
                    <w:keepLines/>
                    <w:adjustRightInd w:val="0"/>
                    <w:snapToGrid w:val="0"/>
                    <w:spacing w:line="240" w:lineRule="auto"/>
                    <w:ind w:firstLine="0" w:firstLineChars="0"/>
                    <w:jc w:val="center"/>
                    <w:rPr>
                      <w:rFonts w:ascii="Times New Roman" w:hAnsi="Times New Roman"/>
                      <w:kern w:val="0"/>
                      <w:sz w:val="21"/>
                    </w:rPr>
                  </w:pPr>
                </w:p>
              </w:tc>
              <w:tc>
                <w:tcPr>
                  <w:tcW w:w="267" w:type="pct"/>
                  <w:vMerge w:val="continue"/>
                  <w:tcBorders>
                    <w:tl2br w:val="nil"/>
                    <w:tr2bl w:val="nil"/>
                  </w:tcBorders>
                  <w:shd w:val="clear" w:color="auto" w:fill="auto"/>
                  <w:noWrap/>
                  <w:vAlign w:val="center"/>
                </w:tcPr>
                <w:p w14:paraId="33956370">
                  <w:pPr>
                    <w:pStyle w:val="12"/>
                    <w:keepLines/>
                    <w:adjustRightInd w:val="0"/>
                    <w:snapToGrid w:val="0"/>
                    <w:spacing w:line="240" w:lineRule="auto"/>
                    <w:ind w:firstLine="0" w:firstLineChars="0"/>
                    <w:jc w:val="center"/>
                    <w:rPr>
                      <w:rFonts w:ascii="Times New Roman" w:hAnsi="Times New Roman"/>
                      <w:kern w:val="0"/>
                      <w:sz w:val="21"/>
                    </w:rPr>
                  </w:pPr>
                </w:p>
              </w:tc>
              <w:tc>
                <w:tcPr>
                  <w:tcW w:w="379" w:type="pct"/>
                  <w:tcBorders>
                    <w:tl2br w:val="nil"/>
                    <w:tr2bl w:val="nil"/>
                  </w:tcBorders>
                  <w:shd w:val="clear" w:color="auto" w:fill="auto"/>
                  <w:noWrap/>
                  <w:vAlign w:val="center"/>
                </w:tcPr>
                <w:p w14:paraId="03711CBA">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20.52</w:t>
                  </w:r>
                </w:p>
              </w:tc>
              <w:tc>
                <w:tcPr>
                  <w:tcW w:w="438" w:type="pct"/>
                  <w:tcBorders>
                    <w:tl2br w:val="nil"/>
                    <w:tr2bl w:val="nil"/>
                  </w:tcBorders>
                  <w:shd w:val="clear" w:color="auto" w:fill="auto"/>
                  <w:noWrap/>
                  <w:vAlign w:val="center"/>
                </w:tcPr>
                <w:p w14:paraId="3CB51809">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65.57</w:t>
                  </w:r>
                </w:p>
              </w:tc>
              <w:tc>
                <w:tcPr>
                  <w:tcW w:w="311" w:type="pct"/>
                  <w:vMerge w:val="continue"/>
                  <w:tcBorders>
                    <w:tl2br w:val="nil"/>
                    <w:tr2bl w:val="nil"/>
                  </w:tcBorders>
                  <w:shd w:val="clear" w:color="auto" w:fill="auto"/>
                  <w:noWrap/>
                  <w:vAlign w:val="center"/>
                </w:tcPr>
                <w:p w14:paraId="23946FA0">
                  <w:pPr>
                    <w:pStyle w:val="12"/>
                    <w:keepLines/>
                    <w:adjustRightInd w:val="0"/>
                    <w:snapToGrid w:val="0"/>
                    <w:spacing w:line="240" w:lineRule="auto"/>
                    <w:ind w:firstLine="0" w:firstLineChars="0"/>
                    <w:jc w:val="center"/>
                    <w:rPr>
                      <w:rFonts w:ascii="Times New Roman" w:hAnsi="Times New Roman"/>
                      <w:kern w:val="0"/>
                      <w:sz w:val="21"/>
                    </w:rPr>
                  </w:pPr>
                </w:p>
              </w:tc>
              <w:tc>
                <w:tcPr>
                  <w:tcW w:w="400" w:type="pct"/>
                  <w:tcBorders>
                    <w:tl2br w:val="nil"/>
                    <w:tr2bl w:val="nil"/>
                  </w:tcBorders>
                  <w:shd w:val="clear" w:color="auto" w:fill="auto"/>
                  <w:noWrap/>
                  <w:vAlign w:val="center"/>
                </w:tcPr>
                <w:p w14:paraId="6A54B0DB">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20</w:t>
                  </w:r>
                </w:p>
              </w:tc>
              <w:tc>
                <w:tcPr>
                  <w:tcW w:w="385" w:type="pct"/>
                  <w:tcBorders>
                    <w:tl2br w:val="nil"/>
                    <w:tr2bl w:val="nil"/>
                  </w:tcBorders>
                  <w:shd w:val="clear" w:color="auto" w:fill="auto"/>
                  <w:noWrap/>
                  <w:vAlign w:val="center"/>
                </w:tcPr>
                <w:p w14:paraId="348273BA">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39.57</w:t>
                  </w:r>
                </w:p>
              </w:tc>
              <w:tc>
                <w:tcPr>
                  <w:tcW w:w="404" w:type="pct"/>
                  <w:tcBorders>
                    <w:tl2br w:val="nil"/>
                    <w:tr2bl w:val="nil"/>
                  </w:tcBorders>
                  <w:shd w:val="clear" w:color="auto" w:fill="auto"/>
                  <w:noWrap/>
                  <w:vAlign w:val="center"/>
                </w:tcPr>
                <w:p w14:paraId="35E6E0BC">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w:t>
                  </w:r>
                </w:p>
              </w:tc>
            </w:tr>
            <w:tr w14:paraId="07481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79" w:type="pct"/>
                  <w:vMerge w:val="continue"/>
                  <w:tcBorders>
                    <w:tl2br w:val="nil"/>
                    <w:tr2bl w:val="nil"/>
                  </w:tcBorders>
                  <w:shd w:val="clear" w:color="auto" w:fill="auto"/>
                  <w:noWrap/>
                  <w:vAlign w:val="center"/>
                </w:tcPr>
                <w:p w14:paraId="0B80B4C3">
                  <w:pPr>
                    <w:pStyle w:val="12"/>
                    <w:keepLines/>
                    <w:adjustRightInd w:val="0"/>
                    <w:snapToGrid w:val="0"/>
                    <w:spacing w:line="240" w:lineRule="auto"/>
                    <w:ind w:firstLine="0" w:firstLineChars="0"/>
                    <w:jc w:val="center"/>
                    <w:rPr>
                      <w:rFonts w:ascii="Times New Roman" w:hAnsi="Times New Roman"/>
                      <w:kern w:val="0"/>
                      <w:sz w:val="21"/>
                    </w:rPr>
                  </w:pPr>
                </w:p>
              </w:tc>
              <w:tc>
                <w:tcPr>
                  <w:tcW w:w="339" w:type="pct"/>
                  <w:vMerge w:val="continue"/>
                  <w:tcBorders>
                    <w:tl2br w:val="nil"/>
                    <w:tr2bl w:val="nil"/>
                  </w:tcBorders>
                  <w:shd w:val="clear" w:color="auto" w:fill="auto"/>
                  <w:noWrap/>
                  <w:vAlign w:val="center"/>
                </w:tcPr>
                <w:p w14:paraId="3C6ABBFB">
                  <w:pPr>
                    <w:pStyle w:val="12"/>
                    <w:keepLines/>
                    <w:adjustRightInd w:val="0"/>
                    <w:snapToGrid w:val="0"/>
                    <w:spacing w:line="240" w:lineRule="auto"/>
                    <w:ind w:firstLine="0" w:firstLineChars="0"/>
                    <w:jc w:val="center"/>
                    <w:rPr>
                      <w:rFonts w:ascii="Times New Roman" w:hAnsi="Times New Roman"/>
                      <w:kern w:val="0"/>
                      <w:sz w:val="21"/>
                    </w:rPr>
                  </w:pPr>
                </w:p>
              </w:tc>
              <w:tc>
                <w:tcPr>
                  <w:tcW w:w="337" w:type="pct"/>
                  <w:vMerge w:val="continue"/>
                  <w:tcBorders>
                    <w:tl2br w:val="nil"/>
                    <w:tr2bl w:val="nil"/>
                  </w:tcBorders>
                  <w:shd w:val="clear" w:color="auto" w:fill="auto"/>
                  <w:noWrap/>
                  <w:vAlign w:val="center"/>
                </w:tcPr>
                <w:p w14:paraId="0FDDE529">
                  <w:pPr>
                    <w:pStyle w:val="12"/>
                    <w:keepLines/>
                    <w:adjustRightInd w:val="0"/>
                    <w:snapToGrid w:val="0"/>
                    <w:spacing w:line="240" w:lineRule="auto"/>
                    <w:ind w:firstLine="0" w:firstLineChars="0"/>
                    <w:jc w:val="center"/>
                    <w:rPr>
                      <w:rFonts w:ascii="Times New Roman" w:hAnsi="Times New Roman"/>
                      <w:kern w:val="0"/>
                      <w:sz w:val="21"/>
                    </w:rPr>
                  </w:pPr>
                </w:p>
              </w:tc>
              <w:tc>
                <w:tcPr>
                  <w:tcW w:w="180" w:type="pct"/>
                  <w:vMerge w:val="continue"/>
                  <w:tcBorders>
                    <w:tl2br w:val="nil"/>
                    <w:tr2bl w:val="nil"/>
                  </w:tcBorders>
                  <w:shd w:val="clear" w:color="auto" w:fill="auto"/>
                  <w:noWrap/>
                  <w:vAlign w:val="center"/>
                </w:tcPr>
                <w:p w14:paraId="00A6BB2B">
                  <w:pPr>
                    <w:pStyle w:val="12"/>
                    <w:keepLines/>
                    <w:adjustRightInd w:val="0"/>
                    <w:snapToGrid w:val="0"/>
                    <w:spacing w:line="240" w:lineRule="auto"/>
                    <w:ind w:firstLine="0" w:firstLineChars="0"/>
                    <w:jc w:val="center"/>
                    <w:rPr>
                      <w:rFonts w:ascii="Times New Roman" w:hAnsi="Times New Roman"/>
                      <w:kern w:val="0"/>
                      <w:sz w:val="21"/>
                    </w:rPr>
                  </w:pPr>
                </w:p>
              </w:tc>
              <w:tc>
                <w:tcPr>
                  <w:tcW w:w="333" w:type="pct"/>
                  <w:vMerge w:val="continue"/>
                  <w:tcBorders>
                    <w:tl2br w:val="nil"/>
                    <w:tr2bl w:val="nil"/>
                  </w:tcBorders>
                  <w:shd w:val="clear" w:color="auto" w:fill="auto"/>
                  <w:noWrap/>
                  <w:vAlign w:val="center"/>
                </w:tcPr>
                <w:p w14:paraId="22ABE14E">
                  <w:pPr>
                    <w:pStyle w:val="12"/>
                    <w:keepLines/>
                    <w:adjustRightInd w:val="0"/>
                    <w:snapToGrid w:val="0"/>
                    <w:spacing w:line="240" w:lineRule="auto"/>
                    <w:ind w:firstLine="0" w:firstLineChars="0"/>
                    <w:jc w:val="center"/>
                    <w:rPr>
                      <w:rFonts w:ascii="Times New Roman" w:hAnsi="Times New Roman"/>
                      <w:kern w:val="0"/>
                      <w:sz w:val="21"/>
                    </w:rPr>
                  </w:pPr>
                </w:p>
              </w:tc>
              <w:tc>
                <w:tcPr>
                  <w:tcW w:w="343" w:type="pct"/>
                  <w:vMerge w:val="continue"/>
                  <w:tcBorders>
                    <w:tl2br w:val="nil"/>
                    <w:tr2bl w:val="nil"/>
                  </w:tcBorders>
                  <w:shd w:val="clear" w:color="auto" w:fill="auto"/>
                  <w:noWrap/>
                  <w:vAlign w:val="center"/>
                </w:tcPr>
                <w:p w14:paraId="1BDCC73C">
                  <w:pPr>
                    <w:pStyle w:val="12"/>
                    <w:keepLines/>
                    <w:adjustRightInd w:val="0"/>
                    <w:snapToGrid w:val="0"/>
                    <w:spacing w:line="240" w:lineRule="auto"/>
                    <w:ind w:firstLine="0" w:firstLineChars="0"/>
                    <w:jc w:val="center"/>
                    <w:rPr>
                      <w:rFonts w:ascii="Times New Roman" w:hAnsi="Times New Roman"/>
                      <w:sz w:val="21"/>
                    </w:rPr>
                  </w:pPr>
                </w:p>
              </w:tc>
              <w:tc>
                <w:tcPr>
                  <w:tcW w:w="373" w:type="pct"/>
                  <w:vMerge w:val="continue"/>
                  <w:tcBorders>
                    <w:tl2br w:val="nil"/>
                    <w:tr2bl w:val="nil"/>
                  </w:tcBorders>
                  <w:shd w:val="clear" w:color="auto" w:fill="auto"/>
                  <w:noWrap/>
                  <w:vAlign w:val="center"/>
                </w:tcPr>
                <w:p w14:paraId="68507D11">
                  <w:pPr>
                    <w:pStyle w:val="12"/>
                    <w:keepLines/>
                    <w:adjustRightInd w:val="0"/>
                    <w:snapToGrid w:val="0"/>
                    <w:spacing w:line="240" w:lineRule="auto"/>
                    <w:ind w:firstLine="0" w:firstLineChars="0"/>
                    <w:jc w:val="center"/>
                    <w:rPr>
                      <w:rFonts w:ascii="Times New Roman" w:hAnsi="Times New Roman"/>
                      <w:kern w:val="0"/>
                      <w:sz w:val="21"/>
                    </w:rPr>
                  </w:pPr>
                </w:p>
              </w:tc>
              <w:tc>
                <w:tcPr>
                  <w:tcW w:w="325" w:type="pct"/>
                  <w:vMerge w:val="continue"/>
                  <w:tcBorders>
                    <w:tl2br w:val="nil"/>
                    <w:tr2bl w:val="nil"/>
                  </w:tcBorders>
                  <w:shd w:val="clear" w:color="auto" w:fill="auto"/>
                  <w:noWrap/>
                  <w:vAlign w:val="center"/>
                </w:tcPr>
                <w:p w14:paraId="31B7FF65">
                  <w:pPr>
                    <w:pStyle w:val="12"/>
                    <w:keepLines/>
                    <w:adjustRightInd w:val="0"/>
                    <w:snapToGrid w:val="0"/>
                    <w:spacing w:line="240" w:lineRule="auto"/>
                    <w:ind w:firstLine="0" w:firstLineChars="0"/>
                    <w:jc w:val="center"/>
                    <w:rPr>
                      <w:rFonts w:ascii="Times New Roman" w:hAnsi="Times New Roman"/>
                      <w:kern w:val="0"/>
                      <w:sz w:val="21"/>
                    </w:rPr>
                  </w:pPr>
                </w:p>
              </w:tc>
              <w:tc>
                <w:tcPr>
                  <w:tcW w:w="267" w:type="pct"/>
                  <w:vMerge w:val="continue"/>
                  <w:tcBorders>
                    <w:tl2br w:val="nil"/>
                    <w:tr2bl w:val="nil"/>
                  </w:tcBorders>
                  <w:shd w:val="clear" w:color="auto" w:fill="auto"/>
                  <w:noWrap/>
                  <w:vAlign w:val="center"/>
                </w:tcPr>
                <w:p w14:paraId="444553AC">
                  <w:pPr>
                    <w:pStyle w:val="12"/>
                    <w:keepLines/>
                    <w:adjustRightInd w:val="0"/>
                    <w:snapToGrid w:val="0"/>
                    <w:spacing w:line="240" w:lineRule="auto"/>
                    <w:ind w:firstLine="0" w:firstLineChars="0"/>
                    <w:jc w:val="center"/>
                    <w:rPr>
                      <w:rFonts w:ascii="Times New Roman" w:hAnsi="Times New Roman"/>
                      <w:kern w:val="0"/>
                      <w:sz w:val="21"/>
                    </w:rPr>
                  </w:pPr>
                </w:p>
              </w:tc>
              <w:tc>
                <w:tcPr>
                  <w:tcW w:w="379" w:type="pct"/>
                  <w:tcBorders>
                    <w:tl2br w:val="nil"/>
                    <w:tr2bl w:val="nil"/>
                  </w:tcBorders>
                  <w:shd w:val="clear" w:color="auto" w:fill="auto"/>
                  <w:noWrap/>
                  <w:vAlign w:val="center"/>
                </w:tcPr>
                <w:p w14:paraId="16CABFF8">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4.47</w:t>
                  </w:r>
                </w:p>
              </w:tc>
              <w:tc>
                <w:tcPr>
                  <w:tcW w:w="438" w:type="pct"/>
                  <w:tcBorders>
                    <w:tl2br w:val="nil"/>
                    <w:tr2bl w:val="nil"/>
                  </w:tcBorders>
                  <w:shd w:val="clear" w:color="auto" w:fill="auto"/>
                  <w:noWrap/>
                  <w:vAlign w:val="center"/>
                </w:tcPr>
                <w:p w14:paraId="345A06E9">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65.62</w:t>
                  </w:r>
                </w:p>
              </w:tc>
              <w:tc>
                <w:tcPr>
                  <w:tcW w:w="311" w:type="pct"/>
                  <w:vMerge w:val="continue"/>
                  <w:tcBorders>
                    <w:tl2br w:val="nil"/>
                    <w:tr2bl w:val="nil"/>
                  </w:tcBorders>
                  <w:shd w:val="clear" w:color="auto" w:fill="auto"/>
                  <w:noWrap/>
                  <w:vAlign w:val="center"/>
                </w:tcPr>
                <w:p w14:paraId="71F5F583">
                  <w:pPr>
                    <w:pStyle w:val="12"/>
                    <w:keepLines/>
                    <w:adjustRightInd w:val="0"/>
                    <w:snapToGrid w:val="0"/>
                    <w:spacing w:line="240" w:lineRule="auto"/>
                    <w:ind w:firstLine="0" w:firstLineChars="0"/>
                    <w:jc w:val="center"/>
                    <w:rPr>
                      <w:rFonts w:ascii="Times New Roman" w:hAnsi="Times New Roman"/>
                      <w:kern w:val="0"/>
                      <w:sz w:val="21"/>
                    </w:rPr>
                  </w:pPr>
                </w:p>
              </w:tc>
              <w:tc>
                <w:tcPr>
                  <w:tcW w:w="400" w:type="pct"/>
                  <w:tcBorders>
                    <w:tl2br w:val="nil"/>
                    <w:tr2bl w:val="nil"/>
                  </w:tcBorders>
                  <w:shd w:val="clear" w:color="auto" w:fill="auto"/>
                  <w:noWrap/>
                  <w:vAlign w:val="center"/>
                </w:tcPr>
                <w:p w14:paraId="133FB29F">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20</w:t>
                  </w:r>
                </w:p>
              </w:tc>
              <w:tc>
                <w:tcPr>
                  <w:tcW w:w="385" w:type="pct"/>
                  <w:tcBorders>
                    <w:tl2br w:val="nil"/>
                    <w:tr2bl w:val="nil"/>
                  </w:tcBorders>
                  <w:shd w:val="clear" w:color="auto" w:fill="auto"/>
                  <w:noWrap/>
                  <w:vAlign w:val="center"/>
                </w:tcPr>
                <w:p w14:paraId="1D1F069B">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39.62</w:t>
                  </w:r>
                </w:p>
              </w:tc>
              <w:tc>
                <w:tcPr>
                  <w:tcW w:w="404" w:type="pct"/>
                  <w:tcBorders>
                    <w:tl2br w:val="nil"/>
                    <w:tr2bl w:val="nil"/>
                  </w:tcBorders>
                  <w:shd w:val="clear" w:color="auto" w:fill="auto"/>
                  <w:noWrap/>
                  <w:vAlign w:val="center"/>
                </w:tcPr>
                <w:p w14:paraId="754ADD81">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w:t>
                  </w:r>
                </w:p>
              </w:tc>
            </w:tr>
            <w:tr w14:paraId="0AC92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79" w:type="pct"/>
                  <w:vMerge w:val="continue"/>
                  <w:tcBorders>
                    <w:tl2br w:val="nil"/>
                    <w:tr2bl w:val="nil"/>
                  </w:tcBorders>
                  <w:shd w:val="clear" w:color="auto" w:fill="auto"/>
                  <w:noWrap/>
                  <w:vAlign w:val="center"/>
                </w:tcPr>
                <w:p w14:paraId="6B25F0E2">
                  <w:pPr>
                    <w:pStyle w:val="12"/>
                    <w:keepLines/>
                    <w:adjustRightInd w:val="0"/>
                    <w:snapToGrid w:val="0"/>
                    <w:spacing w:line="240" w:lineRule="auto"/>
                    <w:ind w:firstLine="0" w:firstLineChars="0"/>
                    <w:jc w:val="center"/>
                    <w:rPr>
                      <w:rFonts w:ascii="Times New Roman" w:hAnsi="Times New Roman"/>
                      <w:kern w:val="0"/>
                      <w:sz w:val="21"/>
                    </w:rPr>
                  </w:pPr>
                </w:p>
              </w:tc>
              <w:tc>
                <w:tcPr>
                  <w:tcW w:w="339" w:type="pct"/>
                  <w:vMerge w:val="continue"/>
                  <w:tcBorders>
                    <w:tl2br w:val="nil"/>
                    <w:tr2bl w:val="nil"/>
                  </w:tcBorders>
                  <w:shd w:val="clear" w:color="auto" w:fill="auto"/>
                  <w:noWrap/>
                  <w:vAlign w:val="center"/>
                </w:tcPr>
                <w:p w14:paraId="201757EC">
                  <w:pPr>
                    <w:pStyle w:val="12"/>
                    <w:keepLines/>
                    <w:adjustRightInd w:val="0"/>
                    <w:snapToGrid w:val="0"/>
                    <w:spacing w:line="240" w:lineRule="auto"/>
                    <w:ind w:firstLine="0" w:firstLineChars="0"/>
                    <w:jc w:val="center"/>
                    <w:rPr>
                      <w:rFonts w:ascii="Times New Roman" w:hAnsi="Times New Roman"/>
                      <w:kern w:val="0"/>
                      <w:sz w:val="21"/>
                    </w:rPr>
                  </w:pPr>
                </w:p>
              </w:tc>
              <w:tc>
                <w:tcPr>
                  <w:tcW w:w="337" w:type="pct"/>
                  <w:vMerge w:val="continue"/>
                  <w:tcBorders>
                    <w:tl2br w:val="nil"/>
                    <w:tr2bl w:val="nil"/>
                  </w:tcBorders>
                  <w:shd w:val="clear" w:color="auto" w:fill="auto"/>
                  <w:noWrap/>
                  <w:vAlign w:val="center"/>
                </w:tcPr>
                <w:p w14:paraId="75984364">
                  <w:pPr>
                    <w:pStyle w:val="12"/>
                    <w:keepLines/>
                    <w:adjustRightInd w:val="0"/>
                    <w:snapToGrid w:val="0"/>
                    <w:spacing w:line="240" w:lineRule="auto"/>
                    <w:ind w:firstLine="0" w:firstLineChars="0"/>
                    <w:jc w:val="center"/>
                    <w:rPr>
                      <w:rFonts w:ascii="Times New Roman" w:hAnsi="Times New Roman"/>
                      <w:kern w:val="0"/>
                      <w:sz w:val="21"/>
                    </w:rPr>
                  </w:pPr>
                </w:p>
              </w:tc>
              <w:tc>
                <w:tcPr>
                  <w:tcW w:w="180" w:type="pct"/>
                  <w:vMerge w:val="continue"/>
                  <w:tcBorders>
                    <w:tl2br w:val="nil"/>
                    <w:tr2bl w:val="nil"/>
                  </w:tcBorders>
                  <w:shd w:val="clear" w:color="auto" w:fill="auto"/>
                  <w:noWrap/>
                  <w:vAlign w:val="center"/>
                </w:tcPr>
                <w:p w14:paraId="213E717F">
                  <w:pPr>
                    <w:pStyle w:val="12"/>
                    <w:keepLines/>
                    <w:adjustRightInd w:val="0"/>
                    <w:snapToGrid w:val="0"/>
                    <w:spacing w:line="240" w:lineRule="auto"/>
                    <w:ind w:firstLine="0" w:firstLineChars="0"/>
                    <w:jc w:val="center"/>
                    <w:rPr>
                      <w:rFonts w:ascii="Times New Roman" w:hAnsi="Times New Roman"/>
                      <w:kern w:val="0"/>
                      <w:sz w:val="21"/>
                    </w:rPr>
                  </w:pPr>
                </w:p>
              </w:tc>
              <w:tc>
                <w:tcPr>
                  <w:tcW w:w="333" w:type="pct"/>
                  <w:vMerge w:val="continue"/>
                  <w:tcBorders>
                    <w:tl2br w:val="nil"/>
                    <w:tr2bl w:val="nil"/>
                  </w:tcBorders>
                  <w:shd w:val="clear" w:color="auto" w:fill="auto"/>
                  <w:noWrap/>
                  <w:vAlign w:val="center"/>
                </w:tcPr>
                <w:p w14:paraId="5C30CEB8">
                  <w:pPr>
                    <w:pStyle w:val="12"/>
                    <w:keepLines/>
                    <w:adjustRightInd w:val="0"/>
                    <w:snapToGrid w:val="0"/>
                    <w:spacing w:line="240" w:lineRule="auto"/>
                    <w:ind w:firstLine="0" w:firstLineChars="0"/>
                    <w:jc w:val="center"/>
                    <w:rPr>
                      <w:rFonts w:ascii="Times New Roman" w:hAnsi="Times New Roman"/>
                      <w:kern w:val="0"/>
                      <w:sz w:val="21"/>
                    </w:rPr>
                  </w:pPr>
                </w:p>
              </w:tc>
              <w:tc>
                <w:tcPr>
                  <w:tcW w:w="343" w:type="pct"/>
                  <w:vMerge w:val="continue"/>
                  <w:tcBorders>
                    <w:tl2br w:val="nil"/>
                    <w:tr2bl w:val="nil"/>
                  </w:tcBorders>
                  <w:shd w:val="clear" w:color="auto" w:fill="auto"/>
                  <w:noWrap/>
                  <w:vAlign w:val="center"/>
                </w:tcPr>
                <w:p w14:paraId="633F6C9D">
                  <w:pPr>
                    <w:pStyle w:val="12"/>
                    <w:keepLines/>
                    <w:adjustRightInd w:val="0"/>
                    <w:snapToGrid w:val="0"/>
                    <w:spacing w:line="240" w:lineRule="auto"/>
                    <w:ind w:firstLine="0" w:firstLineChars="0"/>
                    <w:jc w:val="center"/>
                    <w:rPr>
                      <w:rFonts w:ascii="Times New Roman" w:hAnsi="Times New Roman"/>
                      <w:sz w:val="21"/>
                    </w:rPr>
                  </w:pPr>
                </w:p>
              </w:tc>
              <w:tc>
                <w:tcPr>
                  <w:tcW w:w="373" w:type="pct"/>
                  <w:vMerge w:val="continue"/>
                  <w:tcBorders>
                    <w:tl2br w:val="nil"/>
                    <w:tr2bl w:val="nil"/>
                  </w:tcBorders>
                  <w:shd w:val="clear" w:color="auto" w:fill="auto"/>
                  <w:noWrap/>
                  <w:vAlign w:val="center"/>
                </w:tcPr>
                <w:p w14:paraId="2DF5D726">
                  <w:pPr>
                    <w:pStyle w:val="12"/>
                    <w:keepLines/>
                    <w:adjustRightInd w:val="0"/>
                    <w:snapToGrid w:val="0"/>
                    <w:spacing w:line="240" w:lineRule="auto"/>
                    <w:ind w:firstLine="0" w:firstLineChars="0"/>
                    <w:jc w:val="center"/>
                    <w:rPr>
                      <w:rFonts w:ascii="Times New Roman" w:hAnsi="Times New Roman"/>
                      <w:kern w:val="0"/>
                      <w:sz w:val="21"/>
                    </w:rPr>
                  </w:pPr>
                </w:p>
              </w:tc>
              <w:tc>
                <w:tcPr>
                  <w:tcW w:w="325" w:type="pct"/>
                  <w:vMerge w:val="continue"/>
                  <w:tcBorders>
                    <w:tl2br w:val="nil"/>
                    <w:tr2bl w:val="nil"/>
                  </w:tcBorders>
                  <w:shd w:val="clear" w:color="auto" w:fill="auto"/>
                  <w:noWrap/>
                  <w:vAlign w:val="center"/>
                </w:tcPr>
                <w:p w14:paraId="204FB90E">
                  <w:pPr>
                    <w:pStyle w:val="12"/>
                    <w:keepLines/>
                    <w:adjustRightInd w:val="0"/>
                    <w:snapToGrid w:val="0"/>
                    <w:spacing w:line="240" w:lineRule="auto"/>
                    <w:ind w:firstLine="0" w:firstLineChars="0"/>
                    <w:jc w:val="center"/>
                    <w:rPr>
                      <w:rFonts w:ascii="Times New Roman" w:hAnsi="Times New Roman"/>
                      <w:kern w:val="0"/>
                      <w:sz w:val="21"/>
                    </w:rPr>
                  </w:pPr>
                </w:p>
              </w:tc>
              <w:tc>
                <w:tcPr>
                  <w:tcW w:w="267" w:type="pct"/>
                  <w:vMerge w:val="continue"/>
                  <w:tcBorders>
                    <w:tl2br w:val="nil"/>
                    <w:tr2bl w:val="nil"/>
                  </w:tcBorders>
                  <w:shd w:val="clear" w:color="auto" w:fill="auto"/>
                  <w:noWrap/>
                  <w:vAlign w:val="center"/>
                </w:tcPr>
                <w:p w14:paraId="0D397688">
                  <w:pPr>
                    <w:pStyle w:val="12"/>
                    <w:keepLines/>
                    <w:adjustRightInd w:val="0"/>
                    <w:snapToGrid w:val="0"/>
                    <w:spacing w:line="240" w:lineRule="auto"/>
                    <w:ind w:firstLine="0" w:firstLineChars="0"/>
                    <w:jc w:val="center"/>
                    <w:rPr>
                      <w:rFonts w:ascii="Times New Roman" w:hAnsi="Times New Roman"/>
                      <w:kern w:val="0"/>
                      <w:sz w:val="21"/>
                    </w:rPr>
                  </w:pPr>
                </w:p>
              </w:tc>
              <w:tc>
                <w:tcPr>
                  <w:tcW w:w="379" w:type="pct"/>
                  <w:tcBorders>
                    <w:tl2br w:val="nil"/>
                    <w:tr2bl w:val="nil"/>
                  </w:tcBorders>
                  <w:shd w:val="clear" w:color="auto" w:fill="auto"/>
                  <w:noWrap/>
                  <w:vAlign w:val="center"/>
                </w:tcPr>
                <w:p w14:paraId="4A615075">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11.42</w:t>
                  </w:r>
                </w:p>
              </w:tc>
              <w:tc>
                <w:tcPr>
                  <w:tcW w:w="438" w:type="pct"/>
                  <w:tcBorders>
                    <w:tl2br w:val="nil"/>
                    <w:tr2bl w:val="nil"/>
                  </w:tcBorders>
                  <w:shd w:val="clear" w:color="auto" w:fill="auto"/>
                  <w:noWrap/>
                  <w:vAlign w:val="center"/>
                </w:tcPr>
                <w:p w14:paraId="2DD91B90">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65.58</w:t>
                  </w:r>
                </w:p>
              </w:tc>
              <w:tc>
                <w:tcPr>
                  <w:tcW w:w="311" w:type="pct"/>
                  <w:vMerge w:val="continue"/>
                  <w:tcBorders>
                    <w:tl2br w:val="nil"/>
                    <w:tr2bl w:val="nil"/>
                  </w:tcBorders>
                  <w:shd w:val="clear" w:color="auto" w:fill="auto"/>
                  <w:noWrap/>
                  <w:vAlign w:val="center"/>
                </w:tcPr>
                <w:p w14:paraId="2018BD77">
                  <w:pPr>
                    <w:pStyle w:val="12"/>
                    <w:keepLines/>
                    <w:adjustRightInd w:val="0"/>
                    <w:snapToGrid w:val="0"/>
                    <w:spacing w:line="240" w:lineRule="auto"/>
                    <w:ind w:firstLine="0" w:firstLineChars="0"/>
                    <w:jc w:val="center"/>
                    <w:rPr>
                      <w:rFonts w:ascii="Times New Roman" w:hAnsi="Times New Roman"/>
                      <w:kern w:val="0"/>
                      <w:sz w:val="21"/>
                    </w:rPr>
                  </w:pPr>
                </w:p>
              </w:tc>
              <w:tc>
                <w:tcPr>
                  <w:tcW w:w="400" w:type="pct"/>
                  <w:tcBorders>
                    <w:tl2br w:val="nil"/>
                    <w:tr2bl w:val="nil"/>
                  </w:tcBorders>
                  <w:shd w:val="clear" w:color="auto" w:fill="auto"/>
                  <w:noWrap/>
                  <w:vAlign w:val="center"/>
                </w:tcPr>
                <w:p w14:paraId="6C087ECF">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20</w:t>
                  </w:r>
                </w:p>
              </w:tc>
              <w:tc>
                <w:tcPr>
                  <w:tcW w:w="385" w:type="pct"/>
                  <w:tcBorders>
                    <w:tl2br w:val="nil"/>
                    <w:tr2bl w:val="nil"/>
                  </w:tcBorders>
                  <w:shd w:val="clear" w:color="auto" w:fill="auto"/>
                  <w:noWrap/>
                  <w:vAlign w:val="center"/>
                </w:tcPr>
                <w:p w14:paraId="663BB22E">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39.58</w:t>
                  </w:r>
                </w:p>
              </w:tc>
              <w:tc>
                <w:tcPr>
                  <w:tcW w:w="404" w:type="pct"/>
                  <w:tcBorders>
                    <w:tl2br w:val="nil"/>
                    <w:tr2bl w:val="nil"/>
                  </w:tcBorders>
                  <w:shd w:val="clear" w:color="auto" w:fill="auto"/>
                  <w:noWrap/>
                  <w:vAlign w:val="center"/>
                </w:tcPr>
                <w:p w14:paraId="192CBF28">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w:t>
                  </w:r>
                </w:p>
              </w:tc>
            </w:tr>
            <w:tr w14:paraId="45EB9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79" w:type="pct"/>
                  <w:vMerge w:val="restart"/>
                  <w:tcBorders>
                    <w:tl2br w:val="nil"/>
                    <w:tr2bl w:val="nil"/>
                  </w:tcBorders>
                  <w:shd w:val="clear" w:color="auto" w:fill="auto"/>
                  <w:noWrap/>
                  <w:vAlign w:val="center"/>
                </w:tcPr>
                <w:p w14:paraId="0A8CCF6C">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4</w:t>
                  </w:r>
                </w:p>
              </w:tc>
              <w:tc>
                <w:tcPr>
                  <w:tcW w:w="339" w:type="pct"/>
                  <w:vMerge w:val="restart"/>
                  <w:tcBorders>
                    <w:tl2br w:val="nil"/>
                    <w:tr2bl w:val="nil"/>
                  </w:tcBorders>
                  <w:shd w:val="clear" w:color="auto" w:fill="auto"/>
                  <w:noWrap/>
                  <w:vAlign w:val="center"/>
                </w:tcPr>
                <w:p w14:paraId="0A80C0AE">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砂石料仓库</w:t>
                  </w:r>
                </w:p>
              </w:tc>
              <w:tc>
                <w:tcPr>
                  <w:tcW w:w="337" w:type="pct"/>
                  <w:vMerge w:val="restart"/>
                  <w:tcBorders>
                    <w:tl2br w:val="nil"/>
                    <w:tr2bl w:val="nil"/>
                  </w:tcBorders>
                  <w:shd w:val="clear" w:color="auto" w:fill="auto"/>
                  <w:noWrap/>
                  <w:vAlign w:val="center"/>
                </w:tcPr>
                <w:p w14:paraId="0C70518D">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3#给料机</w:t>
                  </w:r>
                </w:p>
              </w:tc>
              <w:tc>
                <w:tcPr>
                  <w:tcW w:w="180" w:type="pct"/>
                  <w:vMerge w:val="restart"/>
                  <w:tcBorders>
                    <w:tl2br w:val="nil"/>
                    <w:tr2bl w:val="nil"/>
                  </w:tcBorders>
                  <w:shd w:val="clear" w:color="auto" w:fill="auto"/>
                  <w:noWrap/>
                  <w:vAlign w:val="center"/>
                </w:tcPr>
                <w:p w14:paraId="67295E26">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w:t>
                  </w:r>
                </w:p>
              </w:tc>
              <w:tc>
                <w:tcPr>
                  <w:tcW w:w="333" w:type="pct"/>
                  <w:vMerge w:val="restart"/>
                  <w:tcBorders>
                    <w:tl2br w:val="nil"/>
                    <w:tr2bl w:val="nil"/>
                  </w:tcBorders>
                  <w:shd w:val="clear" w:color="auto" w:fill="auto"/>
                  <w:noWrap/>
                  <w:vAlign w:val="center"/>
                </w:tcPr>
                <w:p w14:paraId="265279BF">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70</w:t>
                  </w:r>
                </w:p>
              </w:tc>
              <w:tc>
                <w:tcPr>
                  <w:tcW w:w="343" w:type="pct"/>
                  <w:vMerge w:val="continue"/>
                  <w:tcBorders>
                    <w:tl2br w:val="nil"/>
                    <w:tr2bl w:val="nil"/>
                  </w:tcBorders>
                  <w:shd w:val="clear" w:color="auto" w:fill="auto"/>
                  <w:noWrap/>
                  <w:vAlign w:val="center"/>
                </w:tcPr>
                <w:p w14:paraId="1EDF0A35">
                  <w:pPr>
                    <w:pStyle w:val="12"/>
                    <w:keepLines/>
                    <w:adjustRightInd w:val="0"/>
                    <w:snapToGrid w:val="0"/>
                    <w:spacing w:line="240" w:lineRule="auto"/>
                    <w:ind w:firstLine="0" w:firstLineChars="0"/>
                    <w:jc w:val="center"/>
                    <w:rPr>
                      <w:rFonts w:ascii="Times New Roman" w:hAnsi="Times New Roman"/>
                      <w:sz w:val="21"/>
                    </w:rPr>
                  </w:pPr>
                </w:p>
              </w:tc>
              <w:tc>
                <w:tcPr>
                  <w:tcW w:w="373" w:type="pct"/>
                  <w:vMerge w:val="restart"/>
                  <w:tcBorders>
                    <w:tl2br w:val="nil"/>
                    <w:tr2bl w:val="nil"/>
                  </w:tcBorders>
                  <w:shd w:val="clear" w:color="auto" w:fill="auto"/>
                  <w:noWrap/>
                  <w:vAlign w:val="center"/>
                </w:tcPr>
                <w:p w14:paraId="5976B953">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35.72</w:t>
                  </w:r>
                </w:p>
              </w:tc>
              <w:tc>
                <w:tcPr>
                  <w:tcW w:w="325" w:type="pct"/>
                  <w:vMerge w:val="restart"/>
                  <w:tcBorders>
                    <w:tl2br w:val="nil"/>
                    <w:tr2bl w:val="nil"/>
                  </w:tcBorders>
                  <w:shd w:val="clear" w:color="auto" w:fill="auto"/>
                  <w:noWrap/>
                  <w:vAlign w:val="center"/>
                </w:tcPr>
                <w:p w14:paraId="2C57CF3F">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26.38</w:t>
                  </w:r>
                </w:p>
              </w:tc>
              <w:tc>
                <w:tcPr>
                  <w:tcW w:w="267" w:type="pct"/>
                  <w:vMerge w:val="restart"/>
                  <w:tcBorders>
                    <w:tl2br w:val="nil"/>
                    <w:tr2bl w:val="nil"/>
                  </w:tcBorders>
                  <w:shd w:val="clear" w:color="auto" w:fill="auto"/>
                  <w:noWrap/>
                  <w:vAlign w:val="center"/>
                </w:tcPr>
                <w:p w14:paraId="6E222717">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w:t>
                  </w:r>
                </w:p>
              </w:tc>
              <w:tc>
                <w:tcPr>
                  <w:tcW w:w="379" w:type="pct"/>
                  <w:tcBorders>
                    <w:tl2br w:val="nil"/>
                    <w:tr2bl w:val="nil"/>
                  </w:tcBorders>
                  <w:shd w:val="clear" w:color="auto" w:fill="auto"/>
                  <w:noWrap/>
                  <w:vAlign w:val="center"/>
                </w:tcPr>
                <w:p w14:paraId="7896C0D9">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0.94</w:t>
                  </w:r>
                </w:p>
              </w:tc>
              <w:tc>
                <w:tcPr>
                  <w:tcW w:w="438" w:type="pct"/>
                  <w:tcBorders>
                    <w:tl2br w:val="nil"/>
                    <w:tr2bl w:val="nil"/>
                  </w:tcBorders>
                  <w:shd w:val="clear" w:color="auto" w:fill="auto"/>
                  <w:noWrap/>
                  <w:vAlign w:val="center"/>
                </w:tcPr>
                <w:p w14:paraId="2C894CA9">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66.54</w:t>
                  </w:r>
                </w:p>
              </w:tc>
              <w:tc>
                <w:tcPr>
                  <w:tcW w:w="311" w:type="pct"/>
                  <w:vMerge w:val="continue"/>
                  <w:tcBorders>
                    <w:tl2br w:val="nil"/>
                    <w:tr2bl w:val="nil"/>
                  </w:tcBorders>
                  <w:shd w:val="clear" w:color="auto" w:fill="auto"/>
                  <w:noWrap/>
                  <w:vAlign w:val="center"/>
                </w:tcPr>
                <w:p w14:paraId="3CE299D6">
                  <w:pPr>
                    <w:pStyle w:val="12"/>
                    <w:keepLines/>
                    <w:adjustRightInd w:val="0"/>
                    <w:snapToGrid w:val="0"/>
                    <w:spacing w:line="240" w:lineRule="auto"/>
                    <w:ind w:firstLine="0" w:firstLineChars="0"/>
                    <w:jc w:val="center"/>
                    <w:rPr>
                      <w:rFonts w:ascii="Times New Roman" w:hAnsi="Times New Roman"/>
                      <w:kern w:val="0"/>
                      <w:sz w:val="21"/>
                    </w:rPr>
                  </w:pPr>
                </w:p>
              </w:tc>
              <w:tc>
                <w:tcPr>
                  <w:tcW w:w="400" w:type="pct"/>
                  <w:tcBorders>
                    <w:tl2br w:val="nil"/>
                    <w:tr2bl w:val="nil"/>
                  </w:tcBorders>
                  <w:shd w:val="clear" w:color="auto" w:fill="auto"/>
                  <w:noWrap/>
                  <w:vAlign w:val="center"/>
                </w:tcPr>
                <w:p w14:paraId="017558C7">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20</w:t>
                  </w:r>
                </w:p>
              </w:tc>
              <w:tc>
                <w:tcPr>
                  <w:tcW w:w="385" w:type="pct"/>
                  <w:tcBorders>
                    <w:tl2br w:val="nil"/>
                    <w:tr2bl w:val="nil"/>
                  </w:tcBorders>
                  <w:shd w:val="clear" w:color="auto" w:fill="auto"/>
                  <w:noWrap/>
                  <w:vAlign w:val="center"/>
                </w:tcPr>
                <w:p w14:paraId="2D431F4E">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40.54</w:t>
                  </w:r>
                </w:p>
              </w:tc>
              <w:tc>
                <w:tcPr>
                  <w:tcW w:w="404" w:type="pct"/>
                  <w:tcBorders>
                    <w:tl2br w:val="nil"/>
                    <w:tr2bl w:val="nil"/>
                  </w:tcBorders>
                  <w:shd w:val="clear" w:color="auto" w:fill="auto"/>
                  <w:noWrap/>
                  <w:vAlign w:val="center"/>
                </w:tcPr>
                <w:p w14:paraId="5996AA2C">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w:t>
                  </w:r>
                </w:p>
              </w:tc>
            </w:tr>
            <w:tr w14:paraId="3CB02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79" w:type="pct"/>
                  <w:vMerge w:val="continue"/>
                  <w:tcBorders>
                    <w:tl2br w:val="nil"/>
                    <w:tr2bl w:val="nil"/>
                  </w:tcBorders>
                  <w:shd w:val="clear" w:color="auto" w:fill="auto"/>
                  <w:noWrap/>
                  <w:vAlign w:val="center"/>
                </w:tcPr>
                <w:p w14:paraId="1A7B7ED6">
                  <w:pPr>
                    <w:pStyle w:val="12"/>
                    <w:keepLines/>
                    <w:adjustRightInd w:val="0"/>
                    <w:snapToGrid w:val="0"/>
                    <w:spacing w:line="240" w:lineRule="auto"/>
                    <w:ind w:firstLine="0" w:firstLineChars="0"/>
                    <w:jc w:val="center"/>
                    <w:rPr>
                      <w:rFonts w:ascii="Times New Roman" w:hAnsi="Times New Roman"/>
                      <w:kern w:val="0"/>
                      <w:sz w:val="21"/>
                    </w:rPr>
                  </w:pPr>
                </w:p>
              </w:tc>
              <w:tc>
                <w:tcPr>
                  <w:tcW w:w="339" w:type="pct"/>
                  <w:vMerge w:val="continue"/>
                  <w:tcBorders>
                    <w:tl2br w:val="nil"/>
                    <w:tr2bl w:val="nil"/>
                  </w:tcBorders>
                  <w:shd w:val="clear" w:color="auto" w:fill="auto"/>
                  <w:noWrap/>
                  <w:vAlign w:val="center"/>
                </w:tcPr>
                <w:p w14:paraId="79D80431">
                  <w:pPr>
                    <w:pStyle w:val="12"/>
                    <w:keepLines/>
                    <w:adjustRightInd w:val="0"/>
                    <w:snapToGrid w:val="0"/>
                    <w:spacing w:line="240" w:lineRule="auto"/>
                    <w:ind w:firstLine="0" w:firstLineChars="0"/>
                    <w:jc w:val="center"/>
                    <w:rPr>
                      <w:rFonts w:ascii="Times New Roman" w:hAnsi="Times New Roman"/>
                      <w:kern w:val="0"/>
                      <w:sz w:val="21"/>
                    </w:rPr>
                  </w:pPr>
                </w:p>
              </w:tc>
              <w:tc>
                <w:tcPr>
                  <w:tcW w:w="337" w:type="pct"/>
                  <w:vMerge w:val="continue"/>
                  <w:tcBorders>
                    <w:tl2br w:val="nil"/>
                    <w:tr2bl w:val="nil"/>
                  </w:tcBorders>
                  <w:shd w:val="clear" w:color="auto" w:fill="auto"/>
                  <w:noWrap/>
                  <w:vAlign w:val="center"/>
                </w:tcPr>
                <w:p w14:paraId="083C2BA8">
                  <w:pPr>
                    <w:pStyle w:val="12"/>
                    <w:keepLines/>
                    <w:adjustRightInd w:val="0"/>
                    <w:snapToGrid w:val="0"/>
                    <w:spacing w:line="240" w:lineRule="auto"/>
                    <w:ind w:firstLine="0" w:firstLineChars="0"/>
                    <w:jc w:val="center"/>
                    <w:rPr>
                      <w:rFonts w:ascii="Times New Roman" w:hAnsi="Times New Roman"/>
                      <w:kern w:val="0"/>
                      <w:sz w:val="21"/>
                    </w:rPr>
                  </w:pPr>
                </w:p>
              </w:tc>
              <w:tc>
                <w:tcPr>
                  <w:tcW w:w="180" w:type="pct"/>
                  <w:vMerge w:val="continue"/>
                  <w:tcBorders>
                    <w:tl2br w:val="nil"/>
                    <w:tr2bl w:val="nil"/>
                  </w:tcBorders>
                  <w:shd w:val="clear" w:color="auto" w:fill="auto"/>
                  <w:noWrap/>
                  <w:vAlign w:val="center"/>
                </w:tcPr>
                <w:p w14:paraId="04C099BB">
                  <w:pPr>
                    <w:pStyle w:val="12"/>
                    <w:keepLines/>
                    <w:adjustRightInd w:val="0"/>
                    <w:snapToGrid w:val="0"/>
                    <w:spacing w:line="240" w:lineRule="auto"/>
                    <w:ind w:firstLine="0" w:firstLineChars="0"/>
                    <w:jc w:val="center"/>
                    <w:rPr>
                      <w:rFonts w:ascii="Times New Roman" w:hAnsi="Times New Roman"/>
                      <w:kern w:val="0"/>
                      <w:sz w:val="21"/>
                    </w:rPr>
                  </w:pPr>
                </w:p>
              </w:tc>
              <w:tc>
                <w:tcPr>
                  <w:tcW w:w="333" w:type="pct"/>
                  <w:vMerge w:val="continue"/>
                  <w:tcBorders>
                    <w:tl2br w:val="nil"/>
                    <w:tr2bl w:val="nil"/>
                  </w:tcBorders>
                  <w:shd w:val="clear" w:color="auto" w:fill="auto"/>
                  <w:noWrap/>
                  <w:vAlign w:val="center"/>
                </w:tcPr>
                <w:p w14:paraId="5CD28AF0">
                  <w:pPr>
                    <w:pStyle w:val="12"/>
                    <w:keepLines/>
                    <w:adjustRightInd w:val="0"/>
                    <w:snapToGrid w:val="0"/>
                    <w:spacing w:line="240" w:lineRule="auto"/>
                    <w:ind w:firstLine="0" w:firstLineChars="0"/>
                    <w:jc w:val="center"/>
                    <w:rPr>
                      <w:rFonts w:ascii="Times New Roman" w:hAnsi="Times New Roman"/>
                      <w:kern w:val="0"/>
                      <w:sz w:val="21"/>
                    </w:rPr>
                  </w:pPr>
                </w:p>
              </w:tc>
              <w:tc>
                <w:tcPr>
                  <w:tcW w:w="343" w:type="pct"/>
                  <w:vMerge w:val="continue"/>
                  <w:tcBorders>
                    <w:tl2br w:val="nil"/>
                    <w:tr2bl w:val="nil"/>
                  </w:tcBorders>
                  <w:shd w:val="clear" w:color="auto" w:fill="auto"/>
                  <w:noWrap/>
                  <w:vAlign w:val="center"/>
                </w:tcPr>
                <w:p w14:paraId="798F9123">
                  <w:pPr>
                    <w:pStyle w:val="12"/>
                    <w:keepLines/>
                    <w:adjustRightInd w:val="0"/>
                    <w:snapToGrid w:val="0"/>
                    <w:spacing w:line="240" w:lineRule="auto"/>
                    <w:ind w:firstLine="0" w:firstLineChars="0"/>
                    <w:jc w:val="center"/>
                    <w:rPr>
                      <w:rFonts w:ascii="Times New Roman" w:hAnsi="Times New Roman"/>
                      <w:sz w:val="21"/>
                    </w:rPr>
                  </w:pPr>
                </w:p>
              </w:tc>
              <w:tc>
                <w:tcPr>
                  <w:tcW w:w="373" w:type="pct"/>
                  <w:vMerge w:val="continue"/>
                  <w:tcBorders>
                    <w:tl2br w:val="nil"/>
                    <w:tr2bl w:val="nil"/>
                  </w:tcBorders>
                  <w:shd w:val="clear" w:color="auto" w:fill="auto"/>
                  <w:noWrap/>
                  <w:vAlign w:val="center"/>
                </w:tcPr>
                <w:p w14:paraId="2EAC6A7D">
                  <w:pPr>
                    <w:pStyle w:val="12"/>
                    <w:keepLines/>
                    <w:adjustRightInd w:val="0"/>
                    <w:snapToGrid w:val="0"/>
                    <w:spacing w:line="240" w:lineRule="auto"/>
                    <w:ind w:firstLine="0" w:firstLineChars="0"/>
                    <w:jc w:val="center"/>
                    <w:rPr>
                      <w:rFonts w:ascii="Times New Roman" w:hAnsi="Times New Roman"/>
                      <w:kern w:val="0"/>
                      <w:sz w:val="21"/>
                    </w:rPr>
                  </w:pPr>
                </w:p>
              </w:tc>
              <w:tc>
                <w:tcPr>
                  <w:tcW w:w="325" w:type="pct"/>
                  <w:vMerge w:val="continue"/>
                  <w:tcBorders>
                    <w:tl2br w:val="nil"/>
                    <w:tr2bl w:val="nil"/>
                  </w:tcBorders>
                  <w:shd w:val="clear" w:color="auto" w:fill="auto"/>
                  <w:noWrap/>
                  <w:vAlign w:val="center"/>
                </w:tcPr>
                <w:p w14:paraId="48FE9235">
                  <w:pPr>
                    <w:pStyle w:val="12"/>
                    <w:keepLines/>
                    <w:adjustRightInd w:val="0"/>
                    <w:snapToGrid w:val="0"/>
                    <w:spacing w:line="240" w:lineRule="auto"/>
                    <w:ind w:firstLine="0" w:firstLineChars="0"/>
                    <w:jc w:val="center"/>
                    <w:rPr>
                      <w:rFonts w:ascii="Times New Roman" w:hAnsi="Times New Roman"/>
                      <w:kern w:val="0"/>
                      <w:sz w:val="21"/>
                    </w:rPr>
                  </w:pPr>
                </w:p>
              </w:tc>
              <w:tc>
                <w:tcPr>
                  <w:tcW w:w="267" w:type="pct"/>
                  <w:vMerge w:val="continue"/>
                  <w:tcBorders>
                    <w:tl2br w:val="nil"/>
                    <w:tr2bl w:val="nil"/>
                  </w:tcBorders>
                  <w:shd w:val="clear" w:color="auto" w:fill="auto"/>
                  <w:noWrap/>
                  <w:vAlign w:val="center"/>
                </w:tcPr>
                <w:p w14:paraId="181A0563">
                  <w:pPr>
                    <w:pStyle w:val="12"/>
                    <w:keepLines/>
                    <w:adjustRightInd w:val="0"/>
                    <w:snapToGrid w:val="0"/>
                    <w:spacing w:line="240" w:lineRule="auto"/>
                    <w:ind w:firstLine="0" w:firstLineChars="0"/>
                    <w:jc w:val="center"/>
                    <w:rPr>
                      <w:rFonts w:ascii="Times New Roman" w:hAnsi="Times New Roman"/>
                      <w:kern w:val="0"/>
                      <w:sz w:val="21"/>
                    </w:rPr>
                  </w:pPr>
                </w:p>
              </w:tc>
              <w:tc>
                <w:tcPr>
                  <w:tcW w:w="379" w:type="pct"/>
                  <w:tcBorders>
                    <w:tl2br w:val="nil"/>
                    <w:tr2bl w:val="nil"/>
                  </w:tcBorders>
                  <w:shd w:val="clear" w:color="auto" w:fill="auto"/>
                  <w:noWrap/>
                  <w:vAlign w:val="center"/>
                </w:tcPr>
                <w:p w14:paraId="77E367C5">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16.22</w:t>
                  </w:r>
                </w:p>
              </w:tc>
              <w:tc>
                <w:tcPr>
                  <w:tcW w:w="438" w:type="pct"/>
                  <w:tcBorders>
                    <w:tl2br w:val="nil"/>
                    <w:tr2bl w:val="nil"/>
                  </w:tcBorders>
                  <w:shd w:val="clear" w:color="auto" w:fill="auto"/>
                  <w:noWrap/>
                  <w:vAlign w:val="center"/>
                </w:tcPr>
                <w:p w14:paraId="556CC8A4">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65.57</w:t>
                  </w:r>
                </w:p>
              </w:tc>
              <w:tc>
                <w:tcPr>
                  <w:tcW w:w="311" w:type="pct"/>
                  <w:vMerge w:val="continue"/>
                  <w:tcBorders>
                    <w:tl2br w:val="nil"/>
                    <w:tr2bl w:val="nil"/>
                  </w:tcBorders>
                  <w:shd w:val="clear" w:color="auto" w:fill="auto"/>
                  <w:noWrap/>
                  <w:vAlign w:val="center"/>
                </w:tcPr>
                <w:p w14:paraId="68F8E936">
                  <w:pPr>
                    <w:pStyle w:val="12"/>
                    <w:keepLines/>
                    <w:adjustRightInd w:val="0"/>
                    <w:snapToGrid w:val="0"/>
                    <w:spacing w:line="240" w:lineRule="auto"/>
                    <w:ind w:firstLine="0" w:firstLineChars="0"/>
                    <w:jc w:val="center"/>
                    <w:rPr>
                      <w:rFonts w:ascii="Times New Roman" w:hAnsi="Times New Roman"/>
                      <w:kern w:val="0"/>
                      <w:sz w:val="21"/>
                    </w:rPr>
                  </w:pPr>
                </w:p>
              </w:tc>
              <w:tc>
                <w:tcPr>
                  <w:tcW w:w="400" w:type="pct"/>
                  <w:tcBorders>
                    <w:tl2br w:val="nil"/>
                    <w:tr2bl w:val="nil"/>
                  </w:tcBorders>
                  <w:shd w:val="clear" w:color="auto" w:fill="auto"/>
                  <w:noWrap/>
                  <w:vAlign w:val="center"/>
                </w:tcPr>
                <w:p w14:paraId="687BABE4">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20</w:t>
                  </w:r>
                </w:p>
              </w:tc>
              <w:tc>
                <w:tcPr>
                  <w:tcW w:w="385" w:type="pct"/>
                  <w:tcBorders>
                    <w:tl2br w:val="nil"/>
                    <w:tr2bl w:val="nil"/>
                  </w:tcBorders>
                  <w:shd w:val="clear" w:color="auto" w:fill="auto"/>
                  <w:noWrap/>
                  <w:vAlign w:val="center"/>
                </w:tcPr>
                <w:p w14:paraId="202894D3">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39.57</w:t>
                  </w:r>
                </w:p>
              </w:tc>
              <w:tc>
                <w:tcPr>
                  <w:tcW w:w="404" w:type="pct"/>
                  <w:tcBorders>
                    <w:tl2br w:val="nil"/>
                    <w:tr2bl w:val="nil"/>
                  </w:tcBorders>
                  <w:shd w:val="clear" w:color="auto" w:fill="auto"/>
                  <w:noWrap/>
                  <w:vAlign w:val="center"/>
                </w:tcPr>
                <w:p w14:paraId="125E0ECA">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w:t>
                  </w:r>
                </w:p>
              </w:tc>
            </w:tr>
            <w:tr w14:paraId="0F749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79" w:type="pct"/>
                  <w:vMerge w:val="continue"/>
                  <w:tcBorders>
                    <w:tl2br w:val="nil"/>
                    <w:tr2bl w:val="nil"/>
                  </w:tcBorders>
                  <w:shd w:val="clear" w:color="auto" w:fill="auto"/>
                  <w:noWrap/>
                  <w:vAlign w:val="center"/>
                </w:tcPr>
                <w:p w14:paraId="23BD6D30">
                  <w:pPr>
                    <w:pStyle w:val="12"/>
                    <w:keepLines/>
                    <w:adjustRightInd w:val="0"/>
                    <w:snapToGrid w:val="0"/>
                    <w:spacing w:line="240" w:lineRule="auto"/>
                    <w:ind w:firstLine="0" w:firstLineChars="0"/>
                    <w:jc w:val="center"/>
                    <w:rPr>
                      <w:rFonts w:ascii="Times New Roman" w:hAnsi="Times New Roman"/>
                      <w:kern w:val="0"/>
                      <w:sz w:val="21"/>
                    </w:rPr>
                  </w:pPr>
                </w:p>
              </w:tc>
              <w:tc>
                <w:tcPr>
                  <w:tcW w:w="339" w:type="pct"/>
                  <w:vMerge w:val="continue"/>
                  <w:tcBorders>
                    <w:tl2br w:val="nil"/>
                    <w:tr2bl w:val="nil"/>
                  </w:tcBorders>
                  <w:shd w:val="clear" w:color="auto" w:fill="auto"/>
                  <w:noWrap/>
                  <w:vAlign w:val="center"/>
                </w:tcPr>
                <w:p w14:paraId="48E83BCB">
                  <w:pPr>
                    <w:pStyle w:val="12"/>
                    <w:keepLines/>
                    <w:adjustRightInd w:val="0"/>
                    <w:snapToGrid w:val="0"/>
                    <w:spacing w:line="240" w:lineRule="auto"/>
                    <w:ind w:firstLine="0" w:firstLineChars="0"/>
                    <w:jc w:val="center"/>
                    <w:rPr>
                      <w:rFonts w:ascii="Times New Roman" w:hAnsi="Times New Roman"/>
                      <w:kern w:val="0"/>
                      <w:sz w:val="21"/>
                    </w:rPr>
                  </w:pPr>
                </w:p>
              </w:tc>
              <w:tc>
                <w:tcPr>
                  <w:tcW w:w="337" w:type="pct"/>
                  <w:vMerge w:val="continue"/>
                  <w:tcBorders>
                    <w:tl2br w:val="nil"/>
                    <w:tr2bl w:val="nil"/>
                  </w:tcBorders>
                  <w:shd w:val="clear" w:color="auto" w:fill="auto"/>
                  <w:noWrap/>
                  <w:vAlign w:val="center"/>
                </w:tcPr>
                <w:p w14:paraId="7BA1821B">
                  <w:pPr>
                    <w:pStyle w:val="12"/>
                    <w:keepLines/>
                    <w:adjustRightInd w:val="0"/>
                    <w:snapToGrid w:val="0"/>
                    <w:spacing w:line="240" w:lineRule="auto"/>
                    <w:ind w:firstLine="0" w:firstLineChars="0"/>
                    <w:jc w:val="center"/>
                    <w:rPr>
                      <w:rFonts w:ascii="Times New Roman" w:hAnsi="Times New Roman"/>
                      <w:kern w:val="0"/>
                      <w:sz w:val="21"/>
                    </w:rPr>
                  </w:pPr>
                </w:p>
              </w:tc>
              <w:tc>
                <w:tcPr>
                  <w:tcW w:w="180" w:type="pct"/>
                  <w:vMerge w:val="continue"/>
                  <w:tcBorders>
                    <w:tl2br w:val="nil"/>
                    <w:tr2bl w:val="nil"/>
                  </w:tcBorders>
                  <w:shd w:val="clear" w:color="auto" w:fill="auto"/>
                  <w:noWrap/>
                  <w:vAlign w:val="center"/>
                </w:tcPr>
                <w:p w14:paraId="69FACBAA">
                  <w:pPr>
                    <w:pStyle w:val="12"/>
                    <w:keepLines/>
                    <w:adjustRightInd w:val="0"/>
                    <w:snapToGrid w:val="0"/>
                    <w:spacing w:line="240" w:lineRule="auto"/>
                    <w:ind w:firstLine="0" w:firstLineChars="0"/>
                    <w:jc w:val="center"/>
                    <w:rPr>
                      <w:rFonts w:ascii="Times New Roman" w:hAnsi="Times New Roman"/>
                      <w:kern w:val="0"/>
                      <w:sz w:val="21"/>
                    </w:rPr>
                  </w:pPr>
                </w:p>
              </w:tc>
              <w:tc>
                <w:tcPr>
                  <w:tcW w:w="333" w:type="pct"/>
                  <w:vMerge w:val="continue"/>
                  <w:tcBorders>
                    <w:tl2br w:val="nil"/>
                    <w:tr2bl w:val="nil"/>
                  </w:tcBorders>
                  <w:shd w:val="clear" w:color="auto" w:fill="auto"/>
                  <w:noWrap/>
                  <w:vAlign w:val="center"/>
                </w:tcPr>
                <w:p w14:paraId="7673E155">
                  <w:pPr>
                    <w:pStyle w:val="12"/>
                    <w:keepLines/>
                    <w:adjustRightInd w:val="0"/>
                    <w:snapToGrid w:val="0"/>
                    <w:spacing w:line="240" w:lineRule="auto"/>
                    <w:ind w:firstLine="0" w:firstLineChars="0"/>
                    <w:jc w:val="center"/>
                    <w:rPr>
                      <w:rFonts w:ascii="Times New Roman" w:hAnsi="Times New Roman"/>
                      <w:kern w:val="0"/>
                      <w:sz w:val="21"/>
                    </w:rPr>
                  </w:pPr>
                </w:p>
              </w:tc>
              <w:tc>
                <w:tcPr>
                  <w:tcW w:w="343" w:type="pct"/>
                  <w:vMerge w:val="continue"/>
                  <w:tcBorders>
                    <w:tl2br w:val="nil"/>
                    <w:tr2bl w:val="nil"/>
                  </w:tcBorders>
                  <w:shd w:val="clear" w:color="auto" w:fill="auto"/>
                  <w:noWrap/>
                  <w:vAlign w:val="center"/>
                </w:tcPr>
                <w:p w14:paraId="43ED8E57">
                  <w:pPr>
                    <w:pStyle w:val="12"/>
                    <w:keepLines/>
                    <w:adjustRightInd w:val="0"/>
                    <w:snapToGrid w:val="0"/>
                    <w:spacing w:line="240" w:lineRule="auto"/>
                    <w:ind w:firstLine="0" w:firstLineChars="0"/>
                    <w:jc w:val="center"/>
                    <w:rPr>
                      <w:rFonts w:ascii="Times New Roman" w:hAnsi="Times New Roman"/>
                      <w:sz w:val="21"/>
                    </w:rPr>
                  </w:pPr>
                </w:p>
              </w:tc>
              <w:tc>
                <w:tcPr>
                  <w:tcW w:w="373" w:type="pct"/>
                  <w:vMerge w:val="continue"/>
                  <w:tcBorders>
                    <w:tl2br w:val="nil"/>
                    <w:tr2bl w:val="nil"/>
                  </w:tcBorders>
                  <w:shd w:val="clear" w:color="auto" w:fill="auto"/>
                  <w:noWrap/>
                  <w:vAlign w:val="center"/>
                </w:tcPr>
                <w:p w14:paraId="6C620A24">
                  <w:pPr>
                    <w:pStyle w:val="12"/>
                    <w:keepLines/>
                    <w:adjustRightInd w:val="0"/>
                    <w:snapToGrid w:val="0"/>
                    <w:spacing w:line="240" w:lineRule="auto"/>
                    <w:ind w:firstLine="0" w:firstLineChars="0"/>
                    <w:jc w:val="center"/>
                    <w:rPr>
                      <w:rFonts w:ascii="Times New Roman" w:hAnsi="Times New Roman"/>
                      <w:kern w:val="0"/>
                      <w:sz w:val="21"/>
                    </w:rPr>
                  </w:pPr>
                </w:p>
              </w:tc>
              <w:tc>
                <w:tcPr>
                  <w:tcW w:w="325" w:type="pct"/>
                  <w:vMerge w:val="continue"/>
                  <w:tcBorders>
                    <w:tl2br w:val="nil"/>
                    <w:tr2bl w:val="nil"/>
                  </w:tcBorders>
                  <w:shd w:val="clear" w:color="auto" w:fill="auto"/>
                  <w:noWrap/>
                  <w:vAlign w:val="center"/>
                </w:tcPr>
                <w:p w14:paraId="50365DCA">
                  <w:pPr>
                    <w:pStyle w:val="12"/>
                    <w:keepLines/>
                    <w:adjustRightInd w:val="0"/>
                    <w:snapToGrid w:val="0"/>
                    <w:spacing w:line="240" w:lineRule="auto"/>
                    <w:ind w:firstLine="0" w:firstLineChars="0"/>
                    <w:jc w:val="center"/>
                    <w:rPr>
                      <w:rFonts w:ascii="Times New Roman" w:hAnsi="Times New Roman"/>
                      <w:kern w:val="0"/>
                      <w:sz w:val="21"/>
                    </w:rPr>
                  </w:pPr>
                </w:p>
              </w:tc>
              <w:tc>
                <w:tcPr>
                  <w:tcW w:w="267" w:type="pct"/>
                  <w:vMerge w:val="continue"/>
                  <w:tcBorders>
                    <w:tl2br w:val="nil"/>
                    <w:tr2bl w:val="nil"/>
                  </w:tcBorders>
                  <w:shd w:val="clear" w:color="auto" w:fill="auto"/>
                  <w:noWrap/>
                  <w:vAlign w:val="center"/>
                </w:tcPr>
                <w:p w14:paraId="01A505B9">
                  <w:pPr>
                    <w:pStyle w:val="12"/>
                    <w:keepLines/>
                    <w:adjustRightInd w:val="0"/>
                    <w:snapToGrid w:val="0"/>
                    <w:spacing w:line="240" w:lineRule="auto"/>
                    <w:ind w:firstLine="0" w:firstLineChars="0"/>
                    <w:jc w:val="center"/>
                    <w:rPr>
                      <w:rFonts w:ascii="Times New Roman" w:hAnsi="Times New Roman"/>
                      <w:kern w:val="0"/>
                      <w:sz w:val="21"/>
                    </w:rPr>
                  </w:pPr>
                </w:p>
              </w:tc>
              <w:tc>
                <w:tcPr>
                  <w:tcW w:w="379" w:type="pct"/>
                  <w:tcBorders>
                    <w:tl2br w:val="nil"/>
                    <w:tr2bl w:val="nil"/>
                  </w:tcBorders>
                  <w:shd w:val="clear" w:color="auto" w:fill="auto"/>
                  <w:noWrap/>
                  <w:vAlign w:val="center"/>
                </w:tcPr>
                <w:p w14:paraId="60520A84">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4.56</w:t>
                  </w:r>
                </w:p>
              </w:tc>
              <w:tc>
                <w:tcPr>
                  <w:tcW w:w="438" w:type="pct"/>
                  <w:tcBorders>
                    <w:tl2br w:val="nil"/>
                    <w:tr2bl w:val="nil"/>
                  </w:tcBorders>
                  <w:shd w:val="clear" w:color="auto" w:fill="auto"/>
                  <w:noWrap/>
                  <w:vAlign w:val="center"/>
                </w:tcPr>
                <w:p w14:paraId="04962BB2">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65.62</w:t>
                  </w:r>
                </w:p>
              </w:tc>
              <w:tc>
                <w:tcPr>
                  <w:tcW w:w="311" w:type="pct"/>
                  <w:vMerge w:val="continue"/>
                  <w:tcBorders>
                    <w:tl2br w:val="nil"/>
                    <w:tr2bl w:val="nil"/>
                  </w:tcBorders>
                  <w:shd w:val="clear" w:color="auto" w:fill="auto"/>
                  <w:noWrap/>
                  <w:vAlign w:val="center"/>
                </w:tcPr>
                <w:p w14:paraId="569F74F6">
                  <w:pPr>
                    <w:pStyle w:val="12"/>
                    <w:keepLines/>
                    <w:adjustRightInd w:val="0"/>
                    <w:snapToGrid w:val="0"/>
                    <w:spacing w:line="240" w:lineRule="auto"/>
                    <w:ind w:firstLine="0" w:firstLineChars="0"/>
                    <w:jc w:val="center"/>
                    <w:rPr>
                      <w:rFonts w:ascii="Times New Roman" w:hAnsi="Times New Roman"/>
                      <w:kern w:val="0"/>
                      <w:sz w:val="21"/>
                    </w:rPr>
                  </w:pPr>
                </w:p>
              </w:tc>
              <w:tc>
                <w:tcPr>
                  <w:tcW w:w="400" w:type="pct"/>
                  <w:tcBorders>
                    <w:tl2br w:val="nil"/>
                    <w:tr2bl w:val="nil"/>
                  </w:tcBorders>
                  <w:shd w:val="clear" w:color="auto" w:fill="auto"/>
                  <w:noWrap/>
                  <w:vAlign w:val="center"/>
                </w:tcPr>
                <w:p w14:paraId="3B374703">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20</w:t>
                  </w:r>
                </w:p>
              </w:tc>
              <w:tc>
                <w:tcPr>
                  <w:tcW w:w="385" w:type="pct"/>
                  <w:tcBorders>
                    <w:tl2br w:val="nil"/>
                    <w:tr2bl w:val="nil"/>
                  </w:tcBorders>
                  <w:shd w:val="clear" w:color="auto" w:fill="auto"/>
                  <w:noWrap/>
                  <w:vAlign w:val="center"/>
                </w:tcPr>
                <w:p w14:paraId="3D3D14B3">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39.62</w:t>
                  </w:r>
                </w:p>
              </w:tc>
              <w:tc>
                <w:tcPr>
                  <w:tcW w:w="404" w:type="pct"/>
                  <w:tcBorders>
                    <w:tl2br w:val="nil"/>
                    <w:tr2bl w:val="nil"/>
                  </w:tcBorders>
                  <w:shd w:val="clear" w:color="auto" w:fill="auto"/>
                  <w:noWrap/>
                  <w:vAlign w:val="center"/>
                </w:tcPr>
                <w:p w14:paraId="3D599B18">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w:t>
                  </w:r>
                </w:p>
              </w:tc>
            </w:tr>
            <w:tr w14:paraId="538AC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79" w:type="pct"/>
                  <w:vMerge w:val="continue"/>
                  <w:tcBorders>
                    <w:tl2br w:val="nil"/>
                    <w:tr2bl w:val="nil"/>
                  </w:tcBorders>
                  <w:shd w:val="clear" w:color="auto" w:fill="auto"/>
                  <w:noWrap/>
                  <w:vAlign w:val="center"/>
                </w:tcPr>
                <w:p w14:paraId="3B590AD1">
                  <w:pPr>
                    <w:pStyle w:val="12"/>
                    <w:keepLines/>
                    <w:adjustRightInd w:val="0"/>
                    <w:snapToGrid w:val="0"/>
                    <w:spacing w:line="240" w:lineRule="auto"/>
                    <w:ind w:firstLine="0" w:firstLineChars="0"/>
                    <w:jc w:val="center"/>
                    <w:rPr>
                      <w:rFonts w:ascii="Times New Roman" w:hAnsi="Times New Roman"/>
                      <w:kern w:val="0"/>
                      <w:sz w:val="21"/>
                    </w:rPr>
                  </w:pPr>
                </w:p>
              </w:tc>
              <w:tc>
                <w:tcPr>
                  <w:tcW w:w="339" w:type="pct"/>
                  <w:vMerge w:val="continue"/>
                  <w:tcBorders>
                    <w:tl2br w:val="nil"/>
                    <w:tr2bl w:val="nil"/>
                  </w:tcBorders>
                  <w:shd w:val="clear" w:color="auto" w:fill="auto"/>
                  <w:noWrap/>
                  <w:vAlign w:val="center"/>
                </w:tcPr>
                <w:p w14:paraId="7478A7F9">
                  <w:pPr>
                    <w:pStyle w:val="12"/>
                    <w:keepLines/>
                    <w:adjustRightInd w:val="0"/>
                    <w:snapToGrid w:val="0"/>
                    <w:spacing w:line="240" w:lineRule="auto"/>
                    <w:ind w:firstLine="0" w:firstLineChars="0"/>
                    <w:jc w:val="center"/>
                    <w:rPr>
                      <w:rFonts w:ascii="Times New Roman" w:hAnsi="Times New Roman"/>
                      <w:kern w:val="0"/>
                      <w:sz w:val="21"/>
                    </w:rPr>
                  </w:pPr>
                </w:p>
              </w:tc>
              <w:tc>
                <w:tcPr>
                  <w:tcW w:w="337" w:type="pct"/>
                  <w:vMerge w:val="continue"/>
                  <w:tcBorders>
                    <w:tl2br w:val="nil"/>
                    <w:tr2bl w:val="nil"/>
                  </w:tcBorders>
                  <w:shd w:val="clear" w:color="auto" w:fill="auto"/>
                  <w:noWrap/>
                  <w:vAlign w:val="center"/>
                </w:tcPr>
                <w:p w14:paraId="1B7DB954">
                  <w:pPr>
                    <w:pStyle w:val="12"/>
                    <w:keepLines/>
                    <w:adjustRightInd w:val="0"/>
                    <w:snapToGrid w:val="0"/>
                    <w:spacing w:line="240" w:lineRule="auto"/>
                    <w:ind w:firstLine="0" w:firstLineChars="0"/>
                    <w:jc w:val="center"/>
                    <w:rPr>
                      <w:rFonts w:ascii="Times New Roman" w:hAnsi="Times New Roman"/>
                      <w:kern w:val="0"/>
                      <w:sz w:val="21"/>
                    </w:rPr>
                  </w:pPr>
                </w:p>
              </w:tc>
              <w:tc>
                <w:tcPr>
                  <w:tcW w:w="180" w:type="pct"/>
                  <w:vMerge w:val="continue"/>
                  <w:tcBorders>
                    <w:tl2br w:val="nil"/>
                    <w:tr2bl w:val="nil"/>
                  </w:tcBorders>
                  <w:shd w:val="clear" w:color="auto" w:fill="auto"/>
                  <w:noWrap/>
                  <w:vAlign w:val="center"/>
                </w:tcPr>
                <w:p w14:paraId="5E1CD0E2">
                  <w:pPr>
                    <w:pStyle w:val="12"/>
                    <w:keepLines/>
                    <w:adjustRightInd w:val="0"/>
                    <w:snapToGrid w:val="0"/>
                    <w:spacing w:line="240" w:lineRule="auto"/>
                    <w:ind w:firstLine="0" w:firstLineChars="0"/>
                    <w:jc w:val="center"/>
                    <w:rPr>
                      <w:rFonts w:ascii="Times New Roman" w:hAnsi="Times New Roman"/>
                      <w:kern w:val="0"/>
                      <w:sz w:val="21"/>
                    </w:rPr>
                  </w:pPr>
                </w:p>
              </w:tc>
              <w:tc>
                <w:tcPr>
                  <w:tcW w:w="333" w:type="pct"/>
                  <w:vMerge w:val="continue"/>
                  <w:tcBorders>
                    <w:tl2br w:val="nil"/>
                    <w:tr2bl w:val="nil"/>
                  </w:tcBorders>
                  <w:shd w:val="clear" w:color="auto" w:fill="auto"/>
                  <w:noWrap/>
                  <w:vAlign w:val="center"/>
                </w:tcPr>
                <w:p w14:paraId="5DA4BA9D">
                  <w:pPr>
                    <w:pStyle w:val="12"/>
                    <w:keepLines/>
                    <w:adjustRightInd w:val="0"/>
                    <w:snapToGrid w:val="0"/>
                    <w:spacing w:line="240" w:lineRule="auto"/>
                    <w:ind w:firstLine="0" w:firstLineChars="0"/>
                    <w:jc w:val="center"/>
                    <w:rPr>
                      <w:rFonts w:ascii="Times New Roman" w:hAnsi="Times New Roman"/>
                      <w:kern w:val="0"/>
                      <w:sz w:val="21"/>
                    </w:rPr>
                  </w:pPr>
                </w:p>
              </w:tc>
              <w:tc>
                <w:tcPr>
                  <w:tcW w:w="343" w:type="pct"/>
                  <w:vMerge w:val="continue"/>
                  <w:tcBorders>
                    <w:tl2br w:val="nil"/>
                    <w:tr2bl w:val="nil"/>
                  </w:tcBorders>
                  <w:shd w:val="clear" w:color="auto" w:fill="auto"/>
                  <w:noWrap/>
                  <w:vAlign w:val="center"/>
                </w:tcPr>
                <w:p w14:paraId="7D60618F">
                  <w:pPr>
                    <w:pStyle w:val="12"/>
                    <w:keepLines/>
                    <w:adjustRightInd w:val="0"/>
                    <w:snapToGrid w:val="0"/>
                    <w:spacing w:line="240" w:lineRule="auto"/>
                    <w:ind w:firstLine="0" w:firstLineChars="0"/>
                    <w:jc w:val="center"/>
                    <w:rPr>
                      <w:rFonts w:ascii="Times New Roman" w:hAnsi="Times New Roman"/>
                      <w:sz w:val="21"/>
                    </w:rPr>
                  </w:pPr>
                </w:p>
              </w:tc>
              <w:tc>
                <w:tcPr>
                  <w:tcW w:w="373" w:type="pct"/>
                  <w:vMerge w:val="continue"/>
                  <w:tcBorders>
                    <w:tl2br w:val="nil"/>
                    <w:tr2bl w:val="nil"/>
                  </w:tcBorders>
                  <w:shd w:val="clear" w:color="auto" w:fill="auto"/>
                  <w:noWrap/>
                  <w:vAlign w:val="center"/>
                </w:tcPr>
                <w:p w14:paraId="1B66E664">
                  <w:pPr>
                    <w:pStyle w:val="12"/>
                    <w:keepLines/>
                    <w:adjustRightInd w:val="0"/>
                    <w:snapToGrid w:val="0"/>
                    <w:spacing w:line="240" w:lineRule="auto"/>
                    <w:ind w:firstLine="0" w:firstLineChars="0"/>
                    <w:jc w:val="center"/>
                    <w:rPr>
                      <w:rFonts w:ascii="Times New Roman" w:hAnsi="Times New Roman"/>
                      <w:kern w:val="0"/>
                      <w:sz w:val="21"/>
                    </w:rPr>
                  </w:pPr>
                </w:p>
              </w:tc>
              <w:tc>
                <w:tcPr>
                  <w:tcW w:w="325" w:type="pct"/>
                  <w:vMerge w:val="continue"/>
                  <w:tcBorders>
                    <w:tl2br w:val="nil"/>
                    <w:tr2bl w:val="nil"/>
                  </w:tcBorders>
                  <w:shd w:val="clear" w:color="auto" w:fill="auto"/>
                  <w:noWrap/>
                  <w:vAlign w:val="center"/>
                </w:tcPr>
                <w:p w14:paraId="72E9BED9">
                  <w:pPr>
                    <w:pStyle w:val="12"/>
                    <w:keepLines/>
                    <w:adjustRightInd w:val="0"/>
                    <w:snapToGrid w:val="0"/>
                    <w:spacing w:line="240" w:lineRule="auto"/>
                    <w:ind w:firstLine="0" w:firstLineChars="0"/>
                    <w:jc w:val="center"/>
                    <w:rPr>
                      <w:rFonts w:ascii="Times New Roman" w:hAnsi="Times New Roman"/>
                      <w:kern w:val="0"/>
                      <w:sz w:val="21"/>
                    </w:rPr>
                  </w:pPr>
                </w:p>
              </w:tc>
              <w:tc>
                <w:tcPr>
                  <w:tcW w:w="267" w:type="pct"/>
                  <w:vMerge w:val="continue"/>
                  <w:tcBorders>
                    <w:tl2br w:val="nil"/>
                    <w:tr2bl w:val="nil"/>
                  </w:tcBorders>
                  <w:shd w:val="clear" w:color="auto" w:fill="auto"/>
                  <w:noWrap/>
                  <w:vAlign w:val="center"/>
                </w:tcPr>
                <w:p w14:paraId="4F6DFFF0">
                  <w:pPr>
                    <w:pStyle w:val="12"/>
                    <w:keepLines/>
                    <w:adjustRightInd w:val="0"/>
                    <w:snapToGrid w:val="0"/>
                    <w:spacing w:line="240" w:lineRule="auto"/>
                    <w:ind w:firstLine="0" w:firstLineChars="0"/>
                    <w:jc w:val="center"/>
                    <w:rPr>
                      <w:rFonts w:ascii="Times New Roman" w:hAnsi="Times New Roman"/>
                      <w:kern w:val="0"/>
                      <w:sz w:val="21"/>
                    </w:rPr>
                  </w:pPr>
                </w:p>
              </w:tc>
              <w:tc>
                <w:tcPr>
                  <w:tcW w:w="379" w:type="pct"/>
                  <w:tcBorders>
                    <w:tl2br w:val="nil"/>
                    <w:tr2bl w:val="nil"/>
                  </w:tcBorders>
                  <w:shd w:val="clear" w:color="auto" w:fill="auto"/>
                  <w:noWrap/>
                  <w:vAlign w:val="center"/>
                </w:tcPr>
                <w:p w14:paraId="208029AD">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15.75</w:t>
                  </w:r>
                </w:p>
              </w:tc>
              <w:tc>
                <w:tcPr>
                  <w:tcW w:w="438" w:type="pct"/>
                  <w:tcBorders>
                    <w:tl2br w:val="nil"/>
                    <w:tr2bl w:val="nil"/>
                  </w:tcBorders>
                  <w:shd w:val="clear" w:color="auto" w:fill="auto"/>
                  <w:noWrap/>
                  <w:vAlign w:val="center"/>
                </w:tcPr>
                <w:p w14:paraId="2FEC957E">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65.57</w:t>
                  </w:r>
                </w:p>
              </w:tc>
              <w:tc>
                <w:tcPr>
                  <w:tcW w:w="311" w:type="pct"/>
                  <w:vMerge w:val="continue"/>
                  <w:tcBorders>
                    <w:tl2br w:val="nil"/>
                    <w:tr2bl w:val="nil"/>
                  </w:tcBorders>
                  <w:shd w:val="clear" w:color="auto" w:fill="auto"/>
                  <w:noWrap/>
                  <w:vAlign w:val="center"/>
                </w:tcPr>
                <w:p w14:paraId="384CAB53">
                  <w:pPr>
                    <w:pStyle w:val="12"/>
                    <w:keepLines/>
                    <w:adjustRightInd w:val="0"/>
                    <w:snapToGrid w:val="0"/>
                    <w:spacing w:line="240" w:lineRule="auto"/>
                    <w:ind w:firstLine="0" w:firstLineChars="0"/>
                    <w:jc w:val="center"/>
                    <w:rPr>
                      <w:rFonts w:ascii="Times New Roman" w:hAnsi="Times New Roman"/>
                      <w:kern w:val="0"/>
                      <w:sz w:val="21"/>
                    </w:rPr>
                  </w:pPr>
                </w:p>
              </w:tc>
              <w:tc>
                <w:tcPr>
                  <w:tcW w:w="400" w:type="pct"/>
                  <w:tcBorders>
                    <w:tl2br w:val="nil"/>
                    <w:tr2bl w:val="nil"/>
                  </w:tcBorders>
                  <w:shd w:val="clear" w:color="auto" w:fill="auto"/>
                  <w:noWrap/>
                  <w:vAlign w:val="center"/>
                </w:tcPr>
                <w:p w14:paraId="0CADF60F">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20</w:t>
                  </w:r>
                </w:p>
              </w:tc>
              <w:tc>
                <w:tcPr>
                  <w:tcW w:w="385" w:type="pct"/>
                  <w:tcBorders>
                    <w:tl2br w:val="nil"/>
                    <w:tr2bl w:val="nil"/>
                  </w:tcBorders>
                  <w:shd w:val="clear" w:color="auto" w:fill="auto"/>
                  <w:noWrap/>
                  <w:vAlign w:val="center"/>
                </w:tcPr>
                <w:p w14:paraId="14618513">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39.57</w:t>
                  </w:r>
                </w:p>
              </w:tc>
              <w:tc>
                <w:tcPr>
                  <w:tcW w:w="404" w:type="pct"/>
                  <w:tcBorders>
                    <w:tl2br w:val="nil"/>
                    <w:tr2bl w:val="nil"/>
                  </w:tcBorders>
                  <w:shd w:val="clear" w:color="auto" w:fill="auto"/>
                  <w:noWrap/>
                  <w:vAlign w:val="center"/>
                </w:tcPr>
                <w:p w14:paraId="0C7D1437">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w:t>
                  </w:r>
                </w:p>
              </w:tc>
            </w:tr>
            <w:tr w14:paraId="1E0B3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79" w:type="pct"/>
                  <w:vMerge w:val="restart"/>
                  <w:tcBorders>
                    <w:tl2br w:val="nil"/>
                    <w:tr2bl w:val="nil"/>
                  </w:tcBorders>
                  <w:shd w:val="clear" w:color="auto" w:fill="auto"/>
                  <w:noWrap/>
                  <w:vAlign w:val="center"/>
                </w:tcPr>
                <w:p w14:paraId="0D9D5B0A">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5</w:t>
                  </w:r>
                </w:p>
              </w:tc>
              <w:tc>
                <w:tcPr>
                  <w:tcW w:w="339" w:type="pct"/>
                  <w:vMerge w:val="restart"/>
                  <w:tcBorders>
                    <w:tl2br w:val="nil"/>
                    <w:tr2bl w:val="nil"/>
                  </w:tcBorders>
                  <w:shd w:val="clear" w:color="auto" w:fill="auto"/>
                  <w:noWrap/>
                  <w:vAlign w:val="center"/>
                </w:tcPr>
                <w:p w14:paraId="508E16F3">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砂石料仓库</w:t>
                  </w:r>
                </w:p>
              </w:tc>
              <w:tc>
                <w:tcPr>
                  <w:tcW w:w="337" w:type="pct"/>
                  <w:vMerge w:val="restart"/>
                  <w:tcBorders>
                    <w:tl2br w:val="nil"/>
                    <w:tr2bl w:val="nil"/>
                  </w:tcBorders>
                  <w:shd w:val="clear" w:color="auto" w:fill="auto"/>
                  <w:noWrap/>
                  <w:vAlign w:val="center"/>
                </w:tcPr>
                <w:p w14:paraId="6DC6D227">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4#给料机</w:t>
                  </w:r>
                </w:p>
              </w:tc>
              <w:tc>
                <w:tcPr>
                  <w:tcW w:w="180" w:type="pct"/>
                  <w:vMerge w:val="restart"/>
                  <w:tcBorders>
                    <w:tl2br w:val="nil"/>
                    <w:tr2bl w:val="nil"/>
                  </w:tcBorders>
                  <w:shd w:val="clear" w:color="auto" w:fill="auto"/>
                  <w:noWrap/>
                  <w:vAlign w:val="center"/>
                </w:tcPr>
                <w:p w14:paraId="0E43960F">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w:t>
                  </w:r>
                </w:p>
              </w:tc>
              <w:tc>
                <w:tcPr>
                  <w:tcW w:w="333" w:type="pct"/>
                  <w:vMerge w:val="restart"/>
                  <w:tcBorders>
                    <w:tl2br w:val="nil"/>
                    <w:tr2bl w:val="nil"/>
                  </w:tcBorders>
                  <w:shd w:val="clear" w:color="auto" w:fill="auto"/>
                  <w:noWrap/>
                  <w:vAlign w:val="center"/>
                </w:tcPr>
                <w:p w14:paraId="1E77DB44">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70</w:t>
                  </w:r>
                </w:p>
              </w:tc>
              <w:tc>
                <w:tcPr>
                  <w:tcW w:w="343" w:type="pct"/>
                  <w:vMerge w:val="continue"/>
                  <w:tcBorders>
                    <w:tl2br w:val="nil"/>
                    <w:tr2bl w:val="nil"/>
                  </w:tcBorders>
                  <w:shd w:val="clear" w:color="auto" w:fill="auto"/>
                  <w:noWrap/>
                  <w:vAlign w:val="center"/>
                </w:tcPr>
                <w:p w14:paraId="3C54CBDE">
                  <w:pPr>
                    <w:pStyle w:val="12"/>
                    <w:keepLines/>
                    <w:adjustRightInd w:val="0"/>
                    <w:snapToGrid w:val="0"/>
                    <w:spacing w:line="240" w:lineRule="auto"/>
                    <w:ind w:firstLine="0" w:firstLineChars="0"/>
                    <w:jc w:val="center"/>
                    <w:rPr>
                      <w:rFonts w:ascii="Times New Roman" w:hAnsi="Times New Roman"/>
                      <w:sz w:val="21"/>
                    </w:rPr>
                  </w:pPr>
                </w:p>
              </w:tc>
              <w:tc>
                <w:tcPr>
                  <w:tcW w:w="373" w:type="pct"/>
                  <w:vMerge w:val="restart"/>
                  <w:tcBorders>
                    <w:tl2br w:val="nil"/>
                    <w:tr2bl w:val="nil"/>
                  </w:tcBorders>
                  <w:shd w:val="clear" w:color="auto" w:fill="auto"/>
                  <w:noWrap/>
                  <w:vAlign w:val="center"/>
                </w:tcPr>
                <w:p w14:paraId="4B821995">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41.85</w:t>
                  </w:r>
                </w:p>
              </w:tc>
              <w:tc>
                <w:tcPr>
                  <w:tcW w:w="325" w:type="pct"/>
                  <w:vMerge w:val="restart"/>
                  <w:tcBorders>
                    <w:tl2br w:val="nil"/>
                    <w:tr2bl w:val="nil"/>
                  </w:tcBorders>
                  <w:shd w:val="clear" w:color="auto" w:fill="auto"/>
                  <w:noWrap/>
                  <w:vAlign w:val="center"/>
                </w:tcPr>
                <w:p w14:paraId="25F4CB69">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26.6</w:t>
                  </w:r>
                </w:p>
              </w:tc>
              <w:tc>
                <w:tcPr>
                  <w:tcW w:w="267" w:type="pct"/>
                  <w:vMerge w:val="restart"/>
                  <w:tcBorders>
                    <w:tl2br w:val="nil"/>
                    <w:tr2bl w:val="nil"/>
                  </w:tcBorders>
                  <w:shd w:val="clear" w:color="auto" w:fill="auto"/>
                  <w:noWrap/>
                  <w:vAlign w:val="center"/>
                </w:tcPr>
                <w:p w14:paraId="4EFC353F">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w:t>
                  </w:r>
                </w:p>
              </w:tc>
              <w:tc>
                <w:tcPr>
                  <w:tcW w:w="379" w:type="pct"/>
                  <w:tcBorders>
                    <w:tl2br w:val="nil"/>
                    <w:tr2bl w:val="nil"/>
                  </w:tcBorders>
                  <w:shd w:val="clear" w:color="auto" w:fill="auto"/>
                  <w:noWrap/>
                  <w:vAlign w:val="center"/>
                </w:tcPr>
                <w:p w14:paraId="6A58E598">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1.19</w:t>
                  </w:r>
                </w:p>
              </w:tc>
              <w:tc>
                <w:tcPr>
                  <w:tcW w:w="438" w:type="pct"/>
                  <w:tcBorders>
                    <w:tl2br w:val="nil"/>
                    <w:tr2bl w:val="nil"/>
                  </w:tcBorders>
                  <w:shd w:val="clear" w:color="auto" w:fill="auto"/>
                  <w:noWrap/>
                  <w:vAlign w:val="center"/>
                </w:tcPr>
                <w:p w14:paraId="2C554F8E">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66.20</w:t>
                  </w:r>
                </w:p>
              </w:tc>
              <w:tc>
                <w:tcPr>
                  <w:tcW w:w="311" w:type="pct"/>
                  <w:vMerge w:val="continue"/>
                  <w:tcBorders>
                    <w:tl2br w:val="nil"/>
                    <w:tr2bl w:val="nil"/>
                  </w:tcBorders>
                  <w:shd w:val="clear" w:color="auto" w:fill="auto"/>
                  <w:noWrap/>
                  <w:vAlign w:val="center"/>
                </w:tcPr>
                <w:p w14:paraId="61E8338A">
                  <w:pPr>
                    <w:pStyle w:val="12"/>
                    <w:keepLines/>
                    <w:adjustRightInd w:val="0"/>
                    <w:snapToGrid w:val="0"/>
                    <w:spacing w:line="240" w:lineRule="auto"/>
                    <w:ind w:firstLine="0" w:firstLineChars="0"/>
                    <w:jc w:val="center"/>
                    <w:rPr>
                      <w:rFonts w:ascii="Times New Roman" w:hAnsi="Times New Roman"/>
                      <w:kern w:val="0"/>
                      <w:sz w:val="21"/>
                    </w:rPr>
                  </w:pPr>
                </w:p>
              </w:tc>
              <w:tc>
                <w:tcPr>
                  <w:tcW w:w="400" w:type="pct"/>
                  <w:tcBorders>
                    <w:tl2br w:val="nil"/>
                    <w:tr2bl w:val="nil"/>
                  </w:tcBorders>
                  <w:shd w:val="clear" w:color="auto" w:fill="auto"/>
                  <w:noWrap/>
                  <w:vAlign w:val="center"/>
                </w:tcPr>
                <w:p w14:paraId="616E8BA7">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20</w:t>
                  </w:r>
                </w:p>
              </w:tc>
              <w:tc>
                <w:tcPr>
                  <w:tcW w:w="385" w:type="pct"/>
                  <w:tcBorders>
                    <w:tl2br w:val="nil"/>
                    <w:tr2bl w:val="nil"/>
                  </w:tcBorders>
                  <w:shd w:val="clear" w:color="auto" w:fill="auto"/>
                  <w:noWrap/>
                  <w:vAlign w:val="center"/>
                </w:tcPr>
                <w:p w14:paraId="0D8BD2A0">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40.20</w:t>
                  </w:r>
                </w:p>
              </w:tc>
              <w:tc>
                <w:tcPr>
                  <w:tcW w:w="404" w:type="pct"/>
                  <w:tcBorders>
                    <w:tl2br w:val="nil"/>
                    <w:tr2bl w:val="nil"/>
                  </w:tcBorders>
                  <w:shd w:val="clear" w:color="auto" w:fill="auto"/>
                  <w:noWrap/>
                  <w:vAlign w:val="center"/>
                </w:tcPr>
                <w:p w14:paraId="08DE19CE">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w:t>
                  </w:r>
                </w:p>
              </w:tc>
            </w:tr>
            <w:tr w14:paraId="56B37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79" w:type="pct"/>
                  <w:vMerge w:val="continue"/>
                  <w:tcBorders>
                    <w:tl2br w:val="nil"/>
                    <w:tr2bl w:val="nil"/>
                  </w:tcBorders>
                  <w:shd w:val="clear" w:color="auto" w:fill="auto"/>
                  <w:noWrap/>
                  <w:vAlign w:val="center"/>
                </w:tcPr>
                <w:p w14:paraId="38697857">
                  <w:pPr>
                    <w:pStyle w:val="12"/>
                    <w:keepLines/>
                    <w:adjustRightInd w:val="0"/>
                    <w:snapToGrid w:val="0"/>
                    <w:spacing w:line="240" w:lineRule="auto"/>
                    <w:ind w:firstLine="0" w:firstLineChars="0"/>
                    <w:jc w:val="center"/>
                    <w:rPr>
                      <w:rFonts w:ascii="Times New Roman" w:hAnsi="Times New Roman"/>
                      <w:kern w:val="0"/>
                      <w:sz w:val="21"/>
                    </w:rPr>
                  </w:pPr>
                </w:p>
              </w:tc>
              <w:tc>
                <w:tcPr>
                  <w:tcW w:w="339" w:type="pct"/>
                  <w:vMerge w:val="continue"/>
                  <w:tcBorders>
                    <w:tl2br w:val="nil"/>
                    <w:tr2bl w:val="nil"/>
                  </w:tcBorders>
                  <w:shd w:val="clear" w:color="auto" w:fill="auto"/>
                  <w:noWrap/>
                  <w:vAlign w:val="center"/>
                </w:tcPr>
                <w:p w14:paraId="1E4E8553">
                  <w:pPr>
                    <w:pStyle w:val="12"/>
                    <w:keepLines/>
                    <w:adjustRightInd w:val="0"/>
                    <w:snapToGrid w:val="0"/>
                    <w:spacing w:line="240" w:lineRule="auto"/>
                    <w:ind w:firstLine="0" w:firstLineChars="0"/>
                    <w:jc w:val="center"/>
                    <w:rPr>
                      <w:rFonts w:ascii="Times New Roman" w:hAnsi="Times New Roman"/>
                      <w:kern w:val="0"/>
                      <w:sz w:val="21"/>
                    </w:rPr>
                  </w:pPr>
                </w:p>
              </w:tc>
              <w:tc>
                <w:tcPr>
                  <w:tcW w:w="337" w:type="pct"/>
                  <w:vMerge w:val="continue"/>
                  <w:tcBorders>
                    <w:tl2br w:val="nil"/>
                    <w:tr2bl w:val="nil"/>
                  </w:tcBorders>
                  <w:shd w:val="clear" w:color="auto" w:fill="auto"/>
                  <w:noWrap/>
                  <w:vAlign w:val="center"/>
                </w:tcPr>
                <w:p w14:paraId="242FF0A0">
                  <w:pPr>
                    <w:pStyle w:val="12"/>
                    <w:keepLines/>
                    <w:adjustRightInd w:val="0"/>
                    <w:snapToGrid w:val="0"/>
                    <w:spacing w:line="240" w:lineRule="auto"/>
                    <w:ind w:firstLine="0" w:firstLineChars="0"/>
                    <w:jc w:val="center"/>
                    <w:rPr>
                      <w:rFonts w:ascii="Times New Roman" w:hAnsi="Times New Roman"/>
                      <w:kern w:val="0"/>
                      <w:sz w:val="21"/>
                    </w:rPr>
                  </w:pPr>
                </w:p>
              </w:tc>
              <w:tc>
                <w:tcPr>
                  <w:tcW w:w="180" w:type="pct"/>
                  <w:vMerge w:val="continue"/>
                  <w:tcBorders>
                    <w:tl2br w:val="nil"/>
                    <w:tr2bl w:val="nil"/>
                  </w:tcBorders>
                  <w:shd w:val="clear" w:color="auto" w:fill="auto"/>
                  <w:noWrap/>
                  <w:vAlign w:val="center"/>
                </w:tcPr>
                <w:p w14:paraId="73B019A5">
                  <w:pPr>
                    <w:pStyle w:val="12"/>
                    <w:keepLines/>
                    <w:adjustRightInd w:val="0"/>
                    <w:snapToGrid w:val="0"/>
                    <w:spacing w:line="240" w:lineRule="auto"/>
                    <w:ind w:firstLine="0" w:firstLineChars="0"/>
                    <w:jc w:val="center"/>
                    <w:rPr>
                      <w:rFonts w:ascii="Times New Roman" w:hAnsi="Times New Roman"/>
                      <w:kern w:val="0"/>
                      <w:sz w:val="21"/>
                    </w:rPr>
                  </w:pPr>
                </w:p>
              </w:tc>
              <w:tc>
                <w:tcPr>
                  <w:tcW w:w="333" w:type="pct"/>
                  <w:vMerge w:val="continue"/>
                  <w:tcBorders>
                    <w:tl2br w:val="nil"/>
                    <w:tr2bl w:val="nil"/>
                  </w:tcBorders>
                  <w:shd w:val="clear" w:color="auto" w:fill="auto"/>
                  <w:noWrap/>
                  <w:vAlign w:val="center"/>
                </w:tcPr>
                <w:p w14:paraId="2B41128F">
                  <w:pPr>
                    <w:pStyle w:val="12"/>
                    <w:keepLines/>
                    <w:adjustRightInd w:val="0"/>
                    <w:snapToGrid w:val="0"/>
                    <w:spacing w:line="240" w:lineRule="auto"/>
                    <w:ind w:firstLine="0" w:firstLineChars="0"/>
                    <w:jc w:val="center"/>
                    <w:rPr>
                      <w:rFonts w:ascii="Times New Roman" w:hAnsi="Times New Roman"/>
                      <w:kern w:val="0"/>
                      <w:sz w:val="21"/>
                    </w:rPr>
                  </w:pPr>
                </w:p>
              </w:tc>
              <w:tc>
                <w:tcPr>
                  <w:tcW w:w="343" w:type="pct"/>
                  <w:vMerge w:val="continue"/>
                  <w:tcBorders>
                    <w:tl2br w:val="nil"/>
                    <w:tr2bl w:val="nil"/>
                  </w:tcBorders>
                  <w:shd w:val="clear" w:color="auto" w:fill="auto"/>
                  <w:noWrap/>
                  <w:vAlign w:val="center"/>
                </w:tcPr>
                <w:p w14:paraId="11246846">
                  <w:pPr>
                    <w:pStyle w:val="12"/>
                    <w:keepLines/>
                    <w:adjustRightInd w:val="0"/>
                    <w:snapToGrid w:val="0"/>
                    <w:spacing w:line="240" w:lineRule="auto"/>
                    <w:ind w:firstLine="0" w:firstLineChars="0"/>
                    <w:jc w:val="center"/>
                    <w:rPr>
                      <w:rFonts w:ascii="Times New Roman" w:hAnsi="Times New Roman"/>
                      <w:sz w:val="21"/>
                    </w:rPr>
                  </w:pPr>
                </w:p>
              </w:tc>
              <w:tc>
                <w:tcPr>
                  <w:tcW w:w="373" w:type="pct"/>
                  <w:vMerge w:val="continue"/>
                  <w:tcBorders>
                    <w:tl2br w:val="nil"/>
                    <w:tr2bl w:val="nil"/>
                  </w:tcBorders>
                  <w:shd w:val="clear" w:color="auto" w:fill="auto"/>
                  <w:noWrap/>
                  <w:vAlign w:val="center"/>
                </w:tcPr>
                <w:p w14:paraId="4213B664">
                  <w:pPr>
                    <w:pStyle w:val="12"/>
                    <w:keepLines/>
                    <w:adjustRightInd w:val="0"/>
                    <w:snapToGrid w:val="0"/>
                    <w:spacing w:line="240" w:lineRule="auto"/>
                    <w:ind w:firstLine="0" w:firstLineChars="0"/>
                    <w:jc w:val="center"/>
                    <w:rPr>
                      <w:rFonts w:ascii="Times New Roman" w:hAnsi="Times New Roman"/>
                      <w:kern w:val="0"/>
                      <w:sz w:val="21"/>
                    </w:rPr>
                  </w:pPr>
                </w:p>
              </w:tc>
              <w:tc>
                <w:tcPr>
                  <w:tcW w:w="325" w:type="pct"/>
                  <w:vMerge w:val="continue"/>
                  <w:tcBorders>
                    <w:tl2br w:val="nil"/>
                    <w:tr2bl w:val="nil"/>
                  </w:tcBorders>
                  <w:shd w:val="clear" w:color="auto" w:fill="auto"/>
                  <w:noWrap/>
                  <w:vAlign w:val="center"/>
                </w:tcPr>
                <w:p w14:paraId="3DDDD8AD">
                  <w:pPr>
                    <w:pStyle w:val="12"/>
                    <w:keepLines/>
                    <w:adjustRightInd w:val="0"/>
                    <w:snapToGrid w:val="0"/>
                    <w:spacing w:line="240" w:lineRule="auto"/>
                    <w:ind w:firstLine="0" w:firstLineChars="0"/>
                    <w:jc w:val="center"/>
                    <w:rPr>
                      <w:rFonts w:ascii="Times New Roman" w:hAnsi="Times New Roman"/>
                      <w:kern w:val="0"/>
                      <w:sz w:val="21"/>
                    </w:rPr>
                  </w:pPr>
                </w:p>
              </w:tc>
              <w:tc>
                <w:tcPr>
                  <w:tcW w:w="267" w:type="pct"/>
                  <w:vMerge w:val="continue"/>
                  <w:tcBorders>
                    <w:tl2br w:val="nil"/>
                    <w:tr2bl w:val="nil"/>
                  </w:tcBorders>
                  <w:shd w:val="clear" w:color="auto" w:fill="auto"/>
                  <w:noWrap/>
                  <w:vAlign w:val="center"/>
                </w:tcPr>
                <w:p w14:paraId="516653B0">
                  <w:pPr>
                    <w:pStyle w:val="12"/>
                    <w:keepLines/>
                    <w:adjustRightInd w:val="0"/>
                    <w:snapToGrid w:val="0"/>
                    <w:spacing w:line="240" w:lineRule="auto"/>
                    <w:ind w:firstLine="0" w:firstLineChars="0"/>
                    <w:jc w:val="center"/>
                    <w:rPr>
                      <w:rFonts w:ascii="Times New Roman" w:hAnsi="Times New Roman"/>
                      <w:kern w:val="0"/>
                      <w:sz w:val="21"/>
                    </w:rPr>
                  </w:pPr>
                </w:p>
              </w:tc>
              <w:tc>
                <w:tcPr>
                  <w:tcW w:w="379" w:type="pct"/>
                  <w:tcBorders>
                    <w:tl2br w:val="nil"/>
                    <w:tr2bl w:val="nil"/>
                  </w:tcBorders>
                  <w:shd w:val="clear" w:color="auto" w:fill="auto"/>
                  <w:noWrap/>
                  <w:vAlign w:val="center"/>
                </w:tcPr>
                <w:p w14:paraId="0CBED2C7">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10.12</w:t>
                  </w:r>
                </w:p>
              </w:tc>
              <w:tc>
                <w:tcPr>
                  <w:tcW w:w="438" w:type="pct"/>
                  <w:tcBorders>
                    <w:tl2br w:val="nil"/>
                    <w:tr2bl w:val="nil"/>
                  </w:tcBorders>
                  <w:shd w:val="clear" w:color="auto" w:fill="auto"/>
                  <w:noWrap/>
                  <w:vAlign w:val="center"/>
                </w:tcPr>
                <w:p w14:paraId="3A9AC4CE">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65.58</w:t>
                  </w:r>
                </w:p>
              </w:tc>
              <w:tc>
                <w:tcPr>
                  <w:tcW w:w="311" w:type="pct"/>
                  <w:vMerge w:val="continue"/>
                  <w:tcBorders>
                    <w:tl2br w:val="nil"/>
                    <w:tr2bl w:val="nil"/>
                  </w:tcBorders>
                  <w:shd w:val="clear" w:color="auto" w:fill="auto"/>
                  <w:noWrap/>
                  <w:vAlign w:val="center"/>
                </w:tcPr>
                <w:p w14:paraId="1190C5F1">
                  <w:pPr>
                    <w:pStyle w:val="12"/>
                    <w:keepLines/>
                    <w:adjustRightInd w:val="0"/>
                    <w:snapToGrid w:val="0"/>
                    <w:spacing w:line="240" w:lineRule="auto"/>
                    <w:ind w:firstLine="0" w:firstLineChars="0"/>
                    <w:jc w:val="center"/>
                    <w:rPr>
                      <w:rFonts w:ascii="Times New Roman" w:hAnsi="Times New Roman"/>
                      <w:kern w:val="0"/>
                      <w:sz w:val="21"/>
                    </w:rPr>
                  </w:pPr>
                </w:p>
              </w:tc>
              <w:tc>
                <w:tcPr>
                  <w:tcW w:w="400" w:type="pct"/>
                  <w:tcBorders>
                    <w:tl2br w:val="nil"/>
                    <w:tr2bl w:val="nil"/>
                  </w:tcBorders>
                  <w:shd w:val="clear" w:color="auto" w:fill="auto"/>
                  <w:noWrap/>
                  <w:vAlign w:val="center"/>
                </w:tcPr>
                <w:p w14:paraId="79BB8450">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20</w:t>
                  </w:r>
                </w:p>
              </w:tc>
              <w:tc>
                <w:tcPr>
                  <w:tcW w:w="385" w:type="pct"/>
                  <w:tcBorders>
                    <w:tl2br w:val="nil"/>
                    <w:tr2bl w:val="nil"/>
                  </w:tcBorders>
                  <w:shd w:val="clear" w:color="auto" w:fill="auto"/>
                  <w:noWrap/>
                  <w:vAlign w:val="center"/>
                </w:tcPr>
                <w:p w14:paraId="4086ECE0">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39.58</w:t>
                  </w:r>
                </w:p>
              </w:tc>
              <w:tc>
                <w:tcPr>
                  <w:tcW w:w="404" w:type="pct"/>
                  <w:tcBorders>
                    <w:tl2br w:val="nil"/>
                    <w:tr2bl w:val="nil"/>
                  </w:tcBorders>
                  <w:shd w:val="clear" w:color="auto" w:fill="auto"/>
                  <w:noWrap/>
                  <w:vAlign w:val="center"/>
                </w:tcPr>
                <w:p w14:paraId="391E1D16">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w:t>
                  </w:r>
                </w:p>
              </w:tc>
            </w:tr>
            <w:tr w14:paraId="1E465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79" w:type="pct"/>
                  <w:vMerge w:val="continue"/>
                  <w:tcBorders>
                    <w:tl2br w:val="nil"/>
                    <w:tr2bl w:val="nil"/>
                  </w:tcBorders>
                  <w:shd w:val="clear" w:color="auto" w:fill="auto"/>
                  <w:noWrap/>
                  <w:vAlign w:val="center"/>
                </w:tcPr>
                <w:p w14:paraId="1B33A8EA">
                  <w:pPr>
                    <w:pStyle w:val="12"/>
                    <w:keepLines/>
                    <w:adjustRightInd w:val="0"/>
                    <w:snapToGrid w:val="0"/>
                    <w:spacing w:line="240" w:lineRule="auto"/>
                    <w:ind w:firstLine="0" w:firstLineChars="0"/>
                    <w:jc w:val="center"/>
                    <w:rPr>
                      <w:rFonts w:ascii="Times New Roman" w:hAnsi="Times New Roman"/>
                      <w:kern w:val="0"/>
                      <w:sz w:val="21"/>
                    </w:rPr>
                  </w:pPr>
                </w:p>
              </w:tc>
              <w:tc>
                <w:tcPr>
                  <w:tcW w:w="339" w:type="pct"/>
                  <w:vMerge w:val="continue"/>
                  <w:tcBorders>
                    <w:tl2br w:val="nil"/>
                    <w:tr2bl w:val="nil"/>
                  </w:tcBorders>
                  <w:shd w:val="clear" w:color="auto" w:fill="auto"/>
                  <w:noWrap/>
                  <w:vAlign w:val="center"/>
                </w:tcPr>
                <w:p w14:paraId="41F893DA">
                  <w:pPr>
                    <w:pStyle w:val="12"/>
                    <w:keepLines/>
                    <w:adjustRightInd w:val="0"/>
                    <w:snapToGrid w:val="0"/>
                    <w:spacing w:line="240" w:lineRule="auto"/>
                    <w:ind w:firstLine="0" w:firstLineChars="0"/>
                    <w:jc w:val="center"/>
                    <w:rPr>
                      <w:rFonts w:ascii="Times New Roman" w:hAnsi="Times New Roman"/>
                      <w:kern w:val="0"/>
                      <w:sz w:val="21"/>
                    </w:rPr>
                  </w:pPr>
                </w:p>
              </w:tc>
              <w:tc>
                <w:tcPr>
                  <w:tcW w:w="337" w:type="pct"/>
                  <w:vMerge w:val="continue"/>
                  <w:tcBorders>
                    <w:tl2br w:val="nil"/>
                    <w:tr2bl w:val="nil"/>
                  </w:tcBorders>
                  <w:shd w:val="clear" w:color="auto" w:fill="auto"/>
                  <w:noWrap/>
                  <w:vAlign w:val="center"/>
                </w:tcPr>
                <w:p w14:paraId="6C28C8DB">
                  <w:pPr>
                    <w:pStyle w:val="12"/>
                    <w:keepLines/>
                    <w:adjustRightInd w:val="0"/>
                    <w:snapToGrid w:val="0"/>
                    <w:spacing w:line="240" w:lineRule="auto"/>
                    <w:ind w:firstLine="0" w:firstLineChars="0"/>
                    <w:jc w:val="center"/>
                    <w:rPr>
                      <w:rFonts w:ascii="Times New Roman" w:hAnsi="Times New Roman"/>
                      <w:kern w:val="0"/>
                      <w:sz w:val="21"/>
                    </w:rPr>
                  </w:pPr>
                </w:p>
              </w:tc>
              <w:tc>
                <w:tcPr>
                  <w:tcW w:w="180" w:type="pct"/>
                  <w:vMerge w:val="continue"/>
                  <w:tcBorders>
                    <w:tl2br w:val="nil"/>
                    <w:tr2bl w:val="nil"/>
                  </w:tcBorders>
                  <w:shd w:val="clear" w:color="auto" w:fill="auto"/>
                  <w:noWrap/>
                  <w:vAlign w:val="center"/>
                </w:tcPr>
                <w:p w14:paraId="0E1DF7DC">
                  <w:pPr>
                    <w:pStyle w:val="12"/>
                    <w:keepLines/>
                    <w:adjustRightInd w:val="0"/>
                    <w:snapToGrid w:val="0"/>
                    <w:spacing w:line="240" w:lineRule="auto"/>
                    <w:ind w:firstLine="0" w:firstLineChars="0"/>
                    <w:jc w:val="center"/>
                    <w:rPr>
                      <w:rFonts w:ascii="Times New Roman" w:hAnsi="Times New Roman"/>
                      <w:kern w:val="0"/>
                      <w:sz w:val="21"/>
                    </w:rPr>
                  </w:pPr>
                </w:p>
              </w:tc>
              <w:tc>
                <w:tcPr>
                  <w:tcW w:w="333" w:type="pct"/>
                  <w:vMerge w:val="continue"/>
                  <w:tcBorders>
                    <w:tl2br w:val="nil"/>
                    <w:tr2bl w:val="nil"/>
                  </w:tcBorders>
                  <w:shd w:val="clear" w:color="auto" w:fill="auto"/>
                  <w:noWrap/>
                  <w:vAlign w:val="center"/>
                </w:tcPr>
                <w:p w14:paraId="1ADB6161">
                  <w:pPr>
                    <w:pStyle w:val="12"/>
                    <w:keepLines/>
                    <w:adjustRightInd w:val="0"/>
                    <w:snapToGrid w:val="0"/>
                    <w:spacing w:line="240" w:lineRule="auto"/>
                    <w:ind w:firstLine="0" w:firstLineChars="0"/>
                    <w:jc w:val="center"/>
                    <w:rPr>
                      <w:rFonts w:ascii="Times New Roman" w:hAnsi="Times New Roman"/>
                      <w:kern w:val="0"/>
                      <w:sz w:val="21"/>
                    </w:rPr>
                  </w:pPr>
                </w:p>
              </w:tc>
              <w:tc>
                <w:tcPr>
                  <w:tcW w:w="343" w:type="pct"/>
                  <w:vMerge w:val="continue"/>
                  <w:tcBorders>
                    <w:tl2br w:val="nil"/>
                    <w:tr2bl w:val="nil"/>
                  </w:tcBorders>
                  <w:shd w:val="clear" w:color="auto" w:fill="auto"/>
                  <w:noWrap/>
                  <w:vAlign w:val="center"/>
                </w:tcPr>
                <w:p w14:paraId="23BABBAB">
                  <w:pPr>
                    <w:pStyle w:val="12"/>
                    <w:keepLines/>
                    <w:adjustRightInd w:val="0"/>
                    <w:snapToGrid w:val="0"/>
                    <w:spacing w:line="240" w:lineRule="auto"/>
                    <w:ind w:firstLine="0" w:firstLineChars="0"/>
                    <w:jc w:val="center"/>
                    <w:rPr>
                      <w:rFonts w:ascii="Times New Roman" w:hAnsi="Times New Roman"/>
                      <w:sz w:val="21"/>
                    </w:rPr>
                  </w:pPr>
                </w:p>
              </w:tc>
              <w:tc>
                <w:tcPr>
                  <w:tcW w:w="373" w:type="pct"/>
                  <w:vMerge w:val="continue"/>
                  <w:tcBorders>
                    <w:tl2br w:val="nil"/>
                    <w:tr2bl w:val="nil"/>
                  </w:tcBorders>
                  <w:shd w:val="clear" w:color="auto" w:fill="auto"/>
                  <w:noWrap/>
                  <w:vAlign w:val="center"/>
                </w:tcPr>
                <w:p w14:paraId="14EFBE05">
                  <w:pPr>
                    <w:pStyle w:val="12"/>
                    <w:keepLines/>
                    <w:adjustRightInd w:val="0"/>
                    <w:snapToGrid w:val="0"/>
                    <w:spacing w:line="240" w:lineRule="auto"/>
                    <w:ind w:firstLine="0" w:firstLineChars="0"/>
                    <w:jc w:val="center"/>
                    <w:rPr>
                      <w:rFonts w:ascii="Times New Roman" w:hAnsi="Times New Roman"/>
                      <w:kern w:val="0"/>
                      <w:sz w:val="21"/>
                    </w:rPr>
                  </w:pPr>
                </w:p>
              </w:tc>
              <w:tc>
                <w:tcPr>
                  <w:tcW w:w="325" w:type="pct"/>
                  <w:vMerge w:val="continue"/>
                  <w:tcBorders>
                    <w:tl2br w:val="nil"/>
                    <w:tr2bl w:val="nil"/>
                  </w:tcBorders>
                  <w:shd w:val="clear" w:color="auto" w:fill="auto"/>
                  <w:noWrap/>
                  <w:vAlign w:val="center"/>
                </w:tcPr>
                <w:p w14:paraId="3B960852">
                  <w:pPr>
                    <w:pStyle w:val="12"/>
                    <w:keepLines/>
                    <w:adjustRightInd w:val="0"/>
                    <w:snapToGrid w:val="0"/>
                    <w:spacing w:line="240" w:lineRule="auto"/>
                    <w:ind w:firstLine="0" w:firstLineChars="0"/>
                    <w:jc w:val="center"/>
                    <w:rPr>
                      <w:rFonts w:ascii="Times New Roman" w:hAnsi="Times New Roman"/>
                      <w:kern w:val="0"/>
                      <w:sz w:val="21"/>
                    </w:rPr>
                  </w:pPr>
                </w:p>
              </w:tc>
              <w:tc>
                <w:tcPr>
                  <w:tcW w:w="267" w:type="pct"/>
                  <w:vMerge w:val="continue"/>
                  <w:tcBorders>
                    <w:tl2br w:val="nil"/>
                    <w:tr2bl w:val="nil"/>
                  </w:tcBorders>
                  <w:shd w:val="clear" w:color="auto" w:fill="auto"/>
                  <w:noWrap/>
                  <w:vAlign w:val="center"/>
                </w:tcPr>
                <w:p w14:paraId="338CBCC3">
                  <w:pPr>
                    <w:pStyle w:val="12"/>
                    <w:keepLines/>
                    <w:adjustRightInd w:val="0"/>
                    <w:snapToGrid w:val="0"/>
                    <w:spacing w:line="240" w:lineRule="auto"/>
                    <w:ind w:firstLine="0" w:firstLineChars="0"/>
                    <w:jc w:val="center"/>
                    <w:rPr>
                      <w:rFonts w:ascii="Times New Roman" w:hAnsi="Times New Roman"/>
                      <w:kern w:val="0"/>
                      <w:sz w:val="21"/>
                    </w:rPr>
                  </w:pPr>
                </w:p>
              </w:tc>
              <w:tc>
                <w:tcPr>
                  <w:tcW w:w="379" w:type="pct"/>
                  <w:tcBorders>
                    <w:tl2br w:val="nil"/>
                    <w:tr2bl w:val="nil"/>
                  </w:tcBorders>
                  <w:shd w:val="clear" w:color="auto" w:fill="auto"/>
                  <w:noWrap/>
                  <w:vAlign w:val="center"/>
                </w:tcPr>
                <w:p w14:paraId="787767E0">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4.58</w:t>
                  </w:r>
                </w:p>
              </w:tc>
              <w:tc>
                <w:tcPr>
                  <w:tcW w:w="438" w:type="pct"/>
                  <w:tcBorders>
                    <w:tl2br w:val="nil"/>
                    <w:tr2bl w:val="nil"/>
                  </w:tcBorders>
                  <w:shd w:val="clear" w:color="auto" w:fill="auto"/>
                  <w:noWrap/>
                  <w:vAlign w:val="center"/>
                </w:tcPr>
                <w:p w14:paraId="17791E8A">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65.61</w:t>
                  </w:r>
                </w:p>
              </w:tc>
              <w:tc>
                <w:tcPr>
                  <w:tcW w:w="311" w:type="pct"/>
                  <w:vMerge w:val="continue"/>
                  <w:tcBorders>
                    <w:tl2br w:val="nil"/>
                    <w:tr2bl w:val="nil"/>
                  </w:tcBorders>
                  <w:shd w:val="clear" w:color="auto" w:fill="auto"/>
                  <w:noWrap/>
                  <w:vAlign w:val="center"/>
                </w:tcPr>
                <w:p w14:paraId="30DB0E50">
                  <w:pPr>
                    <w:pStyle w:val="12"/>
                    <w:keepLines/>
                    <w:adjustRightInd w:val="0"/>
                    <w:snapToGrid w:val="0"/>
                    <w:spacing w:line="240" w:lineRule="auto"/>
                    <w:ind w:firstLine="0" w:firstLineChars="0"/>
                    <w:jc w:val="center"/>
                    <w:rPr>
                      <w:rFonts w:ascii="Times New Roman" w:hAnsi="Times New Roman"/>
                      <w:kern w:val="0"/>
                      <w:sz w:val="21"/>
                    </w:rPr>
                  </w:pPr>
                </w:p>
              </w:tc>
              <w:tc>
                <w:tcPr>
                  <w:tcW w:w="400" w:type="pct"/>
                  <w:tcBorders>
                    <w:tl2br w:val="nil"/>
                    <w:tr2bl w:val="nil"/>
                  </w:tcBorders>
                  <w:shd w:val="clear" w:color="auto" w:fill="auto"/>
                  <w:noWrap/>
                  <w:vAlign w:val="center"/>
                </w:tcPr>
                <w:p w14:paraId="1BFE7C28">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20</w:t>
                  </w:r>
                </w:p>
              </w:tc>
              <w:tc>
                <w:tcPr>
                  <w:tcW w:w="385" w:type="pct"/>
                  <w:tcBorders>
                    <w:tl2br w:val="nil"/>
                    <w:tr2bl w:val="nil"/>
                  </w:tcBorders>
                  <w:shd w:val="clear" w:color="auto" w:fill="auto"/>
                  <w:noWrap/>
                  <w:vAlign w:val="center"/>
                </w:tcPr>
                <w:p w14:paraId="0CAAFC1E">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39.61</w:t>
                  </w:r>
                </w:p>
              </w:tc>
              <w:tc>
                <w:tcPr>
                  <w:tcW w:w="404" w:type="pct"/>
                  <w:tcBorders>
                    <w:tl2br w:val="nil"/>
                    <w:tr2bl w:val="nil"/>
                  </w:tcBorders>
                  <w:shd w:val="clear" w:color="auto" w:fill="auto"/>
                  <w:noWrap/>
                  <w:vAlign w:val="center"/>
                </w:tcPr>
                <w:p w14:paraId="4E4D790E">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w:t>
                  </w:r>
                </w:p>
              </w:tc>
            </w:tr>
            <w:tr w14:paraId="53543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79" w:type="pct"/>
                  <w:vMerge w:val="continue"/>
                  <w:tcBorders>
                    <w:tl2br w:val="nil"/>
                    <w:tr2bl w:val="nil"/>
                  </w:tcBorders>
                  <w:shd w:val="clear" w:color="auto" w:fill="auto"/>
                  <w:noWrap/>
                  <w:vAlign w:val="center"/>
                </w:tcPr>
                <w:p w14:paraId="1A3990E3">
                  <w:pPr>
                    <w:pStyle w:val="12"/>
                    <w:keepLines/>
                    <w:adjustRightInd w:val="0"/>
                    <w:snapToGrid w:val="0"/>
                    <w:spacing w:line="240" w:lineRule="auto"/>
                    <w:ind w:firstLine="0" w:firstLineChars="0"/>
                    <w:jc w:val="center"/>
                    <w:rPr>
                      <w:rFonts w:ascii="Times New Roman" w:hAnsi="Times New Roman"/>
                      <w:kern w:val="0"/>
                      <w:sz w:val="21"/>
                    </w:rPr>
                  </w:pPr>
                </w:p>
              </w:tc>
              <w:tc>
                <w:tcPr>
                  <w:tcW w:w="339" w:type="pct"/>
                  <w:vMerge w:val="continue"/>
                  <w:tcBorders>
                    <w:tl2br w:val="nil"/>
                    <w:tr2bl w:val="nil"/>
                  </w:tcBorders>
                  <w:shd w:val="clear" w:color="auto" w:fill="auto"/>
                  <w:noWrap/>
                  <w:vAlign w:val="center"/>
                </w:tcPr>
                <w:p w14:paraId="200212CF">
                  <w:pPr>
                    <w:pStyle w:val="12"/>
                    <w:keepLines/>
                    <w:adjustRightInd w:val="0"/>
                    <w:snapToGrid w:val="0"/>
                    <w:spacing w:line="240" w:lineRule="auto"/>
                    <w:ind w:firstLine="0" w:firstLineChars="0"/>
                    <w:jc w:val="center"/>
                    <w:rPr>
                      <w:rFonts w:ascii="Times New Roman" w:hAnsi="Times New Roman"/>
                      <w:kern w:val="0"/>
                      <w:sz w:val="21"/>
                    </w:rPr>
                  </w:pPr>
                </w:p>
              </w:tc>
              <w:tc>
                <w:tcPr>
                  <w:tcW w:w="337" w:type="pct"/>
                  <w:vMerge w:val="continue"/>
                  <w:tcBorders>
                    <w:tl2br w:val="nil"/>
                    <w:tr2bl w:val="nil"/>
                  </w:tcBorders>
                  <w:shd w:val="clear" w:color="auto" w:fill="auto"/>
                  <w:noWrap/>
                  <w:vAlign w:val="center"/>
                </w:tcPr>
                <w:p w14:paraId="71195F1C">
                  <w:pPr>
                    <w:pStyle w:val="12"/>
                    <w:keepLines/>
                    <w:adjustRightInd w:val="0"/>
                    <w:snapToGrid w:val="0"/>
                    <w:spacing w:line="240" w:lineRule="auto"/>
                    <w:ind w:firstLine="0" w:firstLineChars="0"/>
                    <w:jc w:val="center"/>
                    <w:rPr>
                      <w:rFonts w:ascii="Times New Roman" w:hAnsi="Times New Roman"/>
                      <w:kern w:val="0"/>
                      <w:sz w:val="21"/>
                    </w:rPr>
                  </w:pPr>
                </w:p>
              </w:tc>
              <w:tc>
                <w:tcPr>
                  <w:tcW w:w="180" w:type="pct"/>
                  <w:vMerge w:val="continue"/>
                  <w:tcBorders>
                    <w:tl2br w:val="nil"/>
                    <w:tr2bl w:val="nil"/>
                  </w:tcBorders>
                  <w:shd w:val="clear" w:color="auto" w:fill="auto"/>
                  <w:noWrap/>
                  <w:vAlign w:val="center"/>
                </w:tcPr>
                <w:p w14:paraId="049841A4">
                  <w:pPr>
                    <w:pStyle w:val="12"/>
                    <w:keepLines/>
                    <w:adjustRightInd w:val="0"/>
                    <w:snapToGrid w:val="0"/>
                    <w:spacing w:line="240" w:lineRule="auto"/>
                    <w:ind w:firstLine="0" w:firstLineChars="0"/>
                    <w:jc w:val="center"/>
                    <w:rPr>
                      <w:rFonts w:ascii="Times New Roman" w:hAnsi="Times New Roman"/>
                      <w:kern w:val="0"/>
                      <w:sz w:val="21"/>
                    </w:rPr>
                  </w:pPr>
                </w:p>
              </w:tc>
              <w:tc>
                <w:tcPr>
                  <w:tcW w:w="333" w:type="pct"/>
                  <w:vMerge w:val="continue"/>
                  <w:tcBorders>
                    <w:tl2br w:val="nil"/>
                    <w:tr2bl w:val="nil"/>
                  </w:tcBorders>
                  <w:shd w:val="clear" w:color="auto" w:fill="auto"/>
                  <w:noWrap/>
                  <w:vAlign w:val="center"/>
                </w:tcPr>
                <w:p w14:paraId="2F1A550E">
                  <w:pPr>
                    <w:pStyle w:val="12"/>
                    <w:keepLines/>
                    <w:adjustRightInd w:val="0"/>
                    <w:snapToGrid w:val="0"/>
                    <w:spacing w:line="240" w:lineRule="auto"/>
                    <w:ind w:firstLine="0" w:firstLineChars="0"/>
                    <w:jc w:val="center"/>
                    <w:rPr>
                      <w:rFonts w:ascii="Times New Roman" w:hAnsi="Times New Roman"/>
                      <w:kern w:val="0"/>
                      <w:sz w:val="21"/>
                    </w:rPr>
                  </w:pPr>
                </w:p>
              </w:tc>
              <w:tc>
                <w:tcPr>
                  <w:tcW w:w="343" w:type="pct"/>
                  <w:vMerge w:val="continue"/>
                  <w:tcBorders>
                    <w:tl2br w:val="nil"/>
                    <w:tr2bl w:val="nil"/>
                  </w:tcBorders>
                  <w:shd w:val="clear" w:color="auto" w:fill="auto"/>
                  <w:noWrap/>
                  <w:vAlign w:val="center"/>
                </w:tcPr>
                <w:p w14:paraId="7A8A868B">
                  <w:pPr>
                    <w:pStyle w:val="12"/>
                    <w:keepLines/>
                    <w:adjustRightInd w:val="0"/>
                    <w:snapToGrid w:val="0"/>
                    <w:spacing w:line="240" w:lineRule="auto"/>
                    <w:ind w:firstLine="0" w:firstLineChars="0"/>
                    <w:jc w:val="center"/>
                    <w:rPr>
                      <w:rFonts w:ascii="Times New Roman" w:hAnsi="Times New Roman"/>
                      <w:sz w:val="21"/>
                    </w:rPr>
                  </w:pPr>
                </w:p>
              </w:tc>
              <w:tc>
                <w:tcPr>
                  <w:tcW w:w="373" w:type="pct"/>
                  <w:vMerge w:val="continue"/>
                  <w:tcBorders>
                    <w:tl2br w:val="nil"/>
                    <w:tr2bl w:val="nil"/>
                  </w:tcBorders>
                  <w:shd w:val="clear" w:color="auto" w:fill="auto"/>
                  <w:noWrap/>
                  <w:vAlign w:val="center"/>
                </w:tcPr>
                <w:p w14:paraId="385197E9">
                  <w:pPr>
                    <w:pStyle w:val="12"/>
                    <w:keepLines/>
                    <w:adjustRightInd w:val="0"/>
                    <w:snapToGrid w:val="0"/>
                    <w:spacing w:line="240" w:lineRule="auto"/>
                    <w:ind w:firstLine="0" w:firstLineChars="0"/>
                    <w:jc w:val="center"/>
                    <w:rPr>
                      <w:rFonts w:ascii="Times New Roman" w:hAnsi="Times New Roman"/>
                      <w:kern w:val="0"/>
                      <w:sz w:val="21"/>
                    </w:rPr>
                  </w:pPr>
                </w:p>
              </w:tc>
              <w:tc>
                <w:tcPr>
                  <w:tcW w:w="325" w:type="pct"/>
                  <w:vMerge w:val="continue"/>
                  <w:tcBorders>
                    <w:tl2br w:val="nil"/>
                    <w:tr2bl w:val="nil"/>
                  </w:tcBorders>
                  <w:shd w:val="clear" w:color="auto" w:fill="auto"/>
                  <w:noWrap/>
                  <w:vAlign w:val="center"/>
                </w:tcPr>
                <w:p w14:paraId="22B48B71">
                  <w:pPr>
                    <w:pStyle w:val="12"/>
                    <w:keepLines/>
                    <w:adjustRightInd w:val="0"/>
                    <w:snapToGrid w:val="0"/>
                    <w:spacing w:line="240" w:lineRule="auto"/>
                    <w:ind w:firstLine="0" w:firstLineChars="0"/>
                    <w:jc w:val="center"/>
                    <w:rPr>
                      <w:rFonts w:ascii="Times New Roman" w:hAnsi="Times New Roman"/>
                      <w:kern w:val="0"/>
                      <w:sz w:val="21"/>
                    </w:rPr>
                  </w:pPr>
                </w:p>
              </w:tc>
              <w:tc>
                <w:tcPr>
                  <w:tcW w:w="267" w:type="pct"/>
                  <w:vMerge w:val="continue"/>
                  <w:tcBorders>
                    <w:tl2br w:val="nil"/>
                    <w:tr2bl w:val="nil"/>
                  </w:tcBorders>
                  <w:shd w:val="clear" w:color="auto" w:fill="auto"/>
                  <w:noWrap/>
                  <w:vAlign w:val="center"/>
                </w:tcPr>
                <w:p w14:paraId="45BD9981">
                  <w:pPr>
                    <w:pStyle w:val="12"/>
                    <w:keepLines/>
                    <w:adjustRightInd w:val="0"/>
                    <w:snapToGrid w:val="0"/>
                    <w:spacing w:line="240" w:lineRule="auto"/>
                    <w:ind w:firstLine="0" w:firstLineChars="0"/>
                    <w:jc w:val="center"/>
                    <w:rPr>
                      <w:rFonts w:ascii="Times New Roman" w:hAnsi="Times New Roman"/>
                      <w:kern w:val="0"/>
                      <w:sz w:val="21"/>
                    </w:rPr>
                  </w:pPr>
                </w:p>
              </w:tc>
              <w:tc>
                <w:tcPr>
                  <w:tcW w:w="379" w:type="pct"/>
                  <w:tcBorders>
                    <w:tl2br w:val="nil"/>
                    <w:tr2bl w:val="nil"/>
                  </w:tcBorders>
                  <w:shd w:val="clear" w:color="auto" w:fill="auto"/>
                  <w:noWrap/>
                  <w:vAlign w:val="center"/>
                </w:tcPr>
                <w:p w14:paraId="468E3B66">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21.88</w:t>
                  </w:r>
                </w:p>
              </w:tc>
              <w:tc>
                <w:tcPr>
                  <w:tcW w:w="438" w:type="pct"/>
                  <w:tcBorders>
                    <w:tl2br w:val="nil"/>
                    <w:tr2bl w:val="nil"/>
                  </w:tcBorders>
                  <w:shd w:val="clear" w:color="auto" w:fill="auto"/>
                  <w:noWrap/>
                  <w:vAlign w:val="center"/>
                </w:tcPr>
                <w:p w14:paraId="6421365E">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65.57</w:t>
                  </w:r>
                </w:p>
              </w:tc>
              <w:tc>
                <w:tcPr>
                  <w:tcW w:w="311" w:type="pct"/>
                  <w:vMerge w:val="continue"/>
                  <w:tcBorders>
                    <w:tl2br w:val="nil"/>
                    <w:tr2bl w:val="nil"/>
                  </w:tcBorders>
                  <w:shd w:val="clear" w:color="auto" w:fill="auto"/>
                  <w:noWrap/>
                  <w:vAlign w:val="center"/>
                </w:tcPr>
                <w:p w14:paraId="47054665">
                  <w:pPr>
                    <w:pStyle w:val="12"/>
                    <w:keepLines/>
                    <w:adjustRightInd w:val="0"/>
                    <w:snapToGrid w:val="0"/>
                    <w:spacing w:line="240" w:lineRule="auto"/>
                    <w:ind w:firstLine="0" w:firstLineChars="0"/>
                    <w:jc w:val="center"/>
                    <w:rPr>
                      <w:rFonts w:ascii="Times New Roman" w:hAnsi="Times New Roman"/>
                      <w:kern w:val="0"/>
                      <w:sz w:val="21"/>
                    </w:rPr>
                  </w:pPr>
                </w:p>
              </w:tc>
              <w:tc>
                <w:tcPr>
                  <w:tcW w:w="400" w:type="pct"/>
                  <w:tcBorders>
                    <w:tl2br w:val="nil"/>
                    <w:tr2bl w:val="nil"/>
                  </w:tcBorders>
                  <w:shd w:val="clear" w:color="auto" w:fill="auto"/>
                  <w:noWrap/>
                  <w:vAlign w:val="center"/>
                </w:tcPr>
                <w:p w14:paraId="6B7FC1EE">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20</w:t>
                  </w:r>
                </w:p>
              </w:tc>
              <w:tc>
                <w:tcPr>
                  <w:tcW w:w="385" w:type="pct"/>
                  <w:tcBorders>
                    <w:tl2br w:val="nil"/>
                    <w:tr2bl w:val="nil"/>
                  </w:tcBorders>
                  <w:shd w:val="clear" w:color="auto" w:fill="auto"/>
                  <w:noWrap/>
                  <w:vAlign w:val="center"/>
                </w:tcPr>
                <w:p w14:paraId="1C5B3357">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39.57</w:t>
                  </w:r>
                </w:p>
              </w:tc>
              <w:tc>
                <w:tcPr>
                  <w:tcW w:w="404" w:type="pct"/>
                  <w:tcBorders>
                    <w:tl2br w:val="nil"/>
                    <w:tr2bl w:val="nil"/>
                  </w:tcBorders>
                  <w:shd w:val="clear" w:color="auto" w:fill="auto"/>
                  <w:noWrap/>
                  <w:vAlign w:val="center"/>
                </w:tcPr>
                <w:p w14:paraId="788D3B78">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w:t>
                  </w:r>
                </w:p>
              </w:tc>
            </w:tr>
            <w:tr w14:paraId="31D16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79" w:type="pct"/>
                  <w:vMerge w:val="continue"/>
                  <w:tcBorders>
                    <w:tl2br w:val="nil"/>
                    <w:tr2bl w:val="nil"/>
                  </w:tcBorders>
                  <w:shd w:val="clear" w:color="auto" w:fill="auto"/>
                  <w:noWrap/>
                  <w:vAlign w:val="center"/>
                </w:tcPr>
                <w:p w14:paraId="0C1EAABC">
                  <w:pPr>
                    <w:pStyle w:val="12"/>
                    <w:keepLines/>
                    <w:adjustRightInd w:val="0"/>
                    <w:snapToGrid w:val="0"/>
                    <w:spacing w:line="240" w:lineRule="auto"/>
                    <w:ind w:firstLine="0" w:firstLineChars="0"/>
                    <w:jc w:val="center"/>
                    <w:rPr>
                      <w:rFonts w:ascii="Times New Roman" w:hAnsi="Times New Roman"/>
                      <w:kern w:val="0"/>
                      <w:sz w:val="21"/>
                    </w:rPr>
                  </w:pPr>
                </w:p>
              </w:tc>
              <w:tc>
                <w:tcPr>
                  <w:tcW w:w="339" w:type="pct"/>
                  <w:vMerge w:val="continue"/>
                  <w:tcBorders>
                    <w:tl2br w:val="nil"/>
                    <w:tr2bl w:val="nil"/>
                  </w:tcBorders>
                  <w:shd w:val="clear" w:color="auto" w:fill="auto"/>
                  <w:noWrap/>
                  <w:vAlign w:val="center"/>
                </w:tcPr>
                <w:p w14:paraId="707F6A5F">
                  <w:pPr>
                    <w:pStyle w:val="12"/>
                    <w:keepLines/>
                    <w:adjustRightInd w:val="0"/>
                    <w:snapToGrid w:val="0"/>
                    <w:spacing w:line="240" w:lineRule="auto"/>
                    <w:ind w:firstLine="0" w:firstLineChars="0"/>
                    <w:jc w:val="center"/>
                    <w:rPr>
                      <w:rFonts w:ascii="Times New Roman" w:hAnsi="Times New Roman"/>
                      <w:kern w:val="0"/>
                      <w:sz w:val="21"/>
                    </w:rPr>
                  </w:pPr>
                </w:p>
              </w:tc>
              <w:tc>
                <w:tcPr>
                  <w:tcW w:w="337" w:type="pct"/>
                  <w:vMerge w:val="continue"/>
                  <w:tcBorders>
                    <w:tl2br w:val="nil"/>
                    <w:tr2bl w:val="nil"/>
                  </w:tcBorders>
                  <w:shd w:val="clear" w:color="auto" w:fill="auto"/>
                  <w:noWrap/>
                  <w:vAlign w:val="center"/>
                </w:tcPr>
                <w:p w14:paraId="5605C4FB">
                  <w:pPr>
                    <w:pStyle w:val="12"/>
                    <w:keepLines/>
                    <w:adjustRightInd w:val="0"/>
                    <w:snapToGrid w:val="0"/>
                    <w:spacing w:line="240" w:lineRule="auto"/>
                    <w:ind w:firstLine="0" w:firstLineChars="0"/>
                    <w:jc w:val="center"/>
                    <w:rPr>
                      <w:rFonts w:ascii="Times New Roman" w:hAnsi="Times New Roman"/>
                      <w:kern w:val="0"/>
                      <w:sz w:val="21"/>
                    </w:rPr>
                  </w:pPr>
                </w:p>
              </w:tc>
              <w:tc>
                <w:tcPr>
                  <w:tcW w:w="180" w:type="pct"/>
                  <w:vMerge w:val="continue"/>
                  <w:tcBorders>
                    <w:tl2br w:val="nil"/>
                    <w:tr2bl w:val="nil"/>
                  </w:tcBorders>
                  <w:shd w:val="clear" w:color="auto" w:fill="auto"/>
                  <w:noWrap/>
                  <w:vAlign w:val="center"/>
                </w:tcPr>
                <w:p w14:paraId="3519B4BB">
                  <w:pPr>
                    <w:pStyle w:val="12"/>
                    <w:keepLines/>
                    <w:adjustRightInd w:val="0"/>
                    <w:snapToGrid w:val="0"/>
                    <w:spacing w:line="240" w:lineRule="auto"/>
                    <w:ind w:firstLine="0" w:firstLineChars="0"/>
                    <w:jc w:val="center"/>
                    <w:rPr>
                      <w:rFonts w:ascii="Times New Roman" w:hAnsi="Times New Roman"/>
                      <w:kern w:val="0"/>
                      <w:sz w:val="21"/>
                    </w:rPr>
                  </w:pPr>
                </w:p>
              </w:tc>
              <w:tc>
                <w:tcPr>
                  <w:tcW w:w="333" w:type="pct"/>
                  <w:vMerge w:val="continue"/>
                  <w:tcBorders>
                    <w:tl2br w:val="nil"/>
                    <w:tr2bl w:val="nil"/>
                  </w:tcBorders>
                  <w:shd w:val="clear" w:color="auto" w:fill="auto"/>
                  <w:noWrap/>
                  <w:vAlign w:val="center"/>
                </w:tcPr>
                <w:p w14:paraId="1BF566FA">
                  <w:pPr>
                    <w:pStyle w:val="12"/>
                    <w:keepLines/>
                    <w:adjustRightInd w:val="0"/>
                    <w:snapToGrid w:val="0"/>
                    <w:spacing w:line="240" w:lineRule="auto"/>
                    <w:ind w:firstLine="0" w:firstLineChars="0"/>
                    <w:jc w:val="center"/>
                    <w:rPr>
                      <w:rFonts w:ascii="Times New Roman" w:hAnsi="Times New Roman"/>
                      <w:kern w:val="0"/>
                      <w:sz w:val="21"/>
                    </w:rPr>
                  </w:pPr>
                </w:p>
              </w:tc>
              <w:tc>
                <w:tcPr>
                  <w:tcW w:w="343" w:type="pct"/>
                  <w:vMerge w:val="continue"/>
                  <w:tcBorders>
                    <w:tl2br w:val="nil"/>
                    <w:tr2bl w:val="nil"/>
                  </w:tcBorders>
                  <w:shd w:val="clear" w:color="auto" w:fill="auto"/>
                  <w:noWrap/>
                  <w:vAlign w:val="center"/>
                </w:tcPr>
                <w:p w14:paraId="22293828">
                  <w:pPr>
                    <w:pStyle w:val="12"/>
                    <w:keepLines/>
                    <w:adjustRightInd w:val="0"/>
                    <w:snapToGrid w:val="0"/>
                    <w:spacing w:line="240" w:lineRule="auto"/>
                    <w:ind w:firstLine="0" w:firstLineChars="0"/>
                    <w:jc w:val="center"/>
                    <w:rPr>
                      <w:rFonts w:ascii="Times New Roman" w:hAnsi="Times New Roman"/>
                      <w:sz w:val="21"/>
                    </w:rPr>
                  </w:pPr>
                </w:p>
              </w:tc>
              <w:tc>
                <w:tcPr>
                  <w:tcW w:w="373" w:type="pct"/>
                  <w:vMerge w:val="continue"/>
                  <w:tcBorders>
                    <w:tl2br w:val="nil"/>
                    <w:tr2bl w:val="nil"/>
                  </w:tcBorders>
                  <w:shd w:val="clear" w:color="auto" w:fill="auto"/>
                  <w:noWrap/>
                  <w:vAlign w:val="center"/>
                </w:tcPr>
                <w:p w14:paraId="0043F546">
                  <w:pPr>
                    <w:pStyle w:val="12"/>
                    <w:keepLines/>
                    <w:adjustRightInd w:val="0"/>
                    <w:snapToGrid w:val="0"/>
                    <w:spacing w:line="240" w:lineRule="auto"/>
                    <w:ind w:firstLine="0" w:firstLineChars="0"/>
                    <w:jc w:val="center"/>
                    <w:rPr>
                      <w:rFonts w:ascii="Times New Roman" w:hAnsi="Times New Roman"/>
                      <w:kern w:val="0"/>
                      <w:sz w:val="21"/>
                    </w:rPr>
                  </w:pPr>
                </w:p>
              </w:tc>
              <w:tc>
                <w:tcPr>
                  <w:tcW w:w="325" w:type="pct"/>
                  <w:vMerge w:val="continue"/>
                  <w:tcBorders>
                    <w:tl2br w:val="nil"/>
                    <w:tr2bl w:val="nil"/>
                  </w:tcBorders>
                  <w:shd w:val="clear" w:color="auto" w:fill="auto"/>
                  <w:noWrap/>
                  <w:vAlign w:val="center"/>
                </w:tcPr>
                <w:p w14:paraId="238F85BF">
                  <w:pPr>
                    <w:pStyle w:val="12"/>
                    <w:keepLines/>
                    <w:adjustRightInd w:val="0"/>
                    <w:snapToGrid w:val="0"/>
                    <w:spacing w:line="240" w:lineRule="auto"/>
                    <w:ind w:firstLine="0" w:firstLineChars="0"/>
                    <w:jc w:val="center"/>
                    <w:rPr>
                      <w:rFonts w:ascii="Times New Roman" w:hAnsi="Times New Roman"/>
                      <w:kern w:val="0"/>
                      <w:sz w:val="21"/>
                    </w:rPr>
                  </w:pPr>
                </w:p>
              </w:tc>
              <w:tc>
                <w:tcPr>
                  <w:tcW w:w="267" w:type="pct"/>
                  <w:vMerge w:val="continue"/>
                  <w:tcBorders>
                    <w:tl2br w:val="nil"/>
                    <w:tr2bl w:val="nil"/>
                  </w:tcBorders>
                  <w:shd w:val="clear" w:color="auto" w:fill="auto"/>
                  <w:noWrap/>
                  <w:vAlign w:val="center"/>
                </w:tcPr>
                <w:p w14:paraId="530EC652">
                  <w:pPr>
                    <w:pStyle w:val="12"/>
                    <w:keepLines/>
                    <w:adjustRightInd w:val="0"/>
                    <w:snapToGrid w:val="0"/>
                    <w:spacing w:line="240" w:lineRule="auto"/>
                    <w:ind w:firstLine="0" w:firstLineChars="0"/>
                    <w:jc w:val="center"/>
                    <w:rPr>
                      <w:rFonts w:ascii="Times New Roman" w:hAnsi="Times New Roman"/>
                      <w:kern w:val="0"/>
                      <w:sz w:val="21"/>
                    </w:rPr>
                  </w:pPr>
                </w:p>
              </w:tc>
              <w:tc>
                <w:tcPr>
                  <w:tcW w:w="379" w:type="pct"/>
                  <w:tcBorders>
                    <w:tl2br w:val="nil"/>
                    <w:tr2bl w:val="nil"/>
                  </w:tcBorders>
                  <w:shd w:val="clear" w:color="auto" w:fill="auto"/>
                  <w:noWrap/>
                  <w:vAlign w:val="center"/>
                </w:tcPr>
                <w:p w14:paraId="45E5AD3B">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3.97</w:t>
                  </w:r>
                </w:p>
              </w:tc>
              <w:tc>
                <w:tcPr>
                  <w:tcW w:w="438" w:type="pct"/>
                  <w:tcBorders>
                    <w:tl2br w:val="nil"/>
                    <w:tr2bl w:val="nil"/>
                  </w:tcBorders>
                  <w:shd w:val="clear" w:color="auto" w:fill="auto"/>
                  <w:noWrap/>
                  <w:vAlign w:val="center"/>
                </w:tcPr>
                <w:p w14:paraId="48F6D4E8">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65.63</w:t>
                  </w:r>
                </w:p>
              </w:tc>
              <w:tc>
                <w:tcPr>
                  <w:tcW w:w="311" w:type="pct"/>
                  <w:vMerge w:val="continue"/>
                  <w:tcBorders>
                    <w:tl2br w:val="nil"/>
                    <w:tr2bl w:val="nil"/>
                  </w:tcBorders>
                  <w:shd w:val="clear" w:color="auto" w:fill="auto"/>
                  <w:noWrap/>
                  <w:vAlign w:val="center"/>
                </w:tcPr>
                <w:p w14:paraId="1470F10B">
                  <w:pPr>
                    <w:pStyle w:val="12"/>
                    <w:keepLines/>
                    <w:adjustRightInd w:val="0"/>
                    <w:snapToGrid w:val="0"/>
                    <w:spacing w:line="240" w:lineRule="auto"/>
                    <w:ind w:firstLine="0" w:firstLineChars="0"/>
                    <w:jc w:val="center"/>
                    <w:rPr>
                      <w:rFonts w:ascii="Times New Roman" w:hAnsi="Times New Roman"/>
                      <w:kern w:val="0"/>
                      <w:sz w:val="21"/>
                    </w:rPr>
                  </w:pPr>
                </w:p>
              </w:tc>
              <w:tc>
                <w:tcPr>
                  <w:tcW w:w="400" w:type="pct"/>
                  <w:tcBorders>
                    <w:tl2br w:val="nil"/>
                    <w:tr2bl w:val="nil"/>
                  </w:tcBorders>
                  <w:shd w:val="clear" w:color="auto" w:fill="auto"/>
                  <w:noWrap/>
                  <w:vAlign w:val="center"/>
                </w:tcPr>
                <w:p w14:paraId="7073191D">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20</w:t>
                  </w:r>
                </w:p>
              </w:tc>
              <w:tc>
                <w:tcPr>
                  <w:tcW w:w="385" w:type="pct"/>
                  <w:tcBorders>
                    <w:tl2br w:val="nil"/>
                    <w:tr2bl w:val="nil"/>
                  </w:tcBorders>
                  <w:shd w:val="clear" w:color="auto" w:fill="auto"/>
                  <w:noWrap/>
                  <w:vAlign w:val="center"/>
                </w:tcPr>
                <w:p w14:paraId="759F69A2">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39.63</w:t>
                  </w:r>
                </w:p>
              </w:tc>
              <w:tc>
                <w:tcPr>
                  <w:tcW w:w="404" w:type="pct"/>
                  <w:tcBorders>
                    <w:tl2br w:val="nil"/>
                    <w:tr2bl w:val="nil"/>
                  </w:tcBorders>
                  <w:shd w:val="clear" w:color="auto" w:fill="auto"/>
                  <w:noWrap/>
                  <w:vAlign w:val="center"/>
                </w:tcPr>
                <w:p w14:paraId="4988864B">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w:t>
                  </w:r>
                </w:p>
              </w:tc>
            </w:tr>
            <w:tr w14:paraId="57C0F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79" w:type="pct"/>
                  <w:vMerge w:val="continue"/>
                  <w:tcBorders>
                    <w:tl2br w:val="nil"/>
                    <w:tr2bl w:val="nil"/>
                  </w:tcBorders>
                  <w:shd w:val="clear" w:color="auto" w:fill="auto"/>
                  <w:noWrap/>
                  <w:vAlign w:val="center"/>
                </w:tcPr>
                <w:p w14:paraId="7E60AA7E">
                  <w:pPr>
                    <w:pStyle w:val="12"/>
                    <w:keepLines/>
                    <w:adjustRightInd w:val="0"/>
                    <w:snapToGrid w:val="0"/>
                    <w:spacing w:line="240" w:lineRule="auto"/>
                    <w:ind w:firstLine="0" w:firstLineChars="0"/>
                    <w:jc w:val="center"/>
                    <w:rPr>
                      <w:rFonts w:ascii="Times New Roman" w:hAnsi="Times New Roman"/>
                      <w:kern w:val="0"/>
                      <w:sz w:val="21"/>
                    </w:rPr>
                  </w:pPr>
                </w:p>
              </w:tc>
              <w:tc>
                <w:tcPr>
                  <w:tcW w:w="339" w:type="pct"/>
                  <w:vMerge w:val="continue"/>
                  <w:tcBorders>
                    <w:tl2br w:val="nil"/>
                    <w:tr2bl w:val="nil"/>
                  </w:tcBorders>
                  <w:shd w:val="clear" w:color="auto" w:fill="auto"/>
                  <w:noWrap/>
                  <w:vAlign w:val="center"/>
                </w:tcPr>
                <w:p w14:paraId="6CEC3CEC">
                  <w:pPr>
                    <w:pStyle w:val="12"/>
                    <w:keepLines/>
                    <w:adjustRightInd w:val="0"/>
                    <w:snapToGrid w:val="0"/>
                    <w:spacing w:line="240" w:lineRule="auto"/>
                    <w:ind w:firstLine="0" w:firstLineChars="0"/>
                    <w:jc w:val="center"/>
                    <w:rPr>
                      <w:rFonts w:ascii="Times New Roman" w:hAnsi="Times New Roman"/>
                      <w:kern w:val="0"/>
                      <w:sz w:val="21"/>
                    </w:rPr>
                  </w:pPr>
                </w:p>
              </w:tc>
              <w:tc>
                <w:tcPr>
                  <w:tcW w:w="337" w:type="pct"/>
                  <w:vMerge w:val="continue"/>
                  <w:tcBorders>
                    <w:tl2br w:val="nil"/>
                    <w:tr2bl w:val="nil"/>
                  </w:tcBorders>
                  <w:shd w:val="clear" w:color="auto" w:fill="auto"/>
                  <w:noWrap/>
                  <w:vAlign w:val="center"/>
                </w:tcPr>
                <w:p w14:paraId="381BB9C8">
                  <w:pPr>
                    <w:pStyle w:val="12"/>
                    <w:keepLines/>
                    <w:adjustRightInd w:val="0"/>
                    <w:snapToGrid w:val="0"/>
                    <w:spacing w:line="240" w:lineRule="auto"/>
                    <w:ind w:firstLine="0" w:firstLineChars="0"/>
                    <w:jc w:val="center"/>
                    <w:rPr>
                      <w:rFonts w:ascii="Times New Roman" w:hAnsi="Times New Roman"/>
                      <w:kern w:val="0"/>
                      <w:sz w:val="21"/>
                    </w:rPr>
                  </w:pPr>
                </w:p>
              </w:tc>
              <w:tc>
                <w:tcPr>
                  <w:tcW w:w="180" w:type="pct"/>
                  <w:vMerge w:val="continue"/>
                  <w:tcBorders>
                    <w:tl2br w:val="nil"/>
                    <w:tr2bl w:val="nil"/>
                  </w:tcBorders>
                  <w:shd w:val="clear" w:color="auto" w:fill="auto"/>
                  <w:noWrap/>
                  <w:vAlign w:val="center"/>
                </w:tcPr>
                <w:p w14:paraId="5B7610FC">
                  <w:pPr>
                    <w:pStyle w:val="12"/>
                    <w:keepLines/>
                    <w:adjustRightInd w:val="0"/>
                    <w:snapToGrid w:val="0"/>
                    <w:spacing w:line="240" w:lineRule="auto"/>
                    <w:ind w:firstLine="0" w:firstLineChars="0"/>
                    <w:jc w:val="center"/>
                    <w:rPr>
                      <w:rFonts w:ascii="Times New Roman" w:hAnsi="Times New Roman"/>
                      <w:kern w:val="0"/>
                      <w:sz w:val="21"/>
                    </w:rPr>
                  </w:pPr>
                </w:p>
              </w:tc>
              <w:tc>
                <w:tcPr>
                  <w:tcW w:w="333" w:type="pct"/>
                  <w:vMerge w:val="continue"/>
                  <w:tcBorders>
                    <w:tl2br w:val="nil"/>
                    <w:tr2bl w:val="nil"/>
                  </w:tcBorders>
                  <w:shd w:val="clear" w:color="auto" w:fill="auto"/>
                  <w:noWrap/>
                  <w:vAlign w:val="center"/>
                </w:tcPr>
                <w:p w14:paraId="06C4156E">
                  <w:pPr>
                    <w:pStyle w:val="12"/>
                    <w:keepLines/>
                    <w:adjustRightInd w:val="0"/>
                    <w:snapToGrid w:val="0"/>
                    <w:spacing w:line="240" w:lineRule="auto"/>
                    <w:ind w:firstLine="0" w:firstLineChars="0"/>
                    <w:jc w:val="center"/>
                    <w:rPr>
                      <w:rFonts w:ascii="Times New Roman" w:hAnsi="Times New Roman"/>
                      <w:kern w:val="0"/>
                      <w:sz w:val="21"/>
                    </w:rPr>
                  </w:pPr>
                </w:p>
              </w:tc>
              <w:tc>
                <w:tcPr>
                  <w:tcW w:w="343" w:type="pct"/>
                  <w:vMerge w:val="continue"/>
                  <w:tcBorders>
                    <w:tl2br w:val="nil"/>
                    <w:tr2bl w:val="nil"/>
                  </w:tcBorders>
                  <w:shd w:val="clear" w:color="auto" w:fill="auto"/>
                  <w:noWrap/>
                  <w:vAlign w:val="center"/>
                </w:tcPr>
                <w:p w14:paraId="4EFC7B82">
                  <w:pPr>
                    <w:pStyle w:val="12"/>
                    <w:keepLines/>
                    <w:adjustRightInd w:val="0"/>
                    <w:snapToGrid w:val="0"/>
                    <w:spacing w:line="240" w:lineRule="auto"/>
                    <w:ind w:firstLine="0" w:firstLineChars="0"/>
                    <w:jc w:val="center"/>
                    <w:rPr>
                      <w:rFonts w:ascii="Times New Roman" w:hAnsi="Times New Roman"/>
                      <w:sz w:val="21"/>
                    </w:rPr>
                  </w:pPr>
                </w:p>
              </w:tc>
              <w:tc>
                <w:tcPr>
                  <w:tcW w:w="373" w:type="pct"/>
                  <w:vMerge w:val="continue"/>
                  <w:tcBorders>
                    <w:tl2br w:val="nil"/>
                    <w:tr2bl w:val="nil"/>
                  </w:tcBorders>
                  <w:shd w:val="clear" w:color="auto" w:fill="auto"/>
                  <w:noWrap/>
                  <w:vAlign w:val="center"/>
                </w:tcPr>
                <w:p w14:paraId="1E2B3A3D">
                  <w:pPr>
                    <w:pStyle w:val="12"/>
                    <w:keepLines/>
                    <w:adjustRightInd w:val="0"/>
                    <w:snapToGrid w:val="0"/>
                    <w:spacing w:line="240" w:lineRule="auto"/>
                    <w:ind w:firstLine="0" w:firstLineChars="0"/>
                    <w:jc w:val="center"/>
                    <w:rPr>
                      <w:rFonts w:ascii="Times New Roman" w:hAnsi="Times New Roman"/>
                      <w:kern w:val="0"/>
                      <w:sz w:val="21"/>
                    </w:rPr>
                  </w:pPr>
                </w:p>
              </w:tc>
              <w:tc>
                <w:tcPr>
                  <w:tcW w:w="325" w:type="pct"/>
                  <w:vMerge w:val="continue"/>
                  <w:tcBorders>
                    <w:tl2br w:val="nil"/>
                    <w:tr2bl w:val="nil"/>
                  </w:tcBorders>
                  <w:shd w:val="clear" w:color="auto" w:fill="auto"/>
                  <w:noWrap/>
                  <w:vAlign w:val="center"/>
                </w:tcPr>
                <w:p w14:paraId="42EE892D">
                  <w:pPr>
                    <w:pStyle w:val="12"/>
                    <w:keepLines/>
                    <w:adjustRightInd w:val="0"/>
                    <w:snapToGrid w:val="0"/>
                    <w:spacing w:line="240" w:lineRule="auto"/>
                    <w:ind w:firstLine="0" w:firstLineChars="0"/>
                    <w:jc w:val="center"/>
                    <w:rPr>
                      <w:rFonts w:ascii="Times New Roman" w:hAnsi="Times New Roman"/>
                      <w:kern w:val="0"/>
                      <w:sz w:val="21"/>
                    </w:rPr>
                  </w:pPr>
                </w:p>
              </w:tc>
              <w:tc>
                <w:tcPr>
                  <w:tcW w:w="267" w:type="pct"/>
                  <w:vMerge w:val="continue"/>
                  <w:tcBorders>
                    <w:tl2br w:val="nil"/>
                    <w:tr2bl w:val="nil"/>
                  </w:tcBorders>
                  <w:shd w:val="clear" w:color="auto" w:fill="auto"/>
                  <w:noWrap/>
                  <w:vAlign w:val="center"/>
                </w:tcPr>
                <w:p w14:paraId="00110C9D">
                  <w:pPr>
                    <w:pStyle w:val="12"/>
                    <w:keepLines/>
                    <w:adjustRightInd w:val="0"/>
                    <w:snapToGrid w:val="0"/>
                    <w:spacing w:line="240" w:lineRule="auto"/>
                    <w:ind w:firstLine="0" w:firstLineChars="0"/>
                    <w:jc w:val="center"/>
                    <w:rPr>
                      <w:rFonts w:ascii="Times New Roman" w:hAnsi="Times New Roman"/>
                      <w:kern w:val="0"/>
                      <w:sz w:val="21"/>
                    </w:rPr>
                  </w:pPr>
                </w:p>
              </w:tc>
              <w:tc>
                <w:tcPr>
                  <w:tcW w:w="379" w:type="pct"/>
                  <w:tcBorders>
                    <w:tl2br w:val="nil"/>
                    <w:tr2bl w:val="nil"/>
                  </w:tcBorders>
                  <w:shd w:val="clear" w:color="auto" w:fill="auto"/>
                  <w:noWrap/>
                  <w:vAlign w:val="center"/>
                </w:tcPr>
                <w:p w14:paraId="0B2F1D08">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4.07</w:t>
                  </w:r>
                </w:p>
              </w:tc>
              <w:tc>
                <w:tcPr>
                  <w:tcW w:w="438" w:type="pct"/>
                  <w:tcBorders>
                    <w:tl2br w:val="nil"/>
                    <w:tr2bl w:val="nil"/>
                  </w:tcBorders>
                  <w:shd w:val="clear" w:color="auto" w:fill="auto"/>
                  <w:noWrap/>
                  <w:vAlign w:val="center"/>
                </w:tcPr>
                <w:p w14:paraId="5A27B45D">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65.63</w:t>
                  </w:r>
                </w:p>
              </w:tc>
              <w:tc>
                <w:tcPr>
                  <w:tcW w:w="311" w:type="pct"/>
                  <w:vMerge w:val="continue"/>
                  <w:tcBorders>
                    <w:tl2br w:val="nil"/>
                    <w:tr2bl w:val="nil"/>
                  </w:tcBorders>
                  <w:shd w:val="clear" w:color="auto" w:fill="auto"/>
                  <w:noWrap/>
                  <w:vAlign w:val="center"/>
                </w:tcPr>
                <w:p w14:paraId="68E33795">
                  <w:pPr>
                    <w:pStyle w:val="12"/>
                    <w:keepLines/>
                    <w:adjustRightInd w:val="0"/>
                    <w:snapToGrid w:val="0"/>
                    <w:spacing w:line="240" w:lineRule="auto"/>
                    <w:ind w:firstLine="0" w:firstLineChars="0"/>
                    <w:jc w:val="center"/>
                    <w:rPr>
                      <w:rFonts w:ascii="Times New Roman" w:hAnsi="Times New Roman"/>
                      <w:kern w:val="0"/>
                      <w:sz w:val="21"/>
                    </w:rPr>
                  </w:pPr>
                </w:p>
              </w:tc>
              <w:tc>
                <w:tcPr>
                  <w:tcW w:w="400" w:type="pct"/>
                  <w:tcBorders>
                    <w:tl2br w:val="nil"/>
                    <w:tr2bl w:val="nil"/>
                  </w:tcBorders>
                  <w:shd w:val="clear" w:color="auto" w:fill="auto"/>
                  <w:noWrap/>
                  <w:vAlign w:val="center"/>
                </w:tcPr>
                <w:p w14:paraId="35C4B363">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20</w:t>
                  </w:r>
                </w:p>
              </w:tc>
              <w:tc>
                <w:tcPr>
                  <w:tcW w:w="385" w:type="pct"/>
                  <w:tcBorders>
                    <w:tl2br w:val="nil"/>
                    <w:tr2bl w:val="nil"/>
                  </w:tcBorders>
                  <w:shd w:val="clear" w:color="auto" w:fill="auto"/>
                  <w:noWrap/>
                  <w:vAlign w:val="center"/>
                </w:tcPr>
                <w:p w14:paraId="1F826E45">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39.63</w:t>
                  </w:r>
                </w:p>
              </w:tc>
              <w:tc>
                <w:tcPr>
                  <w:tcW w:w="404" w:type="pct"/>
                  <w:tcBorders>
                    <w:tl2br w:val="nil"/>
                    <w:tr2bl w:val="nil"/>
                  </w:tcBorders>
                  <w:shd w:val="clear" w:color="auto" w:fill="auto"/>
                  <w:noWrap/>
                  <w:vAlign w:val="center"/>
                </w:tcPr>
                <w:p w14:paraId="5CAF0A24">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w:t>
                  </w:r>
                </w:p>
              </w:tc>
            </w:tr>
            <w:tr w14:paraId="0E0EB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79" w:type="pct"/>
                  <w:vMerge w:val="continue"/>
                  <w:tcBorders>
                    <w:tl2br w:val="nil"/>
                    <w:tr2bl w:val="nil"/>
                  </w:tcBorders>
                  <w:shd w:val="clear" w:color="auto" w:fill="auto"/>
                  <w:noWrap/>
                  <w:vAlign w:val="center"/>
                </w:tcPr>
                <w:p w14:paraId="0C12E68A">
                  <w:pPr>
                    <w:pStyle w:val="12"/>
                    <w:keepLines/>
                    <w:adjustRightInd w:val="0"/>
                    <w:snapToGrid w:val="0"/>
                    <w:spacing w:line="240" w:lineRule="auto"/>
                    <w:ind w:firstLine="0" w:firstLineChars="0"/>
                    <w:jc w:val="center"/>
                    <w:rPr>
                      <w:rFonts w:ascii="Times New Roman" w:hAnsi="Times New Roman"/>
                      <w:kern w:val="0"/>
                      <w:sz w:val="21"/>
                    </w:rPr>
                  </w:pPr>
                </w:p>
              </w:tc>
              <w:tc>
                <w:tcPr>
                  <w:tcW w:w="339" w:type="pct"/>
                  <w:vMerge w:val="continue"/>
                  <w:tcBorders>
                    <w:tl2br w:val="nil"/>
                    <w:tr2bl w:val="nil"/>
                  </w:tcBorders>
                  <w:shd w:val="clear" w:color="auto" w:fill="auto"/>
                  <w:noWrap/>
                  <w:vAlign w:val="center"/>
                </w:tcPr>
                <w:p w14:paraId="089DCF61">
                  <w:pPr>
                    <w:pStyle w:val="12"/>
                    <w:keepLines/>
                    <w:adjustRightInd w:val="0"/>
                    <w:snapToGrid w:val="0"/>
                    <w:spacing w:line="240" w:lineRule="auto"/>
                    <w:ind w:firstLine="0" w:firstLineChars="0"/>
                    <w:jc w:val="center"/>
                    <w:rPr>
                      <w:rFonts w:ascii="Times New Roman" w:hAnsi="Times New Roman"/>
                      <w:kern w:val="0"/>
                      <w:sz w:val="21"/>
                    </w:rPr>
                  </w:pPr>
                </w:p>
              </w:tc>
              <w:tc>
                <w:tcPr>
                  <w:tcW w:w="337" w:type="pct"/>
                  <w:vMerge w:val="continue"/>
                  <w:tcBorders>
                    <w:tl2br w:val="nil"/>
                    <w:tr2bl w:val="nil"/>
                  </w:tcBorders>
                  <w:shd w:val="clear" w:color="auto" w:fill="auto"/>
                  <w:noWrap/>
                  <w:vAlign w:val="center"/>
                </w:tcPr>
                <w:p w14:paraId="16B5080B">
                  <w:pPr>
                    <w:pStyle w:val="12"/>
                    <w:keepLines/>
                    <w:adjustRightInd w:val="0"/>
                    <w:snapToGrid w:val="0"/>
                    <w:spacing w:line="240" w:lineRule="auto"/>
                    <w:ind w:firstLine="0" w:firstLineChars="0"/>
                    <w:jc w:val="center"/>
                    <w:rPr>
                      <w:rFonts w:ascii="Times New Roman" w:hAnsi="Times New Roman"/>
                      <w:kern w:val="0"/>
                      <w:sz w:val="21"/>
                    </w:rPr>
                  </w:pPr>
                </w:p>
              </w:tc>
              <w:tc>
                <w:tcPr>
                  <w:tcW w:w="180" w:type="pct"/>
                  <w:vMerge w:val="continue"/>
                  <w:tcBorders>
                    <w:tl2br w:val="nil"/>
                    <w:tr2bl w:val="nil"/>
                  </w:tcBorders>
                  <w:shd w:val="clear" w:color="auto" w:fill="auto"/>
                  <w:noWrap/>
                  <w:vAlign w:val="center"/>
                </w:tcPr>
                <w:p w14:paraId="2AECCE1B">
                  <w:pPr>
                    <w:pStyle w:val="12"/>
                    <w:keepLines/>
                    <w:adjustRightInd w:val="0"/>
                    <w:snapToGrid w:val="0"/>
                    <w:spacing w:line="240" w:lineRule="auto"/>
                    <w:ind w:firstLine="0" w:firstLineChars="0"/>
                    <w:jc w:val="center"/>
                    <w:rPr>
                      <w:rFonts w:ascii="Times New Roman" w:hAnsi="Times New Roman"/>
                      <w:kern w:val="0"/>
                      <w:sz w:val="21"/>
                    </w:rPr>
                  </w:pPr>
                </w:p>
              </w:tc>
              <w:tc>
                <w:tcPr>
                  <w:tcW w:w="333" w:type="pct"/>
                  <w:vMerge w:val="continue"/>
                  <w:tcBorders>
                    <w:tl2br w:val="nil"/>
                    <w:tr2bl w:val="nil"/>
                  </w:tcBorders>
                  <w:shd w:val="clear" w:color="auto" w:fill="auto"/>
                  <w:noWrap/>
                  <w:vAlign w:val="center"/>
                </w:tcPr>
                <w:p w14:paraId="191BAA03">
                  <w:pPr>
                    <w:pStyle w:val="12"/>
                    <w:keepLines/>
                    <w:adjustRightInd w:val="0"/>
                    <w:snapToGrid w:val="0"/>
                    <w:spacing w:line="240" w:lineRule="auto"/>
                    <w:ind w:firstLine="0" w:firstLineChars="0"/>
                    <w:jc w:val="center"/>
                    <w:rPr>
                      <w:rFonts w:ascii="Times New Roman" w:hAnsi="Times New Roman"/>
                      <w:kern w:val="0"/>
                      <w:sz w:val="21"/>
                    </w:rPr>
                  </w:pPr>
                </w:p>
              </w:tc>
              <w:tc>
                <w:tcPr>
                  <w:tcW w:w="343" w:type="pct"/>
                  <w:vMerge w:val="continue"/>
                  <w:tcBorders>
                    <w:tl2br w:val="nil"/>
                    <w:tr2bl w:val="nil"/>
                  </w:tcBorders>
                  <w:shd w:val="clear" w:color="auto" w:fill="auto"/>
                  <w:noWrap/>
                  <w:vAlign w:val="center"/>
                </w:tcPr>
                <w:p w14:paraId="51D4AD93">
                  <w:pPr>
                    <w:pStyle w:val="12"/>
                    <w:keepLines/>
                    <w:adjustRightInd w:val="0"/>
                    <w:snapToGrid w:val="0"/>
                    <w:spacing w:line="240" w:lineRule="auto"/>
                    <w:ind w:firstLine="0" w:firstLineChars="0"/>
                    <w:jc w:val="center"/>
                    <w:rPr>
                      <w:rFonts w:ascii="Times New Roman" w:hAnsi="Times New Roman"/>
                      <w:sz w:val="21"/>
                    </w:rPr>
                  </w:pPr>
                </w:p>
              </w:tc>
              <w:tc>
                <w:tcPr>
                  <w:tcW w:w="373" w:type="pct"/>
                  <w:vMerge w:val="continue"/>
                  <w:tcBorders>
                    <w:tl2br w:val="nil"/>
                    <w:tr2bl w:val="nil"/>
                  </w:tcBorders>
                  <w:shd w:val="clear" w:color="auto" w:fill="auto"/>
                  <w:noWrap/>
                  <w:vAlign w:val="center"/>
                </w:tcPr>
                <w:p w14:paraId="780A2EE3">
                  <w:pPr>
                    <w:pStyle w:val="12"/>
                    <w:keepLines/>
                    <w:adjustRightInd w:val="0"/>
                    <w:snapToGrid w:val="0"/>
                    <w:spacing w:line="240" w:lineRule="auto"/>
                    <w:ind w:firstLine="0" w:firstLineChars="0"/>
                    <w:jc w:val="center"/>
                    <w:rPr>
                      <w:rFonts w:ascii="Times New Roman" w:hAnsi="Times New Roman"/>
                      <w:kern w:val="0"/>
                      <w:sz w:val="21"/>
                    </w:rPr>
                  </w:pPr>
                </w:p>
              </w:tc>
              <w:tc>
                <w:tcPr>
                  <w:tcW w:w="325" w:type="pct"/>
                  <w:vMerge w:val="continue"/>
                  <w:tcBorders>
                    <w:tl2br w:val="nil"/>
                    <w:tr2bl w:val="nil"/>
                  </w:tcBorders>
                  <w:shd w:val="clear" w:color="auto" w:fill="auto"/>
                  <w:noWrap/>
                  <w:vAlign w:val="center"/>
                </w:tcPr>
                <w:p w14:paraId="6A53DF08">
                  <w:pPr>
                    <w:pStyle w:val="12"/>
                    <w:keepLines/>
                    <w:adjustRightInd w:val="0"/>
                    <w:snapToGrid w:val="0"/>
                    <w:spacing w:line="240" w:lineRule="auto"/>
                    <w:ind w:firstLine="0" w:firstLineChars="0"/>
                    <w:jc w:val="center"/>
                    <w:rPr>
                      <w:rFonts w:ascii="Times New Roman" w:hAnsi="Times New Roman"/>
                      <w:kern w:val="0"/>
                      <w:sz w:val="21"/>
                    </w:rPr>
                  </w:pPr>
                </w:p>
              </w:tc>
              <w:tc>
                <w:tcPr>
                  <w:tcW w:w="267" w:type="pct"/>
                  <w:vMerge w:val="continue"/>
                  <w:tcBorders>
                    <w:tl2br w:val="nil"/>
                    <w:tr2bl w:val="nil"/>
                  </w:tcBorders>
                  <w:shd w:val="clear" w:color="auto" w:fill="auto"/>
                  <w:noWrap/>
                  <w:vAlign w:val="center"/>
                </w:tcPr>
                <w:p w14:paraId="5C255B3A">
                  <w:pPr>
                    <w:pStyle w:val="12"/>
                    <w:keepLines/>
                    <w:adjustRightInd w:val="0"/>
                    <w:snapToGrid w:val="0"/>
                    <w:spacing w:line="240" w:lineRule="auto"/>
                    <w:ind w:firstLine="0" w:firstLineChars="0"/>
                    <w:jc w:val="center"/>
                    <w:rPr>
                      <w:rFonts w:ascii="Times New Roman" w:hAnsi="Times New Roman"/>
                      <w:kern w:val="0"/>
                      <w:sz w:val="21"/>
                    </w:rPr>
                  </w:pPr>
                </w:p>
              </w:tc>
              <w:tc>
                <w:tcPr>
                  <w:tcW w:w="379" w:type="pct"/>
                  <w:tcBorders>
                    <w:tl2br w:val="nil"/>
                    <w:tr2bl w:val="nil"/>
                  </w:tcBorders>
                  <w:shd w:val="clear" w:color="auto" w:fill="auto"/>
                  <w:noWrap/>
                  <w:vAlign w:val="center"/>
                </w:tcPr>
                <w:p w14:paraId="50A1CBCD">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27.99</w:t>
                  </w:r>
                </w:p>
              </w:tc>
              <w:tc>
                <w:tcPr>
                  <w:tcW w:w="438" w:type="pct"/>
                  <w:tcBorders>
                    <w:tl2br w:val="nil"/>
                    <w:tr2bl w:val="nil"/>
                  </w:tcBorders>
                  <w:shd w:val="clear" w:color="auto" w:fill="auto"/>
                  <w:noWrap/>
                  <w:vAlign w:val="center"/>
                </w:tcPr>
                <w:p w14:paraId="30F9BD65">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65.57</w:t>
                  </w:r>
                </w:p>
              </w:tc>
              <w:tc>
                <w:tcPr>
                  <w:tcW w:w="311" w:type="pct"/>
                  <w:vMerge w:val="continue"/>
                  <w:tcBorders>
                    <w:tl2br w:val="nil"/>
                    <w:tr2bl w:val="nil"/>
                  </w:tcBorders>
                  <w:shd w:val="clear" w:color="auto" w:fill="auto"/>
                  <w:noWrap/>
                  <w:vAlign w:val="center"/>
                </w:tcPr>
                <w:p w14:paraId="0D4036AA">
                  <w:pPr>
                    <w:pStyle w:val="12"/>
                    <w:keepLines/>
                    <w:adjustRightInd w:val="0"/>
                    <w:snapToGrid w:val="0"/>
                    <w:spacing w:line="240" w:lineRule="auto"/>
                    <w:ind w:firstLine="0" w:firstLineChars="0"/>
                    <w:jc w:val="center"/>
                    <w:rPr>
                      <w:rFonts w:ascii="Times New Roman" w:hAnsi="Times New Roman"/>
                      <w:kern w:val="0"/>
                      <w:sz w:val="21"/>
                    </w:rPr>
                  </w:pPr>
                </w:p>
              </w:tc>
              <w:tc>
                <w:tcPr>
                  <w:tcW w:w="400" w:type="pct"/>
                  <w:tcBorders>
                    <w:tl2br w:val="nil"/>
                    <w:tr2bl w:val="nil"/>
                  </w:tcBorders>
                  <w:shd w:val="clear" w:color="auto" w:fill="auto"/>
                  <w:noWrap/>
                  <w:vAlign w:val="center"/>
                </w:tcPr>
                <w:p w14:paraId="4784A033">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20</w:t>
                  </w:r>
                </w:p>
              </w:tc>
              <w:tc>
                <w:tcPr>
                  <w:tcW w:w="385" w:type="pct"/>
                  <w:tcBorders>
                    <w:tl2br w:val="nil"/>
                    <w:tr2bl w:val="nil"/>
                  </w:tcBorders>
                  <w:shd w:val="clear" w:color="auto" w:fill="auto"/>
                  <w:noWrap/>
                  <w:vAlign w:val="center"/>
                </w:tcPr>
                <w:p w14:paraId="495A95CA">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39.57</w:t>
                  </w:r>
                </w:p>
              </w:tc>
              <w:tc>
                <w:tcPr>
                  <w:tcW w:w="404" w:type="pct"/>
                  <w:tcBorders>
                    <w:tl2br w:val="nil"/>
                    <w:tr2bl w:val="nil"/>
                  </w:tcBorders>
                  <w:shd w:val="clear" w:color="auto" w:fill="auto"/>
                  <w:noWrap/>
                  <w:vAlign w:val="center"/>
                </w:tcPr>
                <w:p w14:paraId="3E0895E0">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w:t>
                  </w:r>
                </w:p>
              </w:tc>
            </w:tr>
            <w:tr w14:paraId="7B132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000" w:type="pct"/>
                  <w:gridSpan w:val="15"/>
                  <w:tcBorders>
                    <w:tl2br w:val="nil"/>
                    <w:tr2bl w:val="nil"/>
                  </w:tcBorders>
                  <w:shd w:val="clear" w:color="auto" w:fill="auto"/>
                  <w:noWrap/>
                  <w:vAlign w:val="center"/>
                </w:tcPr>
                <w:p w14:paraId="00DE4301">
                  <w:pPr>
                    <w:pStyle w:val="22"/>
                    <w:widowControl w:val="0"/>
                    <w:adjustRightInd w:val="0"/>
                    <w:snapToGrid w:val="0"/>
                    <w:spacing w:before="0" w:beforeAutospacing="0" w:after="0" w:afterAutospacing="0" w:line="240" w:lineRule="auto"/>
                    <w:ind w:firstLine="0" w:firstLineChars="0"/>
                    <w:jc w:val="both"/>
                    <w:rPr>
                      <w:rFonts w:ascii="Times New Roman" w:hAnsi="Times New Roman"/>
                      <w:b/>
                      <w:bCs/>
                      <w:sz w:val="20"/>
                    </w:rPr>
                  </w:pPr>
                  <w:r>
                    <w:rPr>
                      <w:rFonts w:ascii="Times New Roman" w:hAnsi="Times New Roman"/>
                      <w:b/>
                      <w:bCs/>
                      <w:sz w:val="20"/>
                    </w:rPr>
                    <w:t>备注：1、减振降噪</w:t>
                  </w:r>
                  <w:r>
                    <w:rPr>
                      <w:rFonts w:hint="eastAsia" w:ascii="Times New Roman" w:hAnsi="Times New Roman"/>
                      <w:b/>
                      <w:bCs/>
                      <w:sz w:val="20"/>
                    </w:rPr>
                    <w:t>中基础减振</w:t>
                  </w:r>
                  <w:r>
                    <w:rPr>
                      <w:rFonts w:ascii="Times New Roman" w:hAnsi="Times New Roman"/>
                      <w:b/>
                      <w:bCs/>
                      <w:sz w:val="20"/>
                    </w:rPr>
                    <w:t>按</w:t>
                  </w:r>
                  <w:r>
                    <w:rPr>
                      <w:rFonts w:hint="eastAsia" w:ascii="Times New Roman" w:hAnsi="Times New Roman"/>
                      <w:b/>
                      <w:bCs/>
                      <w:sz w:val="20"/>
                    </w:rPr>
                    <w:t>10</w:t>
                  </w:r>
                  <w:r>
                    <w:rPr>
                      <w:rFonts w:ascii="Times New Roman" w:hAnsi="Times New Roman"/>
                      <w:b/>
                      <w:bCs/>
                      <w:sz w:val="20"/>
                    </w:rPr>
                    <w:t>dB（A）计；</w:t>
                  </w:r>
                </w:p>
                <w:p w14:paraId="4DE22FA9">
                  <w:pPr>
                    <w:pStyle w:val="22"/>
                    <w:widowControl w:val="0"/>
                    <w:adjustRightInd w:val="0"/>
                    <w:snapToGrid w:val="0"/>
                    <w:spacing w:before="0" w:beforeAutospacing="0" w:after="0" w:afterAutospacing="0" w:line="240" w:lineRule="auto"/>
                    <w:ind w:firstLine="0" w:firstLineChars="0"/>
                    <w:jc w:val="both"/>
                    <w:rPr>
                      <w:rFonts w:ascii="Times New Roman" w:hAnsi="Times New Roman"/>
                      <w:b/>
                      <w:bCs/>
                      <w:sz w:val="20"/>
                    </w:rPr>
                  </w:pPr>
                  <w:r>
                    <w:rPr>
                      <w:rFonts w:ascii="Times New Roman" w:hAnsi="Times New Roman"/>
                      <w:b/>
                      <w:bCs/>
                      <w:sz w:val="20"/>
                    </w:rPr>
                    <w:t>2、厂界建筑插入损失按10dB（A）计</w:t>
                  </w:r>
                  <w:r>
                    <w:rPr>
                      <w:rFonts w:hint="eastAsia" w:ascii="Times New Roman" w:hAnsi="Times New Roman"/>
                      <w:b/>
                      <w:bCs/>
                      <w:sz w:val="20"/>
                    </w:rPr>
                    <w:t>；</w:t>
                  </w:r>
                </w:p>
                <w:p w14:paraId="2110F7D6">
                  <w:pPr>
                    <w:pStyle w:val="12"/>
                    <w:keepLines/>
                    <w:adjustRightInd w:val="0"/>
                    <w:snapToGrid w:val="0"/>
                    <w:spacing w:line="240" w:lineRule="auto"/>
                    <w:ind w:firstLine="0" w:firstLineChars="0"/>
                    <w:rPr>
                      <w:rFonts w:ascii="Times New Roman" w:hAnsi="Times New Roman"/>
                      <w:kern w:val="0"/>
                      <w:sz w:val="21"/>
                    </w:rPr>
                  </w:pPr>
                  <w:r>
                    <w:rPr>
                      <w:rFonts w:hint="eastAsia" w:ascii="Times New Roman" w:hAnsi="Times New Roman"/>
                      <w:b/>
                      <w:bCs/>
                      <w:kern w:val="0"/>
                      <w:sz w:val="20"/>
                      <w:szCs w:val="20"/>
                    </w:rPr>
                    <w:t>3、</w:t>
                  </w:r>
                  <w:r>
                    <w:rPr>
                      <w:rFonts w:ascii="Times New Roman" w:hAnsi="Times New Roman"/>
                      <w:b/>
                      <w:bCs/>
                      <w:kern w:val="0"/>
                      <w:sz w:val="20"/>
                      <w:szCs w:val="20"/>
                    </w:rPr>
                    <w:t>表中坐标以</w:t>
                  </w:r>
                  <w:r>
                    <w:rPr>
                      <w:rFonts w:hint="eastAsia" w:ascii="Times New Roman" w:hAnsi="Times New Roman"/>
                      <w:b/>
                      <w:bCs/>
                      <w:kern w:val="0"/>
                      <w:sz w:val="20"/>
                      <w:szCs w:val="20"/>
                    </w:rPr>
                    <w:t>厂区西南角</w:t>
                  </w:r>
                  <w:r>
                    <w:rPr>
                      <w:rFonts w:ascii="Times New Roman" w:hAnsi="Times New Roman"/>
                      <w:b/>
                      <w:bCs/>
                      <w:kern w:val="0"/>
                      <w:sz w:val="20"/>
                      <w:szCs w:val="20"/>
                    </w:rPr>
                    <w:t>（经度</w:t>
                  </w:r>
                  <w:r>
                    <w:rPr>
                      <w:rFonts w:hint="eastAsia" w:ascii="Times New Roman" w:hAnsi="Times New Roman"/>
                      <w:b/>
                      <w:bCs/>
                      <w:kern w:val="0"/>
                      <w:sz w:val="20"/>
                      <w:szCs w:val="20"/>
                    </w:rPr>
                    <w:t>103°18′54.07448″</w:t>
                  </w:r>
                  <w:r>
                    <w:rPr>
                      <w:rFonts w:ascii="Times New Roman" w:hAnsi="Times New Roman"/>
                      <w:b/>
                      <w:bCs/>
                      <w:kern w:val="0"/>
                      <w:sz w:val="20"/>
                      <w:szCs w:val="20"/>
                    </w:rPr>
                    <w:t>，纬度</w:t>
                  </w:r>
                  <w:r>
                    <w:rPr>
                      <w:rFonts w:hint="eastAsia" w:ascii="Times New Roman" w:hAnsi="Times New Roman"/>
                      <w:b/>
                      <w:bCs/>
                      <w:kern w:val="0"/>
                      <w:sz w:val="20"/>
                      <w:szCs w:val="20"/>
                    </w:rPr>
                    <w:t>25°34′54.18911″</w:t>
                  </w:r>
                  <w:r>
                    <w:rPr>
                      <w:rFonts w:ascii="Times New Roman" w:hAnsi="Times New Roman"/>
                      <w:b/>
                      <w:bCs/>
                      <w:kern w:val="0"/>
                      <w:sz w:val="20"/>
                      <w:szCs w:val="20"/>
                    </w:rPr>
                    <w:t>）为坐标原点，正东为X轴正方向，正北为Y轴正方向。</w:t>
                  </w:r>
                </w:p>
              </w:tc>
            </w:tr>
          </w:tbl>
          <w:p w14:paraId="7B851A3B">
            <w:pPr>
              <w:spacing w:line="240" w:lineRule="auto"/>
              <w:ind w:firstLine="0" w:firstLineChars="0"/>
              <w:jc w:val="center"/>
              <w:rPr>
                <w:b/>
                <w:bCs/>
                <w:sz w:val="21"/>
                <w:szCs w:val="21"/>
              </w:rPr>
            </w:pPr>
            <w:r>
              <w:rPr>
                <w:rFonts w:hint="eastAsia"/>
                <w:b/>
                <w:bCs/>
                <w:sz w:val="21"/>
                <w:szCs w:val="21"/>
              </w:rPr>
              <w:t>表4-4  工业企业噪声源强调查清单（室外声源）</w:t>
            </w:r>
          </w:p>
          <w:tbl>
            <w:tblPr>
              <w:tblStyle w:val="27"/>
              <w:tblW w:w="12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2"/>
              <w:gridCol w:w="2010"/>
              <w:gridCol w:w="1566"/>
              <w:gridCol w:w="1566"/>
              <w:gridCol w:w="1566"/>
              <w:gridCol w:w="1566"/>
              <w:gridCol w:w="1851"/>
              <w:gridCol w:w="1282"/>
            </w:tblGrid>
            <w:tr w14:paraId="4D99A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122" w:type="dxa"/>
                  <w:vMerge w:val="restart"/>
                  <w:vAlign w:val="center"/>
                </w:tcPr>
                <w:p w14:paraId="5626FCC8">
                  <w:pPr>
                    <w:pStyle w:val="12"/>
                    <w:keepLines/>
                    <w:adjustRightInd w:val="0"/>
                    <w:snapToGrid w:val="0"/>
                    <w:spacing w:line="240" w:lineRule="auto"/>
                    <w:ind w:firstLine="0" w:firstLineChars="0"/>
                    <w:jc w:val="center"/>
                    <w:rPr>
                      <w:rFonts w:ascii="Times New Roman" w:hAnsi="Times New Roman"/>
                      <w:b/>
                      <w:bCs/>
                      <w:kern w:val="0"/>
                      <w:sz w:val="21"/>
                    </w:rPr>
                  </w:pPr>
                  <w:r>
                    <w:rPr>
                      <w:rFonts w:hint="eastAsia" w:ascii="Times New Roman" w:hAnsi="Times New Roman"/>
                      <w:b/>
                      <w:bCs/>
                      <w:kern w:val="0"/>
                      <w:sz w:val="21"/>
                    </w:rPr>
                    <w:t>序号</w:t>
                  </w:r>
                </w:p>
              </w:tc>
              <w:tc>
                <w:tcPr>
                  <w:tcW w:w="2010" w:type="dxa"/>
                  <w:vMerge w:val="restart"/>
                  <w:vAlign w:val="center"/>
                </w:tcPr>
                <w:p w14:paraId="1EB08AEE">
                  <w:pPr>
                    <w:pStyle w:val="12"/>
                    <w:keepLines/>
                    <w:adjustRightInd w:val="0"/>
                    <w:snapToGrid w:val="0"/>
                    <w:spacing w:line="240" w:lineRule="auto"/>
                    <w:ind w:firstLine="0" w:firstLineChars="0"/>
                    <w:jc w:val="center"/>
                    <w:rPr>
                      <w:rFonts w:ascii="Times New Roman" w:hAnsi="Times New Roman"/>
                      <w:b/>
                      <w:bCs/>
                      <w:kern w:val="0"/>
                      <w:sz w:val="21"/>
                    </w:rPr>
                  </w:pPr>
                  <w:r>
                    <w:rPr>
                      <w:rFonts w:hint="eastAsia" w:ascii="Times New Roman" w:hAnsi="Times New Roman"/>
                      <w:b/>
                      <w:bCs/>
                      <w:kern w:val="0"/>
                      <w:sz w:val="21"/>
                    </w:rPr>
                    <w:t>声源名称</w:t>
                  </w:r>
                </w:p>
              </w:tc>
              <w:tc>
                <w:tcPr>
                  <w:tcW w:w="4698" w:type="dxa"/>
                  <w:gridSpan w:val="3"/>
                  <w:vAlign w:val="center"/>
                </w:tcPr>
                <w:p w14:paraId="343C14F4">
                  <w:pPr>
                    <w:pStyle w:val="12"/>
                    <w:keepLines/>
                    <w:adjustRightInd w:val="0"/>
                    <w:snapToGrid w:val="0"/>
                    <w:spacing w:line="240" w:lineRule="auto"/>
                    <w:ind w:firstLine="0" w:firstLineChars="0"/>
                    <w:jc w:val="center"/>
                    <w:rPr>
                      <w:rFonts w:ascii="Times New Roman" w:hAnsi="Times New Roman"/>
                      <w:b/>
                      <w:bCs/>
                      <w:kern w:val="0"/>
                      <w:sz w:val="21"/>
                    </w:rPr>
                  </w:pPr>
                  <w:r>
                    <w:rPr>
                      <w:rFonts w:hint="eastAsia" w:ascii="Times New Roman" w:hAnsi="Times New Roman"/>
                      <w:b/>
                      <w:bCs/>
                      <w:kern w:val="0"/>
                      <w:sz w:val="21"/>
                    </w:rPr>
                    <w:t>空间相对位置/m</w:t>
                  </w:r>
                </w:p>
              </w:tc>
              <w:tc>
                <w:tcPr>
                  <w:tcW w:w="1566" w:type="dxa"/>
                  <w:vAlign w:val="center"/>
                </w:tcPr>
                <w:p w14:paraId="51C9B5F9">
                  <w:pPr>
                    <w:pStyle w:val="12"/>
                    <w:keepLines/>
                    <w:adjustRightInd w:val="0"/>
                    <w:snapToGrid w:val="0"/>
                    <w:spacing w:line="240" w:lineRule="auto"/>
                    <w:ind w:firstLine="0" w:firstLineChars="0"/>
                    <w:jc w:val="center"/>
                    <w:rPr>
                      <w:rFonts w:ascii="Times New Roman" w:hAnsi="Times New Roman"/>
                      <w:b/>
                      <w:bCs/>
                      <w:kern w:val="0"/>
                      <w:sz w:val="21"/>
                    </w:rPr>
                  </w:pPr>
                  <w:r>
                    <w:rPr>
                      <w:rFonts w:hint="eastAsia" w:ascii="Times New Roman" w:hAnsi="Times New Roman"/>
                      <w:b/>
                      <w:bCs/>
                      <w:kern w:val="0"/>
                      <w:sz w:val="21"/>
                    </w:rPr>
                    <w:t>声源源强</w:t>
                  </w:r>
                </w:p>
              </w:tc>
              <w:tc>
                <w:tcPr>
                  <w:tcW w:w="1851" w:type="dxa"/>
                  <w:vMerge w:val="restart"/>
                  <w:vAlign w:val="center"/>
                </w:tcPr>
                <w:p w14:paraId="232251BF">
                  <w:pPr>
                    <w:pStyle w:val="12"/>
                    <w:keepLines/>
                    <w:adjustRightInd w:val="0"/>
                    <w:snapToGrid w:val="0"/>
                    <w:spacing w:line="240" w:lineRule="auto"/>
                    <w:ind w:firstLine="0" w:firstLineChars="0"/>
                    <w:jc w:val="center"/>
                    <w:rPr>
                      <w:rFonts w:ascii="Times New Roman" w:hAnsi="Times New Roman"/>
                      <w:b/>
                      <w:bCs/>
                      <w:kern w:val="0"/>
                      <w:sz w:val="21"/>
                    </w:rPr>
                  </w:pPr>
                  <w:r>
                    <w:rPr>
                      <w:rFonts w:hint="eastAsia" w:ascii="Times New Roman" w:hAnsi="Times New Roman"/>
                      <w:b/>
                      <w:bCs/>
                      <w:kern w:val="0"/>
                      <w:sz w:val="21"/>
                    </w:rPr>
                    <w:t>声源控制措施</w:t>
                  </w:r>
                </w:p>
              </w:tc>
              <w:tc>
                <w:tcPr>
                  <w:tcW w:w="1282" w:type="dxa"/>
                  <w:vMerge w:val="restart"/>
                  <w:vAlign w:val="center"/>
                </w:tcPr>
                <w:p w14:paraId="0E9E1467">
                  <w:pPr>
                    <w:pStyle w:val="12"/>
                    <w:keepLines/>
                    <w:adjustRightInd w:val="0"/>
                    <w:snapToGrid w:val="0"/>
                    <w:spacing w:line="240" w:lineRule="auto"/>
                    <w:ind w:firstLine="0" w:firstLineChars="0"/>
                    <w:jc w:val="center"/>
                    <w:rPr>
                      <w:rFonts w:ascii="Times New Roman" w:hAnsi="Times New Roman"/>
                      <w:b/>
                      <w:bCs/>
                      <w:kern w:val="0"/>
                      <w:sz w:val="21"/>
                    </w:rPr>
                  </w:pPr>
                  <w:r>
                    <w:rPr>
                      <w:rFonts w:hint="eastAsia" w:ascii="Times New Roman" w:hAnsi="Times New Roman"/>
                      <w:b/>
                      <w:bCs/>
                      <w:kern w:val="0"/>
                      <w:sz w:val="21"/>
                    </w:rPr>
                    <w:t>运行时段</w:t>
                  </w:r>
                </w:p>
              </w:tc>
            </w:tr>
            <w:tr w14:paraId="6F6DE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122" w:type="dxa"/>
                  <w:vMerge w:val="continue"/>
                  <w:vAlign w:val="center"/>
                </w:tcPr>
                <w:p w14:paraId="703063B3">
                  <w:pPr>
                    <w:pStyle w:val="12"/>
                    <w:keepLines/>
                    <w:adjustRightInd w:val="0"/>
                    <w:snapToGrid w:val="0"/>
                    <w:spacing w:line="240" w:lineRule="auto"/>
                    <w:ind w:firstLine="0" w:firstLineChars="0"/>
                    <w:jc w:val="center"/>
                    <w:rPr>
                      <w:rFonts w:ascii="Times New Roman" w:hAnsi="Times New Roman"/>
                      <w:kern w:val="0"/>
                      <w:sz w:val="21"/>
                    </w:rPr>
                  </w:pPr>
                </w:p>
              </w:tc>
              <w:tc>
                <w:tcPr>
                  <w:tcW w:w="2010" w:type="dxa"/>
                  <w:vMerge w:val="continue"/>
                  <w:vAlign w:val="center"/>
                </w:tcPr>
                <w:p w14:paraId="7299B069">
                  <w:pPr>
                    <w:pStyle w:val="12"/>
                    <w:keepLines/>
                    <w:adjustRightInd w:val="0"/>
                    <w:snapToGrid w:val="0"/>
                    <w:spacing w:line="240" w:lineRule="auto"/>
                    <w:ind w:firstLine="0" w:firstLineChars="0"/>
                    <w:jc w:val="center"/>
                    <w:rPr>
                      <w:rFonts w:ascii="Times New Roman" w:hAnsi="Times New Roman"/>
                      <w:kern w:val="0"/>
                      <w:sz w:val="21"/>
                    </w:rPr>
                  </w:pPr>
                </w:p>
              </w:tc>
              <w:tc>
                <w:tcPr>
                  <w:tcW w:w="1566" w:type="dxa"/>
                  <w:vAlign w:val="center"/>
                </w:tcPr>
                <w:p w14:paraId="62DB8173">
                  <w:pPr>
                    <w:pStyle w:val="12"/>
                    <w:keepLines/>
                    <w:adjustRightInd w:val="0"/>
                    <w:snapToGrid w:val="0"/>
                    <w:spacing w:line="240" w:lineRule="auto"/>
                    <w:ind w:firstLine="0" w:firstLineChars="0"/>
                    <w:jc w:val="center"/>
                    <w:rPr>
                      <w:rFonts w:ascii="Times New Roman" w:hAnsi="Times New Roman"/>
                      <w:b/>
                      <w:bCs/>
                      <w:kern w:val="0"/>
                      <w:sz w:val="21"/>
                    </w:rPr>
                  </w:pPr>
                  <w:r>
                    <w:rPr>
                      <w:rFonts w:hint="eastAsia" w:ascii="Times New Roman" w:hAnsi="Times New Roman"/>
                      <w:b/>
                      <w:bCs/>
                      <w:kern w:val="0"/>
                      <w:sz w:val="21"/>
                    </w:rPr>
                    <w:t>X</w:t>
                  </w:r>
                </w:p>
              </w:tc>
              <w:tc>
                <w:tcPr>
                  <w:tcW w:w="1566" w:type="dxa"/>
                  <w:vAlign w:val="center"/>
                </w:tcPr>
                <w:p w14:paraId="28C2DB36">
                  <w:pPr>
                    <w:pStyle w:val="12"/>
                    <w:keepLines/>
                    <w:adjustRightInd w:val="0"/>
                    <w:snapToGrid w:val="0"/>
                    <w:spacing w:line="240" w:lineRule="auto"/>
                    <w:ind w:firstLine="0" w:firstLineChars="0"/>
                    <w:jc w:val="center"/>
                    <w:rPr>
                      <w:rFonts w:ascii="Times New Roman" w:hAnsi="Times New Roman"/>
                      <w:b/>
                      <w:bCs/>
                      <w:kern w:val="0"/>
                      <w:sz w:val="21"/>
                    </w:rPr>
                  </w:pPr>
                  <w:r>
                    <w:rPr>
                      <w:rFonts w:hint="eastAsia" w:ascii="Times New Roman" w:hAnsi="Times New Roman"/>
                      <w:b/>
                      <w:bCs/>
                      <w:kern w:val="0"/>
                      <w:sz w:val="21"/>
                    </w:rPr>
                    <w:t>Y</w:t>
                  </w:r>
                </w:p>
              </w:tc>
              <w:tc>
                <w:tcPr>
                  <w:tcW w:w="1566" w:type="dxa"/>
                  <w:vAlign w:val="center"/>
                </w:tcPr>
                <w:p w14:paraId="0F1DA16B">
                  <w:pPr>
                    <w:pStyle w:val="12"/>
                    <w:keepLines/>
                    <w:adjustRightInd w:val="0"/>
                    <w:snapToGrid w:val="0"/>
                    <w:spacing w:line="240" w:lineRule="auto"/>
                    <w:ind w:firstLine="0" w:firstLineChars="0"/>
                    <w:jc w:val="center"/>
                    <w:rPr>
                      <w:rFonts w:ascii="Times New Roman" w:hAnsi="Times New Roman"/>
                      <w:b/>
                      <w:bCs/>
                      <w:kern w:val="0"/>
                      <w:sz w:val="21"/>
                    </w:rPr>
                  </w:pPr>
                  <w:r>
                    <w:rPr>
                      <w:rFonts w:hint="eastAsia" w:ascii="Times New Roman" w:hAnsi="Times New Roman"/>
                      <w:b/>
                      <w:bCs/>
                      <w:kern w:val="0"/>
                      <w:sz w:val="21"/>
                    </w:rPr>
                    <w:t>Z</w:t>
                  </w:r>
                </w:p>
              </w:tc>
              <w:tc>
                <w:tcPr>
                  <w:tcW w:w="1566" w:type="dxa"/>
                  <w:vAlign w:val="center"/>
                </w:tcPr>
                <w:p w14:paraId="2264E10B">
                  <w:pPr>
                    <w:pStyle w:val="12"/>
                    <w:keepLines/>
                    <w:adjustRightInd w:val="0"/>
                    <w:snapToGrid w:val="0"/>
                    <w:spacing w:line="240" w:lineRule="auto"/>
                    <w:ind w:firstLine="0" w:firstLineChars="0"/>
                    <w:jc w:val="center"/>
                    <w:rPr>
                      <w:rFonts w:ascii="Times New Roman" w:hAnsi="Times New Roman"/>
                      <w:b/>
                      <w:bCs/>
                      <w:kern w:val="0"/>
                      <w:sz w:val="21"/>
                    </w:rPr>
                  </w:pPr>
                  <w:r>
                    <w:rPr>
                      <w:rFonts w:hint="eastAsia" w:ascii="Times New Roman" w:hAnsi="Times New Roman"/>
                      <w:b/>
                      <w:bCs/>
                      <w:kern w:val="0"/>
                      <w:sz w:val="21"/>
                    </w:rPr>
                    <w:t>声功率级/dB(A)</w:t>
                  </w:r>
                </w:p>
              </w:tc>
              <w:tc>
                <w:tcPr>
                  <w:tcW w:w="1851" w:type="dxa"/>
                  <w:vMerge w:val="continue"/>
                  <w:vAlign w:val="center"/>
                </w:tcPr>
                <w:p w14:paraId="772B3B6E">
                  <w:pPr>
                    <w:pStyle w:val="12"/>
                    <w:keepLines/>
                    <w:adjustRightInd w:val="0"/>
                    <w:snapToGrid w:val="0"/>
                    <w:spacing w:line="240" w:lineRule="auto"/>
                    <w:ind w:firstLine="0" w:firstLineChars="0"/>
                    <w:jc w:val="center"/>
                    <w:rPr>
                      <w:rFonts w:ascii="Times New Roman" w:hAnsi="Times New Roman"/>
                      <w:b/>
                      <w:bCs/>
                      <w:kern w:val="0"/>
                      <w:sz w:val="21"/>
                    </w:rPr>
                  </w:pPr>
                </w:p>
              </w:tc>
              <w:tc>
                <w:tcPr>
                  <w:tcW w:w="1282" w:type="dxa"/>
                  <w:vMerge w:val="continue"/>
                  <w:vAlign w:val="center"/>
                </w:tcPr>
                <w:p w14:paraId="4A122C4E">
                  <w:pPr>
                    <w:pStyle w:val="12"/>
                    <w:keepLines/>
                    <w:adjustRightInd w:val="0"/>
                    <w:snapToGrid w:val="0"/>
                    <w:spacing w:line="240" w:lineRule="auto"/>
                    <w:ind w:firstLine="0" w:firstLineChars="0"/>
                    <w:jc w:val="center"/>
                    <w:rPr>
                      <w:rFonts w:ascii="Times New Roman" w:hAnsi="Times New Roman"/>
                      <w:b/>
                      <w:bCs/>
                      <w:kern w:val="0"/>
                      <w:sz w:val="21"/>
                    </w:rPr>
                  </w:pPr>
                </w:p>
              </w:tc>
            </w:tr>
            <w:tr w14:paraId="4F1AE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122" w:type="dxa"/>
                  <w:vAlign w:val="center"/>
                </w:tcPr>
                <w:p w14:paraId="3DC541A7">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w:t>
                  </w:r>
                </w:p>
              </w:tc>
              <w:tc>
                <w:tcPr>
                  <w:tcW w:w="2010" w:type="dxa"/>
                  <w:vAlign w:val="center"/>
                </w:tcPr>
                <w:p w14:paraId="7C393F8C">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1#沥青泵</w:t>
                  </w:r>
                </w:p>
              </w:tc>
              <w:tc>
                <w:tcPr>
                  <w:tcW w:w="1566" w:type="dxa"/>
                  <w:vAlign w:val="center"/>
                </w:tcPr>
                <w:p w14:paraId="1221331E">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55.46</w:t>
                  </w:r>
                </w:p>
              </w:tc>
              <w:tc>
                <w:tcPr>
                  <w:tcW w:w="1566" w:type="dxa"/>
                  <w:vAlign w:val="center"/>
                </w:tcPr>
                <w:p w14:paraId="2B4C9904">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20.49</w:t>
                  </w:r>
                </w:p>
              </w:tc>
              <w:tc>
                <w:tcPr>
                  <w:tcW w:w="1566" w:type="dxa"/>
                  <w:vAlign w:val="center"/>
                </w:tcPr>
                <w:p w14:paraId="2DFE6393">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w:t>
                  </w:r>
                </w:p>
              </w:tc>
              <w:tc>
                <w:tcPr>
                  <w:tcW w:w="1566" w:type="dxa"/>
                  <w:vAlign w:val="center"/>
                </w:tcPr>
                <w:p w14:paraId="11F9FDD9">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70</w:t>
                  </w:r>
                </w:p>
              </w:tc>
              <w:tc>
                <w:tcPr>
                  <w:tcW w:w="1851" w:type="dxa"/>
                  <w:vMerge w:val="restart"/>
                  <w:vAlign w:val="center"/>
                </w:tcPr>
                <w:p w14:paraId="7026410E">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消音减振装</w:t>
                  </w:r>
                </w:p>
                <w:p w14:paraId="67A1B1B8">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置、距离衰</w:t>
                  </w:r>
                </w:p>
                <w:p w14:paraId="6A92E8A9">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减</w:t>
                  </w:r>
                </w:p>
              </w:tc>
              <w:tc>
                <w:tcPr>
                  <w:tcW w:w="1282" w:type="dxa"/>
                  <w:vMerge w:val="restart"/>
                  <w:vAlign w:val="center"/>
                </w:tcPr>
                <w:p w14:paraId="613C2E2E">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昼间</w:t>
                  </w:r>
                </w:p>
              </w:tc>
            </w:tr>
            <w:tr w14:paraId="45DB5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122" w:type="dxa"/>
                  <w:vAlign w:val="center"/>
                </w:tcPr>
                <w:p w14:paraId="5030C092">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2</w:t>
                  </w:r>
                </w:p>
              </w:tc>
              <w:tc>
                <w:tcPr>
                  <w:tcW w:w="2010" w:type="dxa"/>
                  <w:vAlign w:val="center"/>
                </w:tcPr>
                <w:p w14:paraId="16EDC4C3">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1#皮带传输机</w:t>
                  </w:r>
                </w:p>
              </w:tc>
              <w:tc>
                <w:tcPr>
                  <w:tcW w:w="1566" w:type="dxa"/>
                  <w:vAlign w:val="center"/>
                </w:tcPr>
                <w:p w14:paraId="7BA02D95">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32.57</w:t>
                  </w:r>
                </w:p>
              </w:tc>
              <w:tc>
                <w:tcPr>
                  <w:tcW w:w="1566" w:type="dxa"/>
                  <w:vAlign w:val="center"/>
                </w:tcPr>
                <w:p w14:paraId="1AC8A297">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16.15</w:t>
                  </w:r>
                </w:p>
              </w:tc>
              <w:tc>
                <w:tcPr>
                  <w:tcW w:w="1566" w:type="dxa"/>
                  <w:vAlign w:val="center"/>
                </w:tcPr>
                <w:p w14:paraId="70F7B3D5">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w:t>
                  </w:r>
                </w:p>
              </w:tc>
              <w:tc>
                <w:tcPr>
                  <w:tcW w:w="1566" w:type="dxa"/>
                  <w:vAlign w:val="center"/>
                </w:tcPr>
                <w:p w14:paraId="37B785A0">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65</w:t>
                  </w:r>
                </w:p>
              </w:tc>
              <w:tc>
                <w:tcPr>
                  <w:tcW w:w="1851" w:type="dxa"/>
                  <w:vMerge w:val="continue"/>
                  <w:vAlign w:val="center"/>
                </w:tcPr>
                <w:p w14:paraId="02106698">
                  <w:pPr>
                    <w:pStyle w:val="12"/>
                    <w:keepLines/>
                    <w:adjustRightInd w:val="0"/>
                    <w:snapToGrid w:val="0"/>
                    <w:spacing w:line="240" w:lineRule="auto"/>
                    <w:ind w:firstLine="0" w:firstLineChars="0"/>
                    <w:jc w:val="center"/>
                    <w:rPr>
                      <w:rFonts w:ascii="Times New Roman" w:hAnsi="Times New Roman"/>
                      <w:kern w:val="0"/>
                      <w:sz w:val="21"/>
                    </w:rPr>
                  </w:pPr>
                </w:p>
              </w:tc>
              <w:tc>
                <w:tcPr>
                  <w:tcW w:w="1282" w:type="dxa"/>
                  <w:vMerge w:val="continue"/>
                  <w:vAlign w:val="center"/>
                </w:tcPr>
                <w:p w14:paraId="2FD048DD">
                  <w:pPr>
                    <w:pStyle w:val="12"/>
                    <w:keepLines/>
                    <w:adjustRightInd w:val="0"/>
                    <w:snapToGrid w:val="0"/>
                    <w:spacing w:line="240" w:lineRule="auto"/>
                    <w:ind w:firstLine="0" w:firstLineChars="0"/>
                    <w:jc w:val="center"/>
                    <w:rPr>
                      <w:rFonts w:ascii="Times New Roman" w:hAnsi="Times New Roman"/>
                      <w:kern w:val="0"/>
                      <w:sz w:val="21"/>
                    </w:rPr>
                  </w:pPr>
                </w:p>
              </w:tc>
            </w:tr>
            <w:tr w14:paraId="78CAC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122" w:type="dxa"/>
                  <w:vAlign w:val="center"/>
                </w:tcPr>
                <w:p w14:paraId="4A2B79E0">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3</w:t>
                  </w:r>
                </w:p>
              </w:tc>
              <w:tc>
                <w:tcPr>
                  <w:tcW w:w="2010" w:type="dxa"/>
                  <w:vAlign w:val="center"/>
                </w:tcPr>
                <w:p w14:paraId="7DDBAC44">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2#沥青泵</w:t>
                  </w:r>
                </w:p>
              </w:tc>
              <w:tc>
                <w:tcPr>
                  <w:tcW w:w="1566" w:type="dxa"/>
                  <w:vAlign w:val="center"/>
                </w:tcPr>
                <w:p w14:paraId="19263AD2">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55.21</w:t>
                  </w:r>
                </w:p>
              </w:tc>
              <w:tc>
                <w:tcPr>
                  <w:tcW w:w="1566" w:type="dxa"/>
                  <w:vAlign w:val="center"/>
                </w:tcPr>
                <w:p w14:paraId="4A35C471">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13.84</w:t>
                  </w:r>
                </w:p>
              </w:tc>
              <w:tc>
                <w:tcPr>
                  <w:tcW w:w="1566" w:type="dxa"/>
                  <w:vAlign w:val="center"/>
                </w:tcPr>
                <w:p w14:paraId="3B74B728">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w:t>
                  </w:r>
                </w:p>
              </w:tc>
              <w:tc>
                <w:tcPr>
                  <w:tcW w:w="1566" w:type="dxa"/>
                  <w:vAlign w:val="center"/>
                </w:tcPr>
                <w:p w14:paraId="5AAA3776">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70</w:t>
                  </w:r>
                </w:p>
              </w:tc>
              <w:tc>
                <w:tcPr>
                  <w:tcW w:w="1851" w:type="dxa"/>
                  <w:vMerge w:val="continue"/>
                  <w:vAlign w:val="center"/>
                </w:tcPr>
                <w:p w14:paraId="63CAEDA9">
                  <w:pPr>
                    <w:pStyle w:val="12"/>
                    <w:keepLines/>
                    <w:adjustRightInd w:val="0"/>
                    <w:snapToGrid w:val="0"/>
                    <w:spacing w:line="240" w:lineRule="auto"/>
                    <w:ind w:firstLine="0" w:firstLineChars="0"/>
                    <w:jc w:val="center"/>
                    <w:rPr>
                      <w:rFonts w:ascii="Times New Roman" w:hAnsi="Times New Roman"/>
                      <w:kern w:val="0"/>
                      <w:sz w:val="21"/>
                    </w:rPr>
                  </w:pPr>
                </w:p>
              </w:tc>
              <w:tc>
                <w:tcPr>
                  <w:tcW w:w="1282" w:type="dxa"/>
                  <w:vMerge w:val="continue"/>
                  <w:vAlign w:val="center"/>
                </w:tcPr>
                <w:p w14:paraId="39DFF1EB">
                  <w:pPr>
                    <w:pStyle w:val="12"/>
                    <w:keepLines/>
                    <w:adjustRightInd w:val="0"/>
                    <w:snapToGrid w:val="0"/>
                    <w:spacing w:line="240" w:lineRule="auto"/>
                    <w:ind w:firstLine="0" w:firstLineChars="0"/>
                    <w:jc w:val="center"/>
                    <w:rPr>
                      <w:rFonts w:ascii="Times New Roman" w:hAnsi="Times New Roman"/>
                      <w:kern w:val="0"/>
                      <w:sz w:val="21"/>
                    </w:rPr>
                  </w:pPr>
                </w:p>
              </w:tc>
            </w:tr>
            <w:tr w14:paraId="4E81E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122" w:type="dxa"/>
                  <w:vAlign w:val="center"/>
                </w:tcPr>
                <w:p w14:paraId="535824B2">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4</w:t>
                  </w:r>
                </w:p>
              </w:tc>
              <w:tc>
                <w:tcPr>
                  <w:tcW w:w="2010" w:type="dxa"/>
                  <w:vAlign w:val="center"/>
                </w:tcPr>
                <w:p w14:paraId="7350A07F">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2#皮带传输机</w:t>
                  </w:r>
                </w:p>
              </w:tc>
              <w:tc>
                <w:tcPr>
                  <w:tcW w:w="1566" w:type="dxa"/>
                  <w:vAlign w:val="center"/>
                </w:tcPr>
                <w:p w14:paraId="53F073E7">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38.6</w:t>
                  </w:r>
                </w:p>
              </w:tc>
              <w:tc>
                <w:tcPr>
                  <w:tcW w:w="1566" w:type="dxa"/>
                  <w:vAlign w:val="center"/>
                </w:tcPr>
                <w:p w14:paraId="25B52D8D">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17.09</w:t>
                  </w:r>
                </w:p>
              </w:tc>
              <w:tc>
                <w:tcPr>
                  <w:tcW w:w="1566" w:type="dxa"/>
                  <w:vAlign w:val="center"/>
                </w:tcPr>
                <w:p w14:paraId="6A6B5A0B">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w:t>
                  </w:r>
                </w:p>
              </w:tc>
              <w:tc>
                <w:tcPr>
                  <w:tcW w:w="1566" w:type="dxa"/>
                  <w:vAlign w:val="center"/>
                </w:tcPr>
                <w:p w14:paraId="2C60C1CE">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65</w:t>
                  </w:r>
                </w:p>
              </w:tc>
              <w:tc>
                <w:tcPr>
                  <w:tcW w:w="1851" w:type="dxa"/>
                  <w:vMerge w:val="continue"/>
                  <w:vAlign w:val="center"/>
                </w:tcPr>
                <w:p w14:paraId="20A8C7C3">
                  <w:pPr>
                    <w:pStyle w:val="12"/>
                    <w:keepLines/>
                    <w:adjustRightInd w:val="0"/>
                    <w:snapToGrid w:val="0"/>
                    <w:spacing w:line="240" w:lineRule="auto"/>
                    <w:ind w:firstLine="0" w:firstLineChars="0"/>
                    <w:jc w:val="center"/>
                    <w:rPr>
                      <w:rFonts w:ascii="Times New Roman" w:hAnsi="Times New Roman"/>
                      <w:kern w:val="0"/>
                      <w:sz w:val="21"/>
                    </w:rPr>
                  </w:pPr>
                </w:p>
              </w:tc>
              <w:tc>
                <w:tcPr>
                  <w:tcW w:w="1282" w:type="dxa"/>
                  <w:vMerge w:val="continue"/>
                  <w:vAlign w:val="center"/>
                </w:tcPr>
                <w:p w14:paraId="3A4FC55F">
                  <w:pPr>
                    <w:pStyle w:val="12"/>
                    <w:keepLines/>
                    <w:adjustRightInd w:val="0"/>
                    <w:snapToGrid w:val="0"/>
                    <w:spacing w:line="240" w:lineRule="auto"/>
                    <w:ind w:firstLine="0" w:firstLineChars="0"/>
                    <w:jc w:val="center"/>
                    <w:rPr>
                      <w:rFonts w:ascii="Times New Roman" w:hAnsi="Times New Roman"/>
                      <w:kern w:val="0"/>
                      <w:sz w:val="21"/>
                    </w:rPr>
                  </w:pPr>
                </w:p>
              </w:tc>
            </w:tr>
            <w:tr w14:paraId="76491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122" w:type="dxa"/>
                  <w:vAlign w:val="center"/>
                </w:tcPr>
                <w:p w14:paraId="3DA5BAB0">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5</w:t>
                  </w:r>
                </w:p>
              </w:tc>
              <w:tc>
                <w:tcPr>
                  <w:tcW w:w="2010" w:type="dxa"/>
                  <w:vAlign w:val="center"/>
                </w:tcPr>
                <w:p w14:paraId="4DEA66D7">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3#沥青泵</w:t>
                  </w:r>
                </w:p>
              </w:tc>
              <w:tc>
                <w:tcPr>
                  <w:tcW w:w="1566" w:type="dxa"/>
                  <w:vAlign w:val="center"/>
                </w:tcPr>
                <w:p w14:paraId="7691258F">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55.3</w:t>
                  </w:r>
                </w:p>
              </w:tc>
              <w:tc>
                <w:tcPr>
                  <w:tcW w:w="1566" w:type="dxa"/>
                  <w:vAlign w:val="center"/>
                </w:tcPr>
                <w:p w14:paraId="01DD6E93">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6.29</w:t>
                  </w:r>
                </w:p>
              </w:tc>
              <w:tc>
                <w:tcPr>
                  <w:tcW w:w="1566" w:type="dxa"/>
                  <w:vAlign w:val="center"/>
                </w:tcPr>
                <w:p w14:paraId="4C7AC056">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w:t>
                  </w:r>
                </w:p>
              </w:tc>
              <w:tc>
                <w:tcPr>
                  <w:tcW w:w="1566" w:type="dxa"/>
                  <w:vAlign w:val="center"/>
                </w:tcPr>
                <w:p w14:paraId="51B9639B">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70</w:t>
                  </w:r>
                </w:p>
              </w:tc>
              <w:tc>
                <w:tcPr>
                  <w:tcW w:w="1851" w:type="dxa"/>
                  <w:vMerge w:val="continue"/>
                  <w:vAlign w:val="center"/>
                </w:tcPr>
                <w:p w14:paraId="39905559">
                  <w:pPr>
                    <w:pStyle w:val="12"/>
                    <w:keepLines/>
                    <w:adjustRightInd w:val="0"/>
                    <w:snapToGrid w:val="0"/>
                    <w:spacing w:line="240" w:lineRule="auto"/>
                    <w:ind w:firstLine="0" w:firstLineChars="0"/>
                    <w:jc w:val="center"/>
                    <w:rPr>
                      <w:rFonts w:ascii="Times New Roman" w:hAnsi="Times New Roman"/>
                      <w:kern w:val="0"/>
                      <w:sz w:val="21"/>
                    </w:rPr>
                  </w:pPr>
                </w:p>
              </w:tc>
              <w:tc>
                <w:tcPr>
                  <w:tcW w:w="1282" w:type="dxa"/>
                  <w:vMerge w:val="continue"/>
                  <w:vAlign w:val="center"/>
                </w:tcPr>
                <w:p w14:paraId="0CC1CBD6">
                  <w:pPr>
                    <w:pStyle w:val="12"/>
                    <w:keepLines/>
                    <w:adjustRightInd w:val="0"/>
                    <w:snapToGrid w:val="0"/>
                    <w:spacing w:line="240" w:lineRule="auto"/>
                    <w:ind w:firstLine="0" w:firstLineChars="0"/>
                    <w:jc w:val="center"/>
                    <w:rPr>
                      <w:rFonts w:ascii="Times New Roman" w:hAnsi="Times New Roman"/>
                      <w:kern w:val="0"/>
                      <w:sz w:val="21"/>
                    </w:rPr>
                  </w:pPr>
                </w:p>
              </w:tc>
            </w:tr>
            <w:tr w14:paraId="32BA2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122" w:type="dxa"/>
                  <w:vAlign w:val="center"/>
                </w:tcPr>
                <w:p w14:paraId="60C3E1B7">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6</w:t>
                  </w:r>
                </w:p>
              </w:tc>
              <w:tc>
                <w:tcPr>
                  <w:tcW w:w="2010" w:type="dxa"/>
                  <w:vAlign w:val="center"/>
                </w:tcPr>
                <w:p w14:paraId="491EEF51">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导热油炉风机</w:t>
                  </w:r>
                </w:p>
              </w:tc>
              <w:tc>
                <w:tcPr>
                  <w:tcW w:w="1566" w:type="dxa"/>
                  <w:vAlign w:val="center"/>
                </w:tcPr>
                <w:p w14:paraId="405FAD06">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51.47</w:t>
                  </w:r>
                </w:p>
              </w:tc>
              <w:tc>
                <w:tcPr>
                  <w:tcW w:w="1566" w:type="dxa"/>
                  <w:vAlign w:val="center"/>
                </w:tcPr>
                <w:p w14:paraId="2F52EB2A">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22.86</w:t>
                  </w:r>
                </w:p>
              </w:tc>
              <w:tc>
                <w:tcPr>
                  <w:tcW w:w="1566" w:type="dxa"/>
                  <w:vAlign w:val="center"/>
                </w:tcPr>
                <w:p w14:paraId="2D40E43D">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w:t>
                  </w:r>
                </w:p>
              </w:tc>
              <w:tc>
                <w:tcPr>
                  <w:tcW w:w="1566" w:type="dxa"/>
                  <w:vAlign w:val="center"/>
                </w:tcPr>
                <w:p w14:paraId="1129F946">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85</w:t>
                  </w:r>
                </w:p>
              </w:tc>
              <w:tc>
                <w:tcPr>
                  <w:tcW w:w="1851" w:type="dxa"/>
                  <w:vMerge w:val="continue"/>
                  <w:vAlign w:val="center"/>
                </w:tcPr>
                <w:p w14:paraId="403AA6EA">
                  <w:pPr>
                    <w:pStyle w:val="12"/>
                    <w:keepLines/>
                    <w:adjustRightInd w:val="0"/>
                    <w:snapToGrid w:val="0"/>
                    <w:spacing w:line="240" w:lineRule="auto"/>
                    <w:ind w:firstLine="0" w:firstLineChars="0"/>
                    <w:jc w:val="center"/>
                    <w:rPr>
                      <w:rFonts w:ascii="Times New Roman" w:hAnsi="Times New Roman"/>
                      <w:kern w:val="0"/>
                      <w:sz w:val="21"/>
                    </w:rPr>
                  </w:pPr>
                </w:p>
              </w:tc>
              <w:tc>
                <w:tcPr>
                  <w:tcW w:w="1282" w:type="dxa"/>
                  <w:vMerge w:val="continue"/>
                  <w:vAlign w:val="center"/>
                </w:tcPr>
                <w:p w14:paraId="344ECF11">
                  <w:pPr>
                    <w:pStyle w:val="12"/>
                    <w:keepLines/>
                    <w:adjustRightInd w:val="0"/>
                    <w:snapToGrid w:val="0"/>
                    <w:spacing w:line="240" w:lineRule="auto"/>
                    <w:ind w:firstLine="0" w:firstLineChars="0"/>
                    <w:jc w:val="center"/>
                    <w:rPr>
                      <w:rFonts w:ascii="Times New Roman" w:hAnsi="Times New Roman"/>
                      <w:kern w:val="0"/>
                      <w:sz w:val="21"/>
                    </w:rPr>
                  </w:pPr>
                </w:p>
              </w:tc>
            </w:tr>
            <w:tr w14:paraId="1570E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122" w:type="dxa"/>
                  <w:vAlign w:val="center"/>
                </w:tcPr>
                <w:p w14:paraId="65CEBFE6">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7</w:t>
                  </w:r>
                </w:p>
              </w:tc>
              <w:tc>
                <w:tcPr>
                  <w:tcW w:w="2010" w:type="dxa"/>
                  <w:vAlign w:val="center"/>
                </w:tcPr>
                <w:p w14:paraId="67D24DC9">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干燥筒</w:t>
                  </w:r>
                </w:p>
              </w:tc>
              <w:tc>
                <w:tcPr>
                  <w:tcW w:w="1566" w:type="dxa"/>
                  <w:vAlign w:val="center"/>
                </w:tcPr>
                <w:p w14:paraId="5D4A7886">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37.22</w:t>
                  </w:r>
                </w:p>
              </w:tc>
              <w:tc>
                <w:tcPr>
                  <w:tcW w:w="1566" w:type="dxa"/>
                  <w:vAlign w:val="center"/>
                </w:tcPr>
                <w:p w14:paraId="0615762A">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10.63</w:t>
                  </w:r>
                </w:p>
              </w:tc>
              <w:tc>
                <w:tcPr>
                  <w:tcW w:w="1566" w:type="dxa"/>
                  <w:vAlign w:val="center"/>
                </w:tcPr>
                <w:p w14:paraId="39D240FB">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w:t>
                  </w:r>
                </w:p>
              </w:tc>
              <w:tc>
                <w:tcPr>
                  <w:tcW w:w="1566" w:type="dxa"/>
                  <w:vAlign w:val="center"/>
                </w:tcPr>
                <w:p w14:paraId="4F614159">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70</w:t>
                  </w:r>
                </w:p>
              </w:tc>
              <w:tc>
                <w:tcPr>
                  <w:tcW w:w="1851" w:type="dxa"/>
                  <w:vMerge w:val="continue"/>
                  <w:vAlign w:val="center"/>
                </w:tcPr>
                <w:p w14:paraId="370E8FBD">
                  <w:pPr>
                    <w:pStyle w:val="12"/>
                    <w:keepLines/>
                    <w:adjustRightInd w:val="0"/>
                    <w:snapToGrid w:val="0"/>
                    <w:spacing w:line="240" w:lineRule="auto"/>
                    <w:ind w:firstLine="0" w:firstLineChars="0"/>
                    <w:jc w:val="center"/>
                    <w:rPr>
                      <w:rFonts w:ascii="Times New Roman" w:hAnsi="Times New Roman"/>
                      <w:kern w:val="0"/>
                      <w:sz w:val="21"/>
                    </w:rPr>
                  </w:pPr>
                </w:p>
              </w:tc>
              <w:tc>
                <w:tcPr>
                  <w:tcW w:w="1282" w:type="dxa"/>
                  <w:vMerge w:val="continue"/>
                  <w:vAlign w:val="center"/>
                </w:tcPr>
                <w:p w14:paraId="7A3C6E3C">
                  <w:pPr>
                    <w:pStyle w:val="12"/>
                    <w:keepLines/>
                    <w:adjustRightInd w:val="0"/>
                    <w:snapToGrid w:val="0"/>
                    <w:spacing w:line="240" w:lineRule="auto"/>
                    <w:ind w:firstLine="0" w:firstLineChars="0"/>
                    <w:jc w:val="center"/>
                    <w:rPr>
                      <w:rFonts w:ascii="Times New Roman" w:hAnsi="Times New Roman"/>
                      <w:kern w:val="0"/>
                      <w:sz w:val="21"/>
                    </w:rPr>
                  </w:pPr>
                </w:p>
              </w:tc>
            </w:tr>
            <w:tr w14:paraId="3F098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122" w:type="dxa"/>
                  <w:vAlign w:val="center"/>
                </w:tcPr>
                <w:p w14:paraId="14A75619">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8</w:t>
                  </w:r>
                </w:p>
              </w:tc>
              <w:tc>
                <w:tcPr>
                  <w:tcW w:w="2010" w:type="dxa"/>
                  <w:vAlign w:val="center"/>
                </w:tcPr>
                <w:p w14:paraId="5F5BD168">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提升机</w:t>
                  </w:r>
                </w:p>
              </w:tc>
              <w:tc>
                <w:tcPr>
                  <w:tcW w:w="1566" w:type="dxa"/>
                  <w:vAlign w:val="center"/>
                </w:tcPr>
                <w:p w14:paraId="22A5720A">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31.87</w:t>
                  </w:r>
                </w:p>
              </w:tc>
              <w:tc>
                <w:tcPr>
                  <w:tcW w:w="1566" w:type="dxa"/>
                  <w:vAlign w:val="center"/>
                </w:tcPr>
                <w:p w14:paraId="43A22295">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12.32</w:t>
                  </w:r>
                </w:p>
              </w:tc>
              <w:tc>
                <w:tcPr>
                  <w:tcW w:w="1566" w:type="dxa"/>
                  <w:vAlign w:val="center"/>
                </w:tcPr>
                <w:p w14:paraId="06F03AA3">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w:t>
                  </w:r>
                </w:p>
              </w:tc>
              <w:tc>
                <w:tcPr>
                  <w:tcW w:w="1566" w:type="dxa"/>
                  <w:vAlign w:val="center"/>
                </w:tcPr>
                <w:p w14:paraId="6CB326E8">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75</w:t>
                  </w:r>
                </w:p>
              </w:tc>
              <w:tc>
                <w:tcPr>
                  <w:tcW w:w="1851" w:type="dxa"/>
                  <w:vMerge w:val="continue"/>
                  <w:vAlign w:val="center"/>
                </w:tcPr>
                <w:p w14:paraId="7FA5DFD5">
                  <w:pPr>
                    <w:pStyle w:val="12"/>
                    <w:keepLines/>
                    <w:adjustRightInd w:val="0"/>
                    <w:snapToGrid w:val="0"/>
                    <w:spacing w:line="240" w:lineRule="auto"/>
                    <w:ind w:firstLine="0" w:firstLineChars="0"/>
                    <w:jc w:val="center"/>
                    <w:rPr>
                      <w:rFonts w:ascii="Times New Roman" w:hAnsi="Times New Roman"/>
                      <w:kern w:val="0"/>
                      <w:sz w:val="21"/>
                    </w:rPr>
                  </w:pPr>
                </w:p>
              </w:tc>
              <w:tc>
                <w:tcPr>
                  <w:tcW w:w="1282" w:type="dxa"/>
                  <w:vMerge w:val="continue"/>
                  <w:vAlign w:val="center"/>
                </w:tcPr>
                <w:p w14:paraId="4D5C9A50">
                  <w:pPr>
                    <w:pStyle w:val="12"/>
                    <w:keepLines/>
                    <w:adjustRightInd w:val="0"/>
                    <w:snapToGrid w:val="0"/>
                    <w:spacing w:line="240" w:lineRule="auto"/>
                    <w:ind w:firstLine="0" w:firstLineChars="0"/>
                    <w:jc w:val="center"/>
                    <w:rPr>
                      <w:rFonts w:ascii="Times New Roman" w:hAnsi="Times New Roman"/>
                      <w:kern w:val="0"/>
                      <w:sz w:val="21"/>
                    </w:rPr>
                  </w:pPr>
                </w:p>
              </w:tc>
            </w:tr>
            <w:tr w14:paraId="18011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122" w:type="dxa"/>
                  <w:vAlign w:val="center"/>
                </w:tcPr>
                <w:p w14:paraId="16142077">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9</w:t>
                  </w:r>
                </w:p>
              </w:tc>
              <w:tc>
                <w:tcPr>
                  <w:tcW w:w="2010" w:type="dxa"/>
                  <w:vAlign w:val="center"/>
                </w:tcPr>
                <w:p w14:paraId="5951E13A">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搅拌器</w:t>
                  </w:r>
                </w:p>
              </w:tc>
              <w:tc>
                <w:tcPr>
                  <w:tcW w:w="1566" w:type="dxa"/>
                  <w:vAlign w:val="center"/>
                </w:tcPr>
                <w:p w14:paraId="669A6A45">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40.96</w:t>
                  </w:r>
                </w:p>
              </w:tc>
              <w:tc>
                <w:tcPr>
                  <w:tcW w:w="1566" w:type="dxa"/>
                  <w:vAlign w:val="center"/>
                </w:tcPr>
                <w:p w14:paraId="0E2AB7A7">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11.99</w:t>
                  </w:r>
                </w:p>
              </w:tc>
              <w:tc>
                <w:tcPr>
                  <w:tcW w:w="1566" w:type="dxa"/>
                  <w:vAlign w:val="center"/>
                </w:tcPr>
                <w:p w14:paraId="0055CFF5">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w:t>
                  </w:r>
                </w:p>
              </w:tc>
              <w:tc>
                <w:tcPr>
                  <w:tcW w:w="1566" w:type="dxa"/>
                  <w:vAlign w:val="center"/>
                </w:tcPr>
                <w:p w14:paraId="73D434B6">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75</w:t>
                  </w:r>
                </w:p>
              </w:tc>
              <w:tc>
                <w:tcPr>
                  <w:tcW w:w="1851" w:type="dxa"/>
                  <w:vMerge w:val="continue"/>
                  <w:vAlign w:val="center"/>
                </w:tcPr>
                <w:p w14:paraId="00EFC923">
                  <w:pPr>
                    <w:pStyle w:val="12"/>
                    <w:keepLines/>
                    <w:adjustRightInd w:val="0"/>
                    <w:snapToGrid w:val="0"/>
                    <w:spacing w:line="240" w:lineRule="auto"/>
                    <w:ind w:firstLine="0" w:firstLineChars="0"/>
                    <w:jc w:val="center"/>
                    <w:rPr>
                      <w:rFonts w:ascii="Times New Roman" w:hAnsi="Times New Roman"/>
                      <w:kern w:val="0"/>
                      <w:sz w:val="21"/>
                    </w:rPr>
                  </w:pPr>
                </w:p>
              </w:tc>
              <w:tc>
                <w:tcPr>
                  <w:tcW w:w="1282" w:type="dxa"/>
                  <w:vMerge w:val="continue"/>
                  <w:vAlign w:val="center"/>
                </w:tcPr>
                <w:p w14:paraId="4A6661E3">
                  <w:pPr>
                    <w:pStyle w:val="12"/>
                    <w:keepLines/>
                    <w:adjustRightInd w:val="0"/>
                    <w:snapToGrid w:val="0"/>
                    <w:spacing w:line="240" w:lineRule="auto"/>
                    <w:ind w:firstLine="0" w:firstLineChars="0"/>
                    <w:jc w:val="center"/>
                    <w:rPr>
                      <w:rFonts w:ascii="Times New Roman" w:hAnsi="Times New Roman"/>
                      <w:kern w:val="0"/>
                      <w:sz w:val="21"/>
                    </w:rPr>
                  </w:pPr>
                </w:p>
              </w:tc>
            </w:tr>
            <w:tr w14:paraId="2CB6E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122" w:type="dxa"/>
                  <w:vAlign w:val="center"/>
                </w:tcPr>
                <w:p w14:paraId="7CBD04C0">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10</w:t>
                  </w:r>
                </w:p>
              </w:tc>
              <w:tc>
                <w:tcPr>
                  <w:tcW w:w="2010" w:type="dxa"/>
                  <w:vAlign w:val="center"/>
                </w:tcPr>
                <w:p w14:paraId="52EA227F">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沥青烟气收集风机</w:t>
                  </w:r>
                </w:p>
              </w:tc>
              <w:tc>
                <w:tcPr>
                  <w:tcW w:w="1566" w:type="dxa"/>
                  <w:vAlign w:val="center"/>
                </w:tcPr>
                <w:p w14:paraId="12BF7A61">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40.8</w:t>
                  </w:r>
                </w:p>
              </w:tc>
              <w:tc>
                <w:tcPr>
                  <w:tcW w:w="1566" w:type="dxa"/>
                  <w:vAlign w:val="center"/>
                </w:tcPr>
                <w:p w14:paraId="31EA6376">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7.23</w:t>
                  </w:r>
                </w:p>
              </w:tc>
              <w:tc>
                <w:tcPr>
                  <w:tcW w:w="1566" w:type="dxa"/>
                  <w:vAlign w:val="center"/>
                </w:tcPr>
                <w:p w14:paraId="3E0BF016">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w:t>
                  </w:r>
                </w:p>
              </w:tc>
              <w:tc>
                <w:tcPr>
                  <w:tcW w:w="1566" w:type="dxa"/>
                  <w:vAlign w:val="center"/>
                </w:tcPr>
                <w:p w14:paraId="1539AD21">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85</w:t>
                  </w:r>
                </w:p>
              </w:tc>
              <w:tc>
                <w:tcPr>
                  <w:tcW w:w="1851" w:type="dxa"/>
                  <w:vMerge w:val="continue"/>
                  <w:vAlign w:val="center"/>
                </w:tcPr>
                <w:p w14:paraId="291482E6">
                  <w:pPr>
                    <w:pStyle w:val="12"/>
                    <w:keepLines/>
                    <w:adjustRightInd w:val="0"/>
                    <w:snapToGrid w:val="0"/>
                    <w:spacing w:line="240" w:lineRule="auto"/>
                    <w:ind w:firstLine="0" w:firstLineChars="0"/>
                    <w:jc w:val="center"/>
                    <w:rPr>
                      <w:rFonts w:ascii="Times New Roman" w:hAnsi="Times New Roman"/>
                      <w:kern w:val="0"/>
                      <w:sz w:val="21"/>
                    </w:rPr>
                  </w:pPr>
                </w:p>
              </w:tc>
              <w:tc>
                <w:tcPr>
                  <w:tcW w:w="1282" w:type="dxa"/>
                  <w:vMerge w:val="continue"/>
                  <w:vAlign w:val="center"/>
                </w:tcPr>
                <w:p w14:paraId="04DECE5C">
                  <w:pPr>
                    <w:pStyle w:val="12"/>
                    <w:keepLines/>
                    <w:adjustRightInd w:val="0"/>
                    <w:snapToGrid w:val="0"/>
                    <w:spacing w:line="240" w:lineRule="auto"/>
                    <w:ind w:firstLine="0" w:firstLineChars="0"/>
                    <w:jc w:val="center"/>
                    <w:rPr>
                      <w:rFonts w:ascii="Times New Roman" w:hAnsi="Times New Roman"/>
                      <w:kern w:val="0"/>
                      <w:sz w:val="21"/>
                    </w:rPr>
                  </w:pPr>
                </w:p>
              </w:tc>
            </w:tr>
            <w:tr w14:paraId="6D23A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122" w:type="dxa"/>
                  <w:vAlign w:val="center"/>
                </w:tcPr>
                <w:p w14:paraId="7550DE4F">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11</w:t>
                  </w:r>
                </w:p>
              </w:tc>
              <w:tc>
                <w:tcPr>
                  <w:tcW w:w="2010" w:type="dxa"/>
                  <w:vAlign w:val="center"/>
                </w:tcPr>
                <w:p w14:paraId="28A8648F">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燃油泵</w:t>
                  </w:r>
                </w:p>
              </w:tc>
              <w:tc>
                <w:tcPr>
                  <w:tcW w:w="1566" w:type="dxa"/>
                  <w:vAlign w:val="center"/>
                </w:tcPr>
                <w:p w14:paraId="3DED2B05">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55.69</w:t>
                  </w:r>
                </w:p>
              </w:tc>
              <w:tc>
                <w:tcPr>
                  <w:tcW w:w="1566" w:type="dxa"/>
                  <w:vAlign w:val="center"/>
                </w:tcPr>
                <w:p w14:paraId="36FDD5BF">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32.71</w:t>
                  </w:r>
                </w:p>
              </w:tc>
              <w:tc>
                <w:tcPr>
                  <w:tcW w:w="1566" w:type="dxa"/>
                  <w:vAlign w:val="center"/>
                </w:tcPr>
                <w:p w14:paraId="04F8E2D5">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w:t>
                  </w:r>
                </w:p>
              </w:tc>
              <w:tc>
                <w:tcPr>
                  <w:tcW w:w="1566" w:type="dxa"/>
                  <w:vAlign w:val="center"/>
                </w:tcPr>
                <w:p w14:paraId="527F027D">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75</w:t>
                  </w:r>
                </w:p>
              </w:tc>
              <w:tc>
                <w:tcPr>
                  <w:tcW w:w="1851" w:type="dxa"/>
                  <w:vMerge w:val="continue"/>
                  <w:vAlign w:val="center"/>
                </w:tcPr>
                <w:p w14:paraId="746AC2EB">
                  <w:pPr>
                    <w:pStyle w:val="12"/>
                    <w:keepLines/>
                    <w:adjustRightInd w:val="0"/>
                    <w:snapToGrid w:val="0"/>
                    <w:spacing w:line="240" w:lineRule="auto"/>
                    <w:ind w:firstLine="0" w:firstLineChars="0"/>
                    <w:jc w:val="center"/>
                    <w:rPr>
                      <w:rFonts w:ascii="Times New Roman" w:hAnsi="Times New Roman"/>
                      <w:kern w:val="0"/>
                      <w:sz w:val="21"/>
                    </w:rPr>
                  </w:pPr>
                </w:p>
              </w:tc>
              <w:tc>
                <w:tcPr>
                  <w:tcW w:w="1282" w:type="dxa"/>
                  <w:vMerge w:val="continue"/>
                  <w:vAlign w:val="center"/>
                </w:tcPr>
                <w:p w14:paraId="16FFEAED">
                  <w:pPr>
                    <w:pStyle w:val="12"/>
                    <w:keepLines/>
                    <w:adjustRightInd w:val="0"/>
                    <w:snapToGrid w:val="0"/>
                    <w:spacing w:line="240" w:lineRule="auto"/>
                    <w:ind w:firstLine="0" w:firstLineChars="0"/>
                    <w:jc w:val="center"/>
                    <w:rPr>
                      <w:rFonts w:ascii="Times New Roman" w:hAnsi="Times New Roman"/>
                      <w:kern w:val="0"/>
                      <w:sz w:val="21"/>
                    </w:rPr>
                  </w:pPr>
                </w:p>
              </w:tc>
            </w:tr>
            <w:tr w14:paraId="23EFE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122" w:type="dxa"/>
                  <w:vAlign w:val="center"/>
                </w:tcPr>
                <w:p w14:paraId="4ADAEE4F">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12</w:t>
                  </w:r>
                </w:p>
              </w:tc>
              <w:tc>
                <w:tcPr>
                  <w:tcW w:w="2010" w:type="dxa"/>
                  <w:vAlign w:val="center"/>
                </w:tcPr>
                <w:p w14:paraId="5346322F">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除尘风机</w:t>
                  </w:r>
                </w:p>
              </w:tc>
              <w:tc>
                <w:tcPr>
                  <w:tcW w:w="1566" w:type="dxa"/>
                  <w:vAlign w:val="center"/>
                </w:tcPr>
                <w:p w14:paraId="4DD3FE2E">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27.97</w:t>
                  </w:r>
                </w:p>
              </w:tc>
              <w:tc>
                <w:tcPr>
                  <w:tcW w:w="1566" w:type="dxa"/>
                  <w:vAlign w:val="center"/>
                </w:tcPr>
                <w:p w14:paraId="165DD3C5">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17.16</w:t>
                  </w:r>
                </w:p>
              </w:tc>
              <w:tc>
                <w:tcPr>
                  <w:tcW w:w="1566" w:type="dxa"/>
                  <w:vAlign w:val="center"/>
                </w:tcPr>
                <w:p w14:paraId="6FF3DA08">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w:t>
                  </w:r>
                </w:p>
              </w:tc>
              <w:tc>
                <w:tcPr>
                  <w:tcW w:w="1566" w:type="dxa"/>
                  <w:vAlign w:val="center"/>
                </w:tcPr>
                <w:p w14:paraId="27077197">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85</w:t>
                  </w:r>
                </w:p>
              </w:tc>
              <w:tc>
                <w:tcPr>
                  <w:tcW w:w="1851" w:type="dxa"/>
                  <w:vMerge w:val="continue"/>
                  <w:vAlign w:val="center"/>
                </w:tcPr>
                <w:p w14:paraId="08C3BB2B">
                  <w:pPr>
                    <w:pStyle w:val="12"/>
                    <w:keepLines/>
                    <w:adjustRightInd w:val="0"/>
                    <w:snapToGrid w:val="0"/>
                    <w:spacing w:line="240" w:lineRule="auto"/>
                    <w:ind w:firstLine="0" w:firstLineChars="0"/>
                    <w:jc w:val="center"/>
                    <w:rPr>
                      <w:rFonts w:ascii="Times New Roman" w:hAnsi="Times New Roman"/>
                      <w:kern w:val="0"/>
                      <w:sz w:val="21"/>
                    </w:rPr>
                  </w:pPr>
                </w:p>
              </w:tc>
              <w:tc>
                <w:tcPr>
                  <w:tcW w:w="1282" w:type="dxa"/>
                  <w:vMerge w:val="continue"/>
                  <w:vAlign w:val="center"/>
                </w:tcPr>
                <w:p w14:paraId="40BCEE3C">
                  <w:pPr>
                    <w:pStyle w:val="12"/>
                    <w:keepLines/>
                    <w:adjustRightInd w:val="0"/>
                    <w:snapToGrid w:val="0"/>
                    <w:spacing w:line="240" w:lineRule="auto"/>
                    <w:ind w:firstLine="0" w:firstLineChars="0"/>
                    <w:jc w:val="center"/>
                    <w:rPr>
                      <w:rFonts w:ascii="Times New Roman" w:hAnsi="Times New Roman"/>
                      <w:kern w:val="0"/>
                      <w:sz w:val="21"/>
                    </w:rPr>
                  </w:pPr>
                </w:p>
              </w:tc>
            </w:tr>
            <w:tr w14:paraId="5FD68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529" w:type="dxa"/>
                  <w:gridSpan w:val="8"/>
                  <w:vAlign w:val="center"/>
                </w:tcPr>
                <w:p w14:paraId="76A0A1AA">
                  <w:pPr>
                    <w:pStyle w:val="22"/>
                    <w:widowControl w:val="0"/>
                    <w:adjustRightInd w:val="0"/>
                    <w:snapToGrid w:val="0"/>
                    <w:spacing w:before="0" w:beforeAutospacing="0" w:after="0" w:afterAutospacing="0" w:line="240" w:lineRule="auto"/>
                    <w:ind w:firstLine="0" w:firstLineChars="0"/>
                    <w:jc w:val="both"/>
                    <w:rPr>
                      <w:rFonts w:ascii="Times New Roman" w:hAnsi="Times New Roman"/>
                      <w:b/>
                      <w:bCs/>
                      <w:sz w:val="20"/>
                    </w:rPr>
                  </w:pPr>
                  <w:r>
                    <w:rPr>
                      <w:rFonts w:ascii="Times New Roman" w:hAnsi="Times New Roman"/>
                      <w:b/>
                      <w:bCs/>
                      <w:sz w:val="20"/>
                    </w:rPr>
                    <w:t>备注：1、减振降噪</w:t>
                  </w:r>
                  <w:r>
                    <w:rPr>
                      <w:rFonts w:hint="eastAsia" w:ascii="Times New Roman" w:hAnsi="Times New Roman"/>
                      <w:b/>
                      <w:bCs/>
                      <w:sz w:val="20"/>
                    </w:rPr>
                    <w:t>中基础减振</w:t>
                  </w:r>
                  <w:r>
                    <w:rPr>
                      <w:rFonts w:ascii="Times New Roman" w:hAnsi="Times New Roman"/>
                      <w:b/>
                      <w:bCs/>
                      <w:sz w:val="20"/>
                    </w:rPr>
                    <w:t>按</w:t>
                  </w:r>
                  <w:r>
                    <w:rPr>
                      <w:rFonts w:hint="eastAsia" w:ascii="Times New Roman" w:hAnsi="Times New Roman"/>
                      <w:b/>
                      <w:bCs/>
                      <w:sz w:val="20"/>
                    </w:rPr>
                    <w:t>10</w:t>
                  </w:r>
                  <w:r>
                    <w:rPr>
                      <w:rFonts w:ascii="Times New Roman" w:hAnsi="Times New Roman"/>
                      <w:b/>
                      <w:bCs/>
                      <w:sz w:val="20"/>
                    </w:rPr>
                    <w:t>dB（A）计；</w:t>
                  </w:r>
                </w:p>
                <w:p w14:paraId="09C76203">
                  <w:pPr>
                    <w:pStyle w:val="12"/>
                    <w:keepLines/>
                    <w:adjustRightInd w:val="0"/>
                    <w:snapToGrid w:val="0"/>
                    <w:spacing w:line="240" w:lineRule="auto"/>
                    <w:ind w:firstLine="0" w:firstLineChars="0"/>
                    <w:rPr>
                      <w:rFonts w:ascii="Times New Roman" w:hAnsi="Times New Roman"/>
                      <w:kern w:val="0"/>
                      <w:sz w:val="21"/>
                    </w:rPr>
                  </w:pPr>
                  <w:r>
                    <w:rPr>
                      <w:rFonts w:hint="eastAsia" w:ascii="Times New Roman" w:hAnsi="Times New Roman"/>
                      <w:b/>
                      <w:bCs/>
                      <w:kern w:val="0"/>
                      <w:sz w:val="20"/>
                      <w:szCs w:val="20"/>
                    </w:rPr>
                    <w:t>2、</w:t>
                  </w:r>
                  <w:r>
                    <w:rPr>
                      <w:rFonts w:ascii="Times New Roman" w:hAnsi="Times New Roman"/>
                      <w:b/>
                      <w:bCs/>
                      <w:kern w:val="0"/>
                      <w:sz w:val="20"/>
                      <w:szCs w:val="20"/>
                    </w:rPr>
                    <w:t>表中坐标以</w:t>
                  </w:r>
                  <w:r>
                    <w:rPr>
                      <w:rFonts w:hint="eastAsia" w:ascii="Times New Roman" w:hAnsi="Times New Roman"/>
                      <w:b/>
                      <w:bCs/>
                      <w:kern w:val="0"/>
                      <w:sz w:val="20"/>
                      <w:szCs w:val="20"/>
                    </w:rPr>
                    <w:t>厂区西南角</w:t>
                  </w:r>
                  <w:r>
                    <w:rPr>
                      <w:rFonts w:ascii="Times New Roman" w:hAnsi="Times New Roman"/>
                      <w:b/>
                      <w:bCs/>
                      <w:kern w:val="0"/>
                      <w:sz w:val="20"/>
                      <w:szCs w:val="20"/>
                    </w:rPr>
                    <w:t>（经度</w:t>
                  </w:r>
                  <w:r>
                    <w:rPr>
                      <w:rFonts w:hint="eastAsia" w:ascii="Times New Roman" w:hAnsi="Times New Roman"/>
                      <w:b/>
                      <w:bCs/>
                      <w:kern w:val="0"/>
                      <w:sz w:val="20"/>
                      <w:szCs w:val="20"/>
                    </w:rPr>
                    <w:t>103°18′54.07448″</w:t>
                  </w:r>
                  <w:r>
                    <w:rPr>
                      <w:rFonts w:ascii="Times New Roman" w:hAnsi="Times New Roman"/>
                      <w:b/>
                      <w:bCs/>
                      <w:kern w:val="0"/>
                      <w:sz w:val="20"/>
                      <w:szCs w:val="20"/>
                    </w:rPr>
                    <w:t>，纬度</w:t>
                  </w:r>
                  <w:r>
                    <w:rPr>
                      <w:rFonts w:hint="eastAsia" w:ascii="Times New Roman" w:hAnsi="Times New Roman"/>
                      <w:b/>
                      <w:bCs/>
                      <w:kern w:val="0"/>
                      <w:sz w:val="20"/>
                      <w:szCs w:val="20"/>
                    </w:rPr>
                    <w:t>25°34′54.18911″</w:t>
                  </w:r>
                  <w:r>
                    <w:rPr>
                      <w:rFonts w:ascii="Times New Roman" w:hAnsi="Times New Roman"/>
                      <w:b/>
                      <w:bCs/>
                      <w:kern w:val="0"/>
                      <w:sz w:val="20"/>
                      <w:szCs w:val="20"/>
                    </w:rPr>
                    <w:t>）为坐标原点，正东为X轴正方向，正北为Y轴正方向。</w:t>
                  </w:r>
                </w:p>
              </w:tc>
            </w:tr>
          </w:tbl>
          <w:p w14:paraId="1DFF7988">
            <w:pPr>
              <w:spacing w:line="240" w:lineRule="auto"/>
              <w:ind w:firstLine="0" w:firstLineChars="0"/>
              <w:jc w:val="center"/>
              <w:rPr>
                <w:b/>
                <w:bCs/>
              </w:rPr>
            </w:pPr>
          </w:p>
          <w:p w14:paraId="245C8A0C">
            <w:pPr>
              <w:spacing w:line="240" w:lineRule="auto"/>
              <w:ind w:firstLine="0" w:firstLineChars="0"/>
            </w:pPr>
          </w:p>
        </w:tc>
      </w:tr>
    </w:tbl>
    <w:p w14:paraId="7963381E">
      <w:pPr>
        <w:ind w:firstLine="0" w:firstLineChars="0"/>
        <w:sectPr>
          <w:pgSz w:w="15840" w:h="12240" w:orient="landscape"/>
          <w:pgMar w:top="1800" w:right="1440" w:bottom="1800" w:left="1440" w:header="720" w:footer="720" w:gutter="0"/>
          <w:cols w:space="425" w:num="1"/>
          <w:docGrid w:type="lines" w:linePitch="312" w:charSpace="0"/>
        </w:sectPr>
      </w:pP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
        <w:gridCol w:w="8616"/>
      </w:tblGrid>
      <w:tr w14:paraId="52D58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32" w:hRule="atLeast"/>
        </w:trPr>
        <w:tc>
          <w:tcPr>
            <w:tcW w:w="240" w:type="dxa"/>
          </w:tcPr>
          <w:p w14:paraId="44397297">
            <w:pPr>
              <w:ind w:firstLine="480"/>
            </w:pPr>
          </w:p>
        </w:tc>
        <w:tc>
          <w:tcPr>
            <w:tcW w:w="8616" w:type="dxa"/>
          </w:tcPr>
          <w:p w14:paraId="333BD35B">
            <w:pPr>
              <w:ind w:firstLine="482"/>
            </w:pPr>
            <w:r>
              <w:rPr>
                <w:rFonts w:hint="eastAsia"/>
                <w:b/>
                <w:bCs/>
              </w:rPr>
              <w:t>2、噪声预测</w:t>
            </w:r>
          </w:p>
          <w:p w14:paraId="1F03E4C2">
            <w:pPr>
              <w:ind w:firstLine="480"/>
            </w:pPr>
            <w:r>
              <w:rPr>
                <w:rFonts w:hint="eastAsia"/>
              </w:rPr>
              <w:t>按照《环境影响评价技术导则声环境》（HJ2.4-2021），本项目噪声源主要是分布在生产车间内，预测计算中，采用点声源等距离衰减预测模型，预测计算中主要公式如下：</w:t>
            </w:r>
          </w:p>
          <w:p w14:paraId="3C66E53C">
            <w:pPr>
              <w:ind w:firstLine="480"/>
            </w:pPr>
            <w:r>
              <w:t>①</w:t>
            </w:r>
            <w:r>
              <w:rPr>
                <w:rFonts w:hint="eastAsia"/>
              </w:rPr>
              <w:t>采用点声源衰减模式，预测公式如下：</w:t>
            </w:r>
          </w:p>
          <w:p w14:paraId="13FCBA67">
            <w:pPr>
              <w:ind w:firstLine="480"/>
              <w:jc w:val="center"/>
              <w:rPr>
                <w:rFonts w:eastAsia="微软雅黑"/>
              </w:rPr>
            </w:pPr>
            <w:r>
              <w:rPr>
                <w:rFonts w:eastAsia="微软雅黑"/>
              </w:rPr>
              <w:t>LA（r）=Lr0-20lg（r/r0）-∆L</w:t>
            </w:r>
          </w:p>
          <w:p w14:paraId="0A28F93D">
            <w:pPr>
              <w:ind w:firstLine="480"/>
              <w:jc w:val="left"/>
              <w:rPr>
                <w:rFonts w:cs="宋体"/>
              </w:rPr>
            </w:pPr>
            <w:r>
              <w:rPr>
                <w:rFonts w:hint="eastAsia" w:cs="宋体"/>
              </w:rPr>
              <w:t>式中：LA(r)——距声源r米处受声点的A声级；</w:t>
            </w:r>
          </w:p>
          <w:p w14:paraId="4953C276">
            <w:pPr>
              <w:ind w:firstLine="480"/>
              <w:jc w:val="left"/>
            </w:pPr>
            <w:r>
              <w:t>Lr0</w:t>
            </w:r>
            <w:r>
              <w:rPr>
                <w:rFonts w:hint="eastAsia"/>
              </w:rPr>
              <w:t>——</w:t>
            </w:r>
            <w:r>
              <w:t>距声源距离为r0处等效A声级值，dB（A）</w:t>
            </w:r>
            <w:r>
              <w:rPr>
                <w:rFonts w:hint="eastAsia"/>
              </w:rPr>
              <w:t>；</w:t>
            </w:r>
          </w:p>
          <w:p w14:paraId="2D2AE5AE">
            <w:pPr>
              <w:ind w:firstLine="480"/>
              <w:jc w:val="left"/>
            </w:pPr>
            <w:r>
              <w:rPr>
                <w:rFonts w:hint="eastAsia"/>
              </w:rPr>
              <w:t>r——预测受声点与源之间的距离（m）；</w:t>
            </w:r>
          </w:p>
          <w:p w14:paraId="0FD8F1CE">
            <w:pPr>
              <w:ind w:firstLine="480"/>
              <w:jc w:val="left"/>
            </w:pPr>
            <w:r>
              <w:rPr>
                <w:rFonts w:hint="eastAsia"/>
              </w:rPr>
              <w:t>r0——参考点与源之间的距离（m），本项目取1m；</w:t>
            </w:r>
          </w:p>
          <w:p w14:paraId="03D12B9D">
            <w:pPr>
              <w:ind w:firstLine="480"/>
              <w:jc w:val="left"/>
              <w:rPr>
                <w:rFonts w:cs="宋体"/>
              </w:rPr>
            </w:pPr>
            <w:r>
              <w:rPr>
                <w:rFonts w:hint="eastAsia" w:cs="宋体"/>
              </w:rPr>
              <w:t>∆L——其他衰减因素。</w:t>
            </w:r>
          </w:p>
          <w:p w14:paraId="48BEAF6D">
            <w:pPr>
              <w:ind w:firstLine="480"/>
              <w:jc w:val="left"/>
              <w:rPr>
                <w:rFonts w:cs="宋体"/>
              </w:rPr>
            </w:pPr>
            <w:r>
              <w:rPr>
                <w:rFonts w:cs="宋体"/>
              </w:rPr>
              <w:t>②</w:t>
            </w:r>
            <w:r>
              <w:rPr>
                <w:rFonts w:hint="eastAsia" w:cs="宋体"/>
              </w:rPr>
              <w:t>噪声叠加背景值的计算公式如下：</w:t>
            </w:r>
          </w:p>
          <w:p w14:paraId="18DC3D0A">
            <w:pPr>
              <w:ind w:firstLine="480"/>
              <w:jc w:val="center"/>
            </w:pPr>
            <w:r>
              <w:drawing>
                <wp:inline distT="0" distB="0" distL="0" distR="0">
                  <wp:extent cx="1343025" cy="409575"/>
                  <wp:effectExtent l="0" t="0" r="9525" b="9525"/>
                  <wp:docPr id="1079" name="图片 59" descr="1664346016677"/>
                  <wp:cNvGraphicFramePr/>
                  <a:graphic xmlns:a="http://schemas.openxmlformats.org/drawingml/2006/main">
                    <a:graphicData uri="http://schemas.openxmlformats.org/drawingml/2006/picture">
                      <pic:pic xmlns:pic="http://schemas.openxmlformats.org/drawingml/2006/picture">
                        <pic:nvPicPr>
                          <pic:cNvPr id="1079" name="图片 59" descr="1664346016677"/>
                          <pic:cNvPicPr/>
                        </pic:nvPicPr>
                        <pic:blipFill>
                          <a:blip r:embed="rId16" cstate="print"/>
                          <a:srcRect/>
                          <a:stretch>
                            <a:fillRect/>
                          </a:stretch>
                        </pic:blipFill>
                        <pic:spPr>
                          <a:xfrm>
                            <a:off x="0" y="0"/>
                            <a:ext cx="1343025" cy="409575"/>
                          </a:xfrm>
                          <a:prstGeom prst="rect">
                            <a:avLst/>
                          </a:prstGeom>
                          <a:ln>
                            <a:noFill/>
                          </a:ln>
                        </pic:spPr>
                      </pic:pic>
                    </a:graphicData>
                  </a:graphic>
                </wp:inline>
              </w:drawing>
            </w:r>
          </w:p>
          <w:p w14:paraId="0C2413A4">
            <w:pPr>
              <w:ind w:firstLine="480"/>
            </w:pPr>
            <w:r>
              <w:rPr>
                <w:rFonts w:hint="eastAsia"/>
              </w:rPr>
              <w:t>式中：Ln——总等效A声压级，dB（A）；</w:t>
            </w:r>
          </w:p>
          <w:p w14:paraId="2BD7F47E">
            <w:pPr>
              <w:ind w:firstLine="480"/>
            </w:pPr>
            <w:r>
              <w:rPr>
                <w:rFonts w:hint="eastAsia"/>
              </w:rPr>
              <w:t>Li——第i个声源的声压级，dB（A）。</w:t>
            </w:r>
          </w:p>
          <w:p w14:paraId="14CD3E52">
            <w:pPr>
              <w:ind w:firstLine="480"/>
            </w:pPr>
            <w:r>
              <w:rPr>
                <w:rFonts w:hint="eastAsia" w:cs="宋体"/>
              </w:rPr>
              <w:t>③室内声源等效室外声源声功率级计算方法，公式如下：</w:t>
            </w:r>
          </w:p>
          <w:p w14:paraId="2A4F17FF">
            <w:pPr>
              <w:ind w:firstLine="480"/>
              <w:jc w:val="center"/>
            </w:pPr>
            <w:r>
              <w:rPr>
                <w:rFonts w:hint="eastAsia"/>
                <w:position w:val="-14"/>
              </w:rPr>
              <w:object>
                <v:shape id="_x0000_i1026" o:spt="75" type="#_x0000_t75" style="height:18.8pt;width:96.2pt;" o:ole="t" filled="f" o:preferrelative="t" stroked="f" coordsize="21600,21600">
                  <v:path/>
                  <v:fill on="f" focussize="0,0"/>
                  <v:stroke on="f" joinstyle="miter"/>
                  <v:imagedata r:id="rId18" embosscolor="#FFFFFF" o:title=""/>
                  <o:lock v:ext="edit" aspectratio="t"/>
                  <w10:wrap type="none"/>
                  <w10:anchorlock/>
                </v:shape>
                <o:OLEObject Type="Embed" ProgID="Equation.3" ShapeID="_x0000_i1026" DrawAspect="Content" ObjectID="_1468075726" r:id="rId17">
                  <o:LockedField>false</o:LockedField>
                </o:OLEObject>
              </w:object>
            </w:r>
          </w:p>
          <w:p w14:paraId="1E559E0D">
            <w:pPr>
              <w:ind w:firstLine="480"/>
            </w:pPr>
            <w:r>
              <w:rPr>
                <w:rFonts w:hint="eastAsia"/>
              </w:rPr>
              <w:t>式中：Lp1——靠近开口处（或窗户）室内某倍频带的声压级或A声级，dB；</w:t>
            </w:r>
          </w:p>
          <w:p w14:paraId="167C3541">
            <w:pPr>
              <w:ind w:firstLine="1200" w:firstLineChars="500"/>
            </w:pPr>
            <w:r>
              <w:rPr>
                <w:rFonts w:hint="eastAsia"/>
              </w:rPr>
              <w:t>Lp2——靠近开口处（或窗户）室外某倍频带的声压级或A声级，dB；</w:t>
            </w:r>
          </w:p>
          <w:p w14:paraId="603F787C">
            <w:pPr>
              <w:ind w:firstLine="1200" w:firstLineChars="500"/>
            </w:pPr>
            <w:r>
              <w:rPr>
                <w:rFonts w:hint="eastAsia"/>
              </w:rPr>
              <w:t>TL——隔墙（或窗户）倍频带或A声级的隔声量，dB。</w:t>
            </w:r>
          </w:p>
          <w:p w14:paraId="3DA7DB12">
            <w:pPr>
              <w:ind w:firstLine="482"/>
            </w:pPr>
            <w:r>
              <w:rPr>
                <w:rFonts w:hint="eastAsia"/>
                <w:b/>
                <w:bCs/>
              </w:rPr>
              <w:t>3、评价标准</w:t>
            </w:r>
          </w:p>
          <w:p w14:paraId="253824A5">
            <w:pPr>
              <w:ind w:firstLine="480"/>
            </w:pPr>
            <w:r>
              <w:rPr>
                <w:rFonts w:hint="eastAsia"/>
              </w:rPr>
              <w:t>本项目所在区域属声环境1类区，项目厂界噪声排放执行《工业企业厂界环境噪声排放标准》（GB12348-2008）中1类标准。</w:t>
            </w:r>
          </w:p>
          <w:p w14:paraId="1FD17FF0">
            <w:pPr>
              <w:ind w:firstLine="482"/>
              <w:rPr>
                <w:b/>
                <w:bCs/>
              </w:rPr>
            </w:pPr>
            <w:r>
              <w:rPr>
                <w:rFonts w:hint="eastAsia"/>
                <w:b/>
                <w:bCs/>
              </w:rPr>
              <w:t>4、预测结果及分析</w:t>
            </w:r>
          </w:p>
          <w:p w14:paraId="3469CAE1">
            <w:pPr>
              <w:ind w:firstLine="480"/>
            </w:pPr>
            <w:r>
              <w:rPr>
                <w:rFonts w:hint="eastAsia"/>
              </w:rPr>
              <w:t>本次噪声预测范围为项目厂界，项目预测布点为各车间东、南、西、北侧厂界按10m为步长进行预测，有43个预测点。厂界噪声预测结果见表4-5。</w:t>
            </w:r>
          </w:p>
          <w:p w14:paraId="08401B58">
            <w:pPr>
              <w:ind w:firstLine="422"/>
              <w:jc w:val="center"/>
              <w:rPr>
                <w:b/>
                <w:bCs/>
                <w:sz w:val="21"/>
                <w:szCs w:val="21"/>
              </w:rPr>
            </w:pPr>
            <w:r>
              <w:rPr>
                <w:rFonts w:hint="eastAsia"/>
                <w:b/>
                <w:bCs/>
                <w:sz w:val="21"/>
                <w:szCs w:val="21"/>
              </w:rPr>
              <w:t>表4-5  项目各厂界噪声最大贡献值预测结果表 单位：dB（A）</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2"/>
              <w:gridCol w:w="998"/>
              <w:gridCol w:w="1305"/>
              <w:gridCol w:w="1305"/>
              <w:gridCol w:w="1818"/>
              <w:gridCol w:w="980"/>
              <w:gridCol w:w="1182"/>
            </w:tblGrid>
            <w:tr w14:paraId="7334D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682" w:type="dxa"/>
                  <w:vMerge w:val="restart"/>
                  <w:vAlign w:val="center"/>
                </w:tcPr>
                <w:p w14:paraId="0AD645F0">
                  <w:pPr>
                    <w:spacing w:line="240" w:lineRule="auto"/>
                    <w:ind w:firstLine="0" w:firstLineChars="0"/>
                    <w:jc w:val="center"/>
                    <w:rPr>
                      <w:b/>
                      <w:bCs/>
                      <w:sz w:val="21"/>
                      <w:szCs w:val="21"/>
                    </w:rPr>
                  </w:pPr>
                  <w:r>
                    <w:rPr>
                      <w:rFonts w:hint="eastAsia"/>
                      <w:b/>
                      <w:bCs/>
                      <w:sz w:val="21"/>
                      <w:szCs w:val="21"/>
                    </w:rPr>
                    <w:t>序号</w:t>
                  </w:r>
                </w:p>
              </w:tc>
              <w:tc>
                <w:tcPr>
                  <w:tcW w:w="998" w:type="dxa"/>
                  <w:vMerge w:val="restart"/>
                  <w:vAlign w:val="center"/>
                </w:tcPr>
                <w:p w14:paraId="1B6B3CAC">
                  <w:pPr>
                    <w:spacing w:line="240" w:lineRule="auto"/>
                    <w:ind w:firstLine="0" w:firstLineChars="0"/>
                    <w:jc w:val="center"/>
                    <w:rPr>
                      <w:b/>
                      <w:bCs/>
                      <w:sz w:val="21"/>
                      <w:szCs w:val="21"/>
                    </w:rPr>
                  </w:pPr>
                  <w:r>
                    <w:rPr>
                      <w:rFonts w:hint="eastAsia"/>
                      <w:b/>
                      <w:bCs/>
                      <w:sz w:val="21"/>
                      <w:szCs w:val="21"/>
                    </w:rPr>
                    <w:t>厂界</w:t>
                  </w:r>
                </w:p>
              </w:tc>
              <w:tc>
                <w:tcPr>
                  <w:tcW w:w="2610" w:type="dxa"/>
                  <w:gridSpan w:val="2"/>
                  <w:vAlign w:val="center"/>
                </w:tcPr>
                <w:p w14:paraId="37210D67">
                  <w:pPr>
                    <w:spacing w:line="240" w:lineRule="auto"/>
                    <w:ind w:firstLine="0" w:firstLineChars="0"/>
                    <w:jc w:val="center"/>
                    <w:rPr>
                      <w:b/>
                      <w:bCs/>
                      <w:sz w:val="21"/>
                      <w:szCs w:val="21"/>
                    </w:rPr>
                  </w:pPr>
                  <w:r>
                    <w:rPr>
                      <w:rFonts w:hint="eastAsia"/>
                      <w:b/>
                      <w:bCs/>
                      <w:sz w:val="21"/>
                      <w:szCs w:val="21"/>
                    </w:rPr>
                    <w:t>各厂界最大贡献值坐标</w:t>
                  </w:r>
                </w:p>
              </w:tc>
              <w:tc>
                <w:tcPr>
                  <w:tcW w:w="3980" w:type="dxa"/>
                  <w:gridSpan w:val="3"/>
                  <w:vAlign w:val="center"/>
                </w:tcPr>
                <w:p w14:paraId="6B3C8704">
                  <w:pPr>
                    <w:spacing w:line="240" w:lineRule="auto"/>
                    <w:ind w:firstLine="0" w:firstLineChars="0"/>
                    <w:jc w:val="center"/>
                    <w:rPr>
                      <w:b/>
                      <w:bCs/>
                      <w:sz w:val="21"/>
                      <w:szCs w:val="21"/>
                    </w:rPr>
                  </w:pPr>
                  <w:r>
                    <w:rPr>
                      <w:rFonts w:hint="eastAsia"/>
                      <w:b/>
                      <w:bCs/>
                      <w:sz w:val="21"/>
                      <w:szCs w:val="21"/>
                    </w:rPr>
                    <w:t>昼间</w:t>
                  </w:r>
                </w:p>
              </w:tc>
            </w:tr>
            <w:tr w14:paraId="18645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682" w:type="dxa"/>
                  <w:vMerge w:val="continue"/>
                  <w:vAlign w:val="center"/>
                </w:tcPr>
                <w:p w14:paraId="12349C8E">
                  <w:pPr>
                    <w:spacing w:line="240" w:lineRule="auto"/>
                    <w:ind w:firstLine="0" w:firstLineChars="0"/>
                    <w:jc w:val="center"/>
                    <w:rPr>
                      <w:b/>
                      <w:bCs/>
                      <w:sz w:val="21"/>
                      <w:szCs w:val="21"/>
                    </w:rPr>
                  </w:pPr>
                </w:p>
              </w:tc>
              <w:tc>
                <w:tcPr>
                  <w:tcW w:w="998" w:type="dxa"/>
                  <w:vMerge w:val="continue"/>
                  <w:vAlign w:val="center"/>
                </w:tcPr>
                <w:p w14:paraId="121D1E13">
                  <w:pPr>
                    <w:spacing w:line="240" w:lineRule="auto"/>
                    <w:ind w:firstLine="0" w:firstLineChars="0"/>
                    <w:jc w:val="center"/>
                    <w:rPr>
                      <w:b/>
                      <w:bCs/>
                      <w:sz w:val="21"/>
                      <w:szCs w:val="21"/>
                    </w:rPr>
                  </w:pPr>
                </w:p>
              </w:tc>
              <w:tc>
                <w:tcPr>
                  <w:tcW w:w="1305" w:type="dxa"/>
                  <w:vAlign w:val="center"/>
                </w:tcPr>
                <w:p w14:paraId="45DD582B">
                  <w:pPr>
                    <w:spacing w:line="240" w:lineRule="auto"/>
                    <w:ind w:firstLine="0" w:firstLineChars="0"/>
                    <w:jc w:val="center"/>
                    <w:rPr>
                      <w:b/>
                      <w:bCs/>
                      <w:sz w:val="21"/>
                      <w:szCs w:val="21"/>
                    </w:rPr>
                  </w:pPr>
                  <w:r>
                    <w:rPr>
                      <w:rFonts w:hint="eastAsia"/>
                      <w:b/>
                      <w:bCs/>
                      <w:sz w:val="21"/>
                      <w:szCs w:val="21"/>
                    </w:rPr>
                    <w:t>X（m）</w:t>
                  </w:r>
                </w:p>
              </w:tc>
              <w:tc>
                <w:tcPr>
                  <w:tcW w:w="1305" w:type="dxa"/>
                  <w:vAlign w:val="center"/>
                </w:tcPr>
                <w:p w14:paraId="517D81E6">
                  <w:pPr>
                    <w:spacing w:line="240" w:lineRule="auto"/>
                    <w:ind w:firstLine="0" w:firstLineChars="0"/>
                    <w:jc w:val="center"/>
                    <w:rPr>
                      <w:b/>
                      <w:bCs/>
                      <w:sz w:val="21"/>
                      <w:szCs w:val="21"/>
                    </w:rPr>
                  </w:pPr>
                  <w:r>
                    <w:rPr>
                      <w:rFonts w:hint="eastAsia"/>
                      <w:b/>
                      <w:bCs/>
                      <w:sz w:val="21"/>
                      <w:szCs w:val="21"/>
                    </w:rPr>
                    <w:t>Y（m）</w:t>
                  </w:r>
                </w:p>
              </w:tc>
              <w:tc>
                <w:tcPr>
                  <w:tcW w:w="1818" w:type="dxa"/>
                  <w:vAlign w:val="center"/>
                </w:tcPr>
                <w:p w14:paraId="58090011">
                  <w:pPr>
                    <w:spacing w:line="240" w:lineRule="auto"/>
                    <w:ind w:firstLine="0" w:firstLineChars="0"/>
                    <w:jc w:val="center"/>
                    <w:rPr>
                      <w:b/>
                      <w:bCs/>
                      <w:sz w:val="21"/>
                      <w:szCs w:val="21"/>
                    </w:rPr>
                  </w:pPr>
                  <w:r>
                    <w:rPr>
                      <w:rFonts w:hint="eastAsia"/>
                      <w:b/>
                      <w:bCs/>
                      <w:sz w:val="21"/>
                      <w:szCs w:val="21"/>
                    </w:rPr>
                    <w:t>各边最大贡献值</w:t>
                  </w:r>
                </w:p>
              </w:tc>
              <w:tc>
                <w:tcPr>
                  <w:tcW w:w="980" w:type="dxa"/>
                  <w:vAlign w:val="center"/>
                </w:tcPr>
                <w:p w14:paraId="5B463B76">
                  <w:pPr>
                    <w:spacing w:line="240" w:lineRule="auto"/>
                    <w:ind w:firstLine="0" w:firstLineChars="0"/>
                    <w:jc w:val="center"/>
                    <w:rPr>
                      <w:b/>
                      <w:bCs/>
                      <w:sz w:val="21"/>
                      <w:szCs w:val="21"/>
                    </w:rPr>
                  </w:pPr>
                  <w:r>
                    <w:rPr>
                      <w:rFonts w:hint="eastAsia"/>
                      <w:b/>
                      <w:bCs/>
                      <w:sz w:val="21"/>
                      <w:szCs w:val="21"/>
                    </w:rPr>
                    <w:t>标准值</w:t>
                  </w:r>
                </w:p>
              </w:tc>
              <w:tc>
                <w:tcPr>
                  <w:tcW w:w="1182" w:type="dxa"/>
                  <w:vAlign w:val="center"/>
                </w:tcPr>
                <w:p w14:paraId="37C6CEF9">
                  <w:pPr>
                    <w:spacing w:line="240" w:lineRule="auto"/>
                    <w:ind w:firstLine="0" w:firstLineChars="0"/>
                    <w:jc w:val="center"/>
                    <w:rPr>
                      <w:b/>
                      <w:bCs/>
                      <w:sz w:val="21"/>
                      <w:szCs w:val="21"/>
                    </w:rPr>
                  </w:pPr>
                  <w:r>
                    <w:rPr>
                      <w:rFonts w:hint="eastAsia"/>
                      <w:b/>
                      <w:bCs/>
                      <w:sz w:val="21"/>
                      <w:szCs w:val="21"/>
                    </w:rPr>
                    <w:t>达标情况</w:t>
                  </w:r>
                </w:p>
              </w:tc>
            </w:tr>
            <w:tr w14:paraId="069EA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682" w:type="dxa"/>
                  <w:vAlign w:val="center"/>
                </w:tcPr>
                <w:p w14:paraId="5A184C2E">
                  <w:pPr>
                    <w:spacing w:line="240" w:lineRule="auto"/>
                    <w:ind w:firstLine="0" w:firstLineChars="0"/>
                    <w:jc w:val="center"/>
                    <w:rPr>
                      <w:sz w:val="21"/>
                      <w:szCs w:val="21"/>
                    </w:rPr>
                  </w:pPr>
                  <w:r>
                    <w:rPr>
                      <w:rFonts w:hint="eastAsia"/>
                      <w:sz w:val="21"/>
                      <w:szCs w:val="21"/>
                    </w:rPr>
                    <w:t>1</w:t>
                  </w:r>
                </w:p>
              </w:tc>
              <w:tc>
                <w:tcPr>
                  <w:tcW w:w="998" w:type="dxa"/>
                  <w:vAlign w:val="center"/>
                </w:tcPr>
                <w:p w14:paraId="1E9518E2">
                  <w:pPr>
                    <w:spacing w:line="240" w:lineRule="auto"/>
                    <w:ind w:firstLine="0" w:firstLineChars="0"/>
                    <w:jc w:val="center"/>
                    <w:rPr>
                      <w:sz w:val="21"/>
                      <w:szCs w:val="21"/>
                    </w:rPr>
                  </w:pPr>
                  <w:r>
                    <w:rPr>
                      <w:rFonts w:hint="eastAsia"/>
                      <w:sz w:val="21"/>
                      <w:szCs w:val="21"/>
                    </w:rPr>
                    <w:t>东厂界</w:t>
                  </w:r>
                </w:p>
              </w:tc>
              <w:tc>
                <w:tcPr>
                  <w:tcW w:w="1305" w:type="dxa"/>
                  <w:vAlign w:val="center"/>
                </w:tcPr>
                <w:p w14:paraId="5A582146">
                  <w:pPr>
                    <w:spacing w:line="240" w:lineRule="auto"/>
                    <w:ind w:firstLine="0" w:firstLineChars="0"/>
                    <w:jc w:val="center"/>
                    <w:rPr>
                      <w:sz w:val="21"/>
                      <w:szCs w:val="21"/>
                    </w:rPr>
                  </w:pPr>
                  <w:r>
                    <w:rPr>
                      <w:rFonts w:hint="eastAsia"/>
                      <w:sz w:val="21"/>
                      <w:szCs w:val="21"/>
                    </w:rPr>
                    <w:t>65.85</w:t>
                  </w:r>
                </w:p>
              </w:tc>
              <w:tc>
                <w:tcPr>
                  <w:tcW w:w="1305" w:type="dxa"/>
                  <w:vAlign w:val="center"/>
                </w:tcPr>
                <w:p w14:paraId="1B9C7382">
                  <w:pPr>
                    <w:spacing w:line="240" w:lineRule="auto"/>
                    <w:ind w:firstLine="0" w:firstLineChars="0"/>
                    <w:jc w:val="center"/>
                    <w:rPr>
                      <w:sz w:val="21"/>
                      <w:szCs w:val="21"/>
                    </w:rPr>
                  </w:pPr>
                  <w:r>
                    <w:rPr>
                      <w:rFonts w:hint="eastAsia"/>
                      <w:sz w:val="21"/>
                      <w:szCs w:val="21"/>
                    </w:rPr>
                    <w:t>15.24</w:t>
                  </w:r>
                </w:p>
              </w:tc>
              <w:tc>
                <w:tcPr>
                  <w:tcW w:w="1818" w:type="dxa"/>
                  <w:vAlign w:val="center"/>
                </w:tcPr>
                <w:p w14:paraId="20108E6E">
                  <w:pPr>
                    <w:spacing w:line="240" w:lineRule="auto"/>
                    <w:ind w:firstLine="0" w:firstLineChars="0"/>
                    <w:jc w:val="center"/>
                    <w:rPr>
                      <w:sz w:val="21"/>
                      <w:szCs w:val="21"/>
                    </w:rPr>
                  </w:pPr>
                  <w:r>
                    <w:rPr>
                      <w:rFonts w:hint="eastAsia"/>
                      <w:sz w:val="21"/>
                      <w:szCs w:val="21"/>
                    </w:rPr>
                    <w:t>52.3</w:t>
                  </w:r>
                </w:p>
              </w:tc>
              <w:tc>
                <w:tcPr>
                  <w:tcW w:w="980" w:type="dxa"/>
                  <w:vMerge w:val="restart"/>
                  <w:vAlign w:val="center"/>
                </w:tcPr>
                <w:p w14:paraId="343B7B50">
                  <w:pPr>
                    <w:spacing w:line="240" w:lineRule="auto"/>
                    <w:ind w:firstLine="0" w:firstLineChars="0"/>
                    <w:jc w:val="center"/>
                    <w:rPr>
                      <w:sz w:val="21"/>
                      <w:szCs w:val="21"/>
                    </w:rPr>
                  </w:pPr>
                  <w:r>
                    <w:rPr>
                      <w:rFonts w:hint="eastAsia"/>
                      <w:sz w:val="21"/>
                      <w:szCs w:val="21"/>
                    </w:rPr>
                    <w:t>55</w:t>
                  </w:r>
                </w:p>
              </w:tc>
              <w:tc>
                <w:tcPr>
                  <w:tcW w:w="1182" w:type="dxa"/>
                  <w:vAlign w:val="center"/>
                </w:tcPr>
                <w:p w14:paraId="4470E4B4">
                  <w:pPr>
                    <w:spacing w:line="240" w:lineRule="auto"/>
                    <w:ind w:firstLine="0" w:firstLineChars="0"/>
                    <w:jc w:val="center"/>
                    <w:rPr>
                      <w:sz w:val="21"/>
                      <w:szCs w:val="21"/>
                    </w:rPr>
                  </w:pPr>
                  <w:r>
                    <w:rPr>
                      <w:rFonts w:hint="eastAsia"/>
                      <w:sz w:val="21"/>
                      <w:szCs w:val="21"/>
                    </w:rPr>
                    <w:t>达标</w:t>
                  </w:r>
                </w:p>
              </w:tc>
            </w:tr>
            <w:tr w14:paraId="27000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682" w:type="dxa"/>
                  <w:vAlign w:val="center"/>
                </w:tcPr>
                <w:p w14:paraId="77973704">
                  <w:pPr>
                    <w:spacing w:line="240" w:lineRule="auto"/>
                    <w:ind w:firstLine="0" w:firstLineChars="0"/>
                    <w:jc w:val="center"/>
                    <w:rPr>
                      <w:sz w:val="21"/>
                      <w:szCs w:val="21"/>
                    </w:rPr>
                  </w:pPr>
                  <w:r>
                    <w:rPr>
                      <w:rFonts w:hint="eastAsia"/>
                      <w:sz w:val="21"/>
                      <w:szCs w:val="21"/>
                    </w:rPr>
                    <w:t>2</w:t>
                  </w:r>
                </w:p>
              </w:tc>
              <w:tc>
                <w:tcPr>
                  <w:tcW w:w="998" w:type="dxa"/>
                  <w:vAlign w:val="center"/>
                </w:tcPr>
                <w:p w14:paraId="6F23E156">
                  <w:pPr>
                    <w:spacing w:line="240" w:lineRule="auto"/>
                    <w:ind w:firstLine="0" w:firstLineChars="0"/>
                    <w:jc w:val="center"/>
                    <w:rPr>
                      <w:sz w:val="21"/>
                      <w:szCs w:val="21"/>
                    </w:rPr>
                  </w:pPr>
                  <w:r>
                    <w:rPr>
                      <w:rFonts w:hint="eastAsia"/>
                      <w:sz w:val="21"/>
                      <w:szCs w:val="21"/>
                    </w:rPr>
                    <w:t>南厂界</w:t>
                  </w:r>
                </w:p>
              </w:tc>
              <w:tc>
                <w:tcPr>
                  <w:tcW w:w="1305" w:type="dxa"/>
                  <w:vAlign w:val="center"/>
                </w:tcPr>
                <w:p w14:paraId="74A19E5F">
                  <w:pPr>
                    <w:spacing w:line="240" w:lineRule="auto"/>
                    <w:ind w:firstLine="0" w:firstLineChars="0"/>
                    <w:jc w:val="center"/>
                    <w:rPr>
                      <w:sz w:val="21"/>
                      <w:szCs w:val="21"/>
                    </w:rPr>
                  </w:pPr>
                  <w:r>
                    <w:rPr>
                      <w:rFonts w:hint="eastAsia"/>
                      <w:sz w:val="21"/>
                      <w:szCs w:val="21"/>
                    </w:rPr>
                    <w:t>26.53</w:t>
                  </w:r>
                </w:p>
              </w:tc>
              <w:tc>
                <w:tcPr>
                  <w:tcW w:w="1305" w:type="dxa"/>
                  <w:vAlign w:val="center"/>
                </w:tcPr>
                <w:p w14:paraId="2499042F">
                  <w:pPr>
                    <w:spacing w:line="240" w:lineRule="auto"/>
                    <w:ind w:firstLine="0" w:firstLineChars="0"/>
                    <w:jc w:val="center"/>
                    <w:rPr>
                      <w:sz w:val="21"/>
                      <w:szCs w:val="21"/>
                    </w:rPr>
                  </w:pPr>
                  <w:r>
                    <w:rPr>
                      <w:rFonts w:hint="eastAsia"/>
                      <w:sz w:val="21"/>
                      <w:szCs w:val="21"/>
                    </w:rPr>
                    <w:t>-4.63</w:t>
                  </w:r>
                </w:p>
              </w:tc>
              <w:tc>
                <w:tcPr>
                  <w:tcW w:w="1818" w:type="dxa"/>
                  <w:vAlign w:val="center"/>
                </w:tcPr>
                <w:p w14:paraId="64DA775C">
                  <w:pPr>
                    <w:spacing w:line="240" w:lineRule="auto"/>
                    <w:ind w:firstLine="0" w:firstLineChars="0"/>
                    <w:jc w:val="center"/>
                    <w:rPr>
                      <w:sz w:val="21"/>
                      <w:szCs w:val="21"/>
                    </w:rPr>
                  </w:pPr>
                  <w:r>
                    <w:rPr>
                      <w:rFonts w:hint="eastAsia"/>
                      <w:sz w:val="21"/>
                      <w:szCs w:val="21"/>
                    </w:rPr>
                    <w:t>50.69</w:t>
                  </w:r>
                </w:p>
              </w:tc>
              <w:tc>
                <w:tcPr>
                  <w:tcW w:w="980" w:type="dxa"/>
                  <w:vMerge w:val="continue"/>
                  <w:vAlign w:val="center"/>
                </w:tcPr>
                <w:p w14:paraId="30ABF2D0">
                  <w:pPr>
                    <w:spacing w:line="240" w:lineRule="auto"/>
                    <w:ind w:firstLine="0" w:firstLineChars="0"/>
                    <w:jc w:val="center"/>
                    <w:rPr>
                      <w:sz w:val="21"/>
                      <w:szCs w:val="21"/>
                    </w:rPr>
                  </w:pPr>
                </w:p>
              </w:tc>
              <w:tc>
                <w:tcPr>
                  <w:tcW w:w="1182" w:type="dxa"/>
                  <w:vAlign w:val="center"/>
                </w:tcPr>
                <w:p w14:paraId="7003864F">
                  <w:pPr>
                    <w:spacing w:line="240" w:lineRule="auto"/>
                    <w:ind w:firstLine="0" w:firstLineChars="0"/>
                    <w:jc w:val="center"/>
                    <w:rPr>
                      <w:sz w:val="21"/>
                      <w:szCs w:val="21"/>
                    </w:rPr>
                  </w:pPr>
                  <w:r>
                    <w:rPr>
                      <w:rFonts w:hint="eastAsia"/>
                      <w:sz w:val="21"/>
                      <w:szCs w:val="21"/>
                    </w:rPr>
                    <w:t>达标</w:t>
                  </w:r>
                </w:p>
              </w:tc>
            </w:tr>
            <w:tr w14:paraId="00A10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682" w:type="dxa"/>
                  <w:vAlign w:val="center"/>
                </w:tcPr>
                <w:p w14:paraId="45DAF218">
                  <w:pPr>
                    <w:spacing w:line="240" w:lineRule="auto"/>
                    <w:ind w:firstLine="0" w:firstLineChars="0"/>
                    <w:jc w:val="center"/>
                    <w:rPr>
                      <w:sz w:val="21"/>
                      <w:szCs w:val="21"/>
                    </w:rPr>
                  </w:pPr>
                  <w:r>
                    <w:rPr>
                      <w:rFonts w:hint="eastAsia"/>
                      <w:sz w:val="21"/>
                      <w:szCs w:val="21"/>
                    </w:rPr>
                    <w:t>3</w:t>
                  </w:r>
                </w:p>
              </w:tc>
              <w:tc>
                <w:tcPr>
                  <w:tcW w:w="998" w:type="dxa"/>
                  <w:vAlign w:val="center"/>
                </w:tcPr>
                <w:p w14:paraId="7EE21961">
                  <w:pPr>
                    <w:spacing w:line="240" w:lineRule="auto"/>
                    <w:ind w:firstLine="0" w:firstLineChars="0"/>
                    <w:jc w:val="center"/>
                    <w:rPr>
                      <w:sz w:val="21"/>
                      <w:szCs w:val="21"/>
                    </w:rPr>
                  </w:pPr>
                  <w:r>
                    <w:rPr>
                      <w:rFonts w:hint="eastAsia"/>
                      <w:sz w:val="21"/>
                      <w:szCs w:val="21"/>
                    </w:rPr>
                    <w:t>西厂界</w:t>
                  </w:r>
                </w:p>
              </w:tc>
              <w:tc>
                <w:tcPr>
                  <w:tcW w:w="1305" w:type="dxa"/>
                  <w:vAlign w:val="center"/>
                </w:tcPr>
                <w:p w14:paraId="7BE03E51">
                  <w:pPr>
                    <w:spacing w:line="240" w:lineRule="auto"/>
                    <w:ind w:firstLine="0" w:firstLineChars="0"/>
                    <w:jc w:val="center"/>
                    <w:rPr>
                      <w:sz w:val="21"/>
                      <w:szCs w:val="21"/>
                    </w:rPr>
                  </w:pPr>
                  <w:r>
                    <w:rPr>
                      <w:rFonts w:hint="eastAsia"/>
                      <w:sz w:val="21"/>
                      <w:szCs w:val="21"/>
                    </w:rPr>
                    <w:t>-3.62</w:t>
                  </w:r>
                </w:p>
              </w:tc>
              <w:tc>
                <w:tcPr>
                  <w:tcW w:w="1305" w:type="dxa"/>
                  <w:vAlign w:val="center"/>
                </w:tcPr>
                <w:p w14:paraId="5F775F25">
                  <w:pPr>
                    <w:spacing w:line="240" w:lineRule="auto"/>
                    <w:ind w:firstLine="0" w:firstLineChars="0"/>
                    <w:jc w:val="center"/>
                    <w:rPr>
                      <w:sz w:val="21"/>
                      <w:szCs w:val="21"/>
                    </w:rPr>
                  </w:pPr>
                  <w:r>
                    <w:rPr>
                      <w:rFonts w:hint="eastAsia"/>
                      <w:sz w:val="21"/>
                      <w:szCs w:val="21"/>
                    </w:rPr>
                    <w:t>7.26</w:t>
                  </w:r>
                </w:p>
              </w:tc>
              <w:tc>
                <w:tcPr>
                  <w:tcW w:w="1818" w:type="dxa"/>
                  <w:vAlign w:val="center"/>
                </w:tcPr>
                <w:p w14:paraId="43C3E6FC">
                  <w:pPr>
                    <w:spacing w:line="240" w:lineRule="auto"/>
                    <w:ind w:firstLine="0" w:firstLineChars="0"/>
                    <w:jc w:val="center"/>
                    <w:rPr>
                      <w:sz w:val="21"/>
                      <w:szCs w:val="21"/>
                    </w:rPr>
                  </w:pPr>
                  <w:r>
                    <w:rPr>
                      <w:rFonts w:hint="eastAsia"/>
                      <w:sz w:val="21"/>
                      <w:szCs w:val="21"/>
                    </w:rPr>
                    <w:t>43.52</w:t>
                  </w:r>
                </w:p>
              </w:tc>
              <w:tc>
                <w:tcPr>
                  <w:tcW w:w="980" w:type="dxa"/>
                  <w:vMerge w:val="continue"/>
                  <w:vAlign w:val="center"/>
                </w:tcPr>
                <w:p w14:paraId="714A6408">
                  <w:pPr>
                    <w:spacing w:line="240" w:lineRule="auto"/>
                    <w:ind w:firstLine="0" w:firstLineChars="0"/>
                    <w:jc w:val="center"/>
                    <w:rPr>
                      <w:sz w:val="21"/>
                      <w:szCs w:val="21"/>
                    </w:rPr>
                  </w:pPr>
                </w:p>
              </w:tc>
              <w:tc>
                <w:tcPr>
                  <w:tcW w:w="1182" w:type="dxa"/>
                  <w:vAlign w:val="center"/>
                </w:tcPr>
                <w:p w14:paraId="2B50DE36">
                  <w:pPr>
                    <w:spacing w:line="240" w:lineRule="auto"/>
                    <w:ind w:firstLine="0" w:firstLineChars="0"/>
                    <w:jc w:val="center"/>
                    <w:rPr>
                      <w:sz w:val="21"/>
                      <w:szCs w:val="21"/>
                    </w:rPr>
                  </w:pPr>
                  <w:r>
                    <w:rPr>
                      <w:rFonts w:hint="eastAsia"/>
                      <w:sz w:val="21"/>
                      <w:szCs w:val="21"/>
                    </w:rPr>
                    <w:t>达标</w:t>
                  </w:r>
                </w:p>
              </w:tc>
            </w:tr>
            <w:tr w14:paraId="33D41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682" w:type="dxa"/>
                  <w:vAlign w:val="center"/>
                </w:tcPr>
                <w:p w14:paraId="43A1FB3A">
                  <w:pPr>
                    <w:spacing w:line="240" w:lineRule="auto"/>
                    <w:ind w:firstLine="0" w:firstLineChars="0"/>
                    <w:jc w:val="center"/>
                    <w:rPr>
                      <w:sz w:val="21"/>
                      <w:szCs w:val="21"/>
                    </w:rPr>
                  </w:pPr>
                  <w:r>
                    <w:rPr>
                      <w:rFonts w:hint="eastAsia"/>
                      <w:sz w:val="21"/>
                      <w:szCs w:val="21"/>
                    </w:rPr>
                    <w:t>4</w:t>
                  </w:r>
                </w:p>
              </w:tc>
              <w:tc>
                <w:tcPr>
                  <w:tcW w:w="998" w:type="dxa"/>
                  <w:vAlign w:val="center"/>
                </w:tcPr>
                <w:p w14:paraId="5AD319AB">
                  <w:pPr>
                    <w:spacing w:line="240" w:lineRule="auto"/>
                    <w:ind w:firstLine="0" w:firstLineChars="0"/>
                    <w:jc w:val="center"/>
                    <w:rPr>
                      <w:sz w:val="21"/>
                      <w:szCs w:val="21"/>
                    </w:rPr>
                  </w:pPr>
                  <w:r>
                    <w:rPr>
                      <w:rFonts w:hint="eastAsia"/>
                      <w:sz w:val="21"/>
                      <w:szCs w:val="21"/>
                    </w:rPr>
                    <w:t>北厂界</w:t>
                  </w:r>
                </w:p>
              </w:tc>
              <w:tc>
                <w:tcPr>
                  <w:tcW w:w="1305" w:type="dxa"/>
                  <w:vAlign w:val="center"/>
                </w:tcPr>
                <w:p w14:paraId="7D7C8C3E">
                  <w:pPr>
                    <w:spacing w:line="240" w:lineRule="auto"/>
                    <w:ind w:firstLine="0" w:firstLineChars="0"/>
                    <w:jc w:val="center"/>
                    <w:rPr>
                      <w:sz w:val="21"/>
                      <w:szCs w:val="21"/>
                    </w:rPr>
                  </w:pPr>
                  <w:r>
                    <w:rPr>
                      <w:rFonts w:hint="eastAsia"/>
                      <w:sz w:val="21"/>
                      <w:szCs w:val="21"/>
                    </w:rPr>
                    <w:t>13.22</w:t>
                  </w:r>
                </w:p>
              </w:tc>
              <w:tc>
                <w:tcPr>
                  <w:tcW w:w="1305" w:type="dxa"/>
                  <w:vAlign w:val="center"/>
                </w:tcPr>
                <w:p w14:paraId="73554CB7">
                  <w:pPr>
                    <w:spacing w:line="240" w:lineRule="auto"/>
                    <w:ind w:firstLine="0" w:firstLineChars="0"/>
                    <w:jc w:val="center"/>
                    <w:rPr>
                      <w:sz w:val="21"/>
                      <w:szCs w:val="21"/>
                    </w:rPr>
                  </w:pPr>
                  <w:r>
                    <w:rPr>
                      <w:rFonts w:hint="eastAsia"/>
                      <w:sz w:val="21"/>
                      <w:szCs w:val="21"/>
                    </w:rPr>
                    <w:t>27.82</w:t>
                  </w:r>
                </w:p>
              </w:tc>
              <w:tc>
                <w:tcPr>
                  <w:tcW w:w="1818" w:type="dxa"/>
                  <w:vAlign w:val="center"/>
                </w:tcPr>
                <w:p w14:paraId="5C02FF7D">
                  <w:pPr>
                    <w:spacing w:line="240" w:lineRule="auto"/>
                    <w:ind w:firstLine="0" w:firstLineChars="0"/>
                    <w:jc w:val="center"/>
                    <w:rPr>
                      <w:sz w:val="21"/>
                      <w:szCs w:val="21"/>
                    </w:rPr>
                  </w:pPr>
                  <w:r>
                    <w:rPr>
                      <w:rFonts w:hint="eastAsia"/>
                      <w:sz w:val="21"/>
                      <w:szCs w:val="21"/>
                    </w:rPr>
                    <w:t>49.3</w:t>
                  </w:r>
                </w:p>
              </w:tc>
              <w:tc>
                <w:tcPr>
                  <w:tcW w:w="980" w:type="dxa"/>
                  <w:vMerge w:val="continue"/>
                  <w:vAlign w:val="center"/>
                </w:tcPr>
                <w:p w14:paraId="46632081">
                  <w:pPr>
                    <w:spacing w:line="240" w:lineRule="auto"/>
                    <w:ind w:firstLine="0" w:firstLineChars="0"/>
                    <w:jc w:val="center"/>
                    <w:rPr>
                      <w:sz w:val="21"/>
                      <w:szCs w:val="21"/>
                    </w:rPr>
                  </w:pPr>
                </w:p>
              </w:tc>
              <w:tc>
                <w:tcPr>
                  <w:tcW w:w="1182" w:type="dxa"/>
                  <w:vAlign w:val="center"/>
                </w:tcPr>
                <w:p w14:paraId="1FC41C38">
                  <w:pPr>
                    <w:spacing w:line="240" w:lineRule="auto"/>
                    <w:ind w:firstLine="0" w:firstLineChars="0"/>
                    <w:jc w:val="center"/>
                    <w:rPr>
                      <w:sz w:val="21"/>
                      <w:szCs w:val="21"/>
                    </w:rPr>
                  </w:pPr>
                  <w:r>
                    <w:rPr>
                      <w:rFonts w:hint="eastAsia"/>
                      <w:sz w:val="21"/>
                      <w:szCs w:val="21"/>
                    </w:rPr>
                    <w:t>达标</w:t>
                  </w:r>
                </w:p>
              </w:tc>
            </w:tr>
          </w:tbl>
          <w:p w14:paraId="7A27BECE">
            <w:pPr>
              <w:ind w:firstLine="0" w:firstLineChars="0"/>
              <w:jc w:val="center"/>
            </w:pPr>
            <w:r>
              <w:rPr>
                <w:rFonts w:hint="eastAsia"/>
              </w:rPr>
              <w:drawing>
                <wp:inline distT="0" distB="0" distL="114300" distR="114300">
                  <wp:extent cx="5193665" cy="3444875"/>
                  <wp:effectExtent l="0" t="0" r="6985" b="3175"/>
                  <wp:docPr id="20" name="图片 20" descr="等数字预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等数字预测、"/>
                          <pic:cNvPicPr>
                            <a:picLocks noChangeAspect="1"/>
                          </pic:cNvPicPr>
                        </pic:nvPicPr>
                        <pic:blipFill>
                          <a:blip r:embed="rId19" cstate="print"/>
                          <a:srcRect l="28036" r="845" b="6601"/>
                          <a:stretch>
                            <a:fillRect/>
                          </a:stretch>
                        </pic:blipFill>
                        <pic:spPr>
                          <a:xfrm>
                            <a:off x="0" y="0"/>
                            <a:ext cx="5193665" cy="3444875"/>
                          </a:xfrm>
                          <a:prstGeom prst="rect">
                            <a:avLst/>
                          </a:prstGeom>
                        </pic:spPr>
                      </pic:pic>
                    </a:graphicData>
                  </a:graphic>
                </wp:inline>
              </w:drawing>
            </w:r>
          </w:p>
          <w:p w14:paraId="3AD3F7D5">
            <w:pPr>
              <w:ind w:firstLine="422"/>
              <w:jc w:val="center"/>
              <w:rPr>
                <w:b/>
                <w:bCs/>
                <w:sz w:val="21"/>
                <w:szCs w:val="21"/>
              </w:rPr>
            </w:pPr>
            <w:r>
              <w:rPr>
                <w:rFonts w:hint="eastAsia"/>
                <w:b/>
                <w:bCs/>
                <w:sz w:val="21"/>
                <w:szCs w:val="21"/>
              </w:rPr>
              <w:t>图4-2  等声值线图</w:t>
            </w:r>
          </w:p>
          <w:p w14:paraId="580E2FEF">
            <w:pPr>
              <w:ind w:firstLine="480"/>
            </w:pPr>
            <w:r>
              <w:rPr>
                <w:rFonts w:hint="eastAsia"/>
              </w:rPr>
              <w:t>由上表预测结果一览表可知，本项目正常运行过程中厂界噪声能够达到《工业企业厂界环境噪声排放标准》（GB12348-2008）1类标准。项目周围50m范围内无声环境保护目标，运营期生产设备采取基础减振、厂房隔声、定期对设备进行维护保养，厂区进出口设置减速及限速标识等降噪措施，日常加强对设备的维护及保养，经采取措施后对周边环境影响较小。</w:t>
            </w:r>
          </w:p>
          <w:p w14:paraId="1BA520B2">
            <w:pPr>
              <w:ind w:firstLine="482"/>
              <w:rPr>
                <w:b/>
                <w:bCs/>
              </w:rPr>
            </w:pPr>
            <w:r>
              <w:rPr>
                <w:rFonts w:hint="eastAsia"/>
                <w:b/>
                <w:bCs/>
              </w:rPr>
              <w:t xml:space="preserve">5、噪声防治措施 </w:t>
            </w:r>
          </w:p>
          <w:p w14:paraId="7F72EDAD">
            <w:pPr>
              <w:ind w:firstLine="480"/>
            </w:pPr>
            <w:r>
              <w:rPr>
                <w:rFonts w:hint="eastAsia"/>
              </w:rPr>
              <w:t>为减小项目运营对周边环境的影响，本环评提出以下噪声污染防治措施：</w:t>
            </w:r>
          </w:p>
          <w:p w14:paraId="1FF0E294">
            <w:pPr>
              <w:ind w:firstLine="480"/>
            </w:pPr>
            <w:r>
              <w:rPr>
                <w:rFonts w:hint="eastAsia"/>
              </w:rPr>
              <w:t>①选用低噪声设备；</w:t>
            </w:r>
          </w:p>
          <w:p w14:paraId="5DA7646F">
            <w:pPr>
              <w:ind w:firstLine="480"/>
            </w:pPr>
            <w:r>
              <w:rPr>
                <w:rFonts w:hint="eastAsia"/>
              </w:rPr>
              <w:t>②运营过程中应加强主要产噪设备的保养、检修，保证设备处于良好的运转状态，减少机械振动和摩擦产生的噪声，防止共振；</w:t>
            </w:r>
          </w:p>
          <w:p w14:paraId="1908C97B">
            <w:pPr>
              <w:ind w:firstLine="480"/>
            </w:pPr>
            <w:r>
              <w:rPr>
                <w:rFonts w:hint="eastAsia"/>
              </w:rPr>
              <w:t>③高噪声设备安装减振垫进行基础减振，风管设软连接、安装消音器，对设备进行有效地减震、隔声处理；</w:t>
            </w:r>
          </w:p>
          <w:p w14:paraId="4F9FD98F">
            <w:pPr>
              <w:ind w:firstLine="480"/>
            </w:pPr>
            <w:r>
              <w:rPr>
                <w:rFonts w:hint="eastAsia"/>
              </w:rPr>
              <w:t>④加强管理培训，确保工人文明操作，装卸货物时轻拿轻放，避免因野蛮操作产生的突发性噪声；</w:t>
            </w:r>
          </w:p>
          <w:p w14:paraId="077CD560">
            <w:pPr>
              <w:ind w:firstLine="480"/>
            </w:pPr>
            <w:r>
              <w:rPr>
                <w:rFonts w:hint="eastAsia"/>
              </w:rPr>
              <w:t>⑤</w:t>
            </w:r>
            <w:r>
              <w:t>合理安排作业时间，严禁夜间（22</w:t>
            </w:r>
            <w:r>
              <w:rPr>
                <w:rFonts w:hint="eastAsia"/>
              </w:rPr>
              <w:t>:</w:t>
            </w:r>
            <w:r>
              <w:t>00~06</w:t>
            </w:r>
            <w:r>
              <w:rPr>
                <w:rFonts w:hint="eastAsia"/>
              </w:rPr>
              <w:t>:</w:t>
            </w:r>
            <w:r>
              <w:t>00）进行生产</w:t>
            </w:r>
            <w:r>
              <w:rPr>
                <w:rFonts w:hint="eastAsia"/>
              </w:rPr>
              <w:t>。</w:t>
            </w:r>
          </w:p>
          <w:p w14:paraId="01594851">
            <w:pPr>
              <w:ind w:firstLine="482"/>
              <w:rPr>
                <w:b/>
                <w:bCs/>
              </w:rPr>
            </w:pPr>
            <w:r>
              <w:rPr>
                <w:rFonts w:hint="eastAsia"/>
                <w:b/>
                <w:bCs/>
              </w:rPr>
              <w:t>6、自行检测计划</w:t>
            </w:r>
          </w:p>
          <w:p w14:paraId="24C55BD3">
            <w:pPr>
              <w:ind w:firstLine="480"/>
            </w:pPr>
            <w:r>
              <w:rPr>
                <w:kern w:val="0"/>
              </w:rPr>
              <w:t xml:space="preserve">根据《排污许可证申请与核发技术规范 </w:t>
            </w:r>
            <w:r>
              <w:rPr>
                <w:rFonts w:hint="eastAsia"/>
                <w:kern w:val="0"/>
              </w:rPr>
              <w:t>工业</w:t>
            </w:r>
            <w:r>
              <w:rPr>
                <w:kern w:val="0"/>
              </w:rPr>
              <w:t>噪声》（HJ 1301-2023）</w:t>
            </w:r>
            <w:r>
              <w:t>相关监测要求</w:t>
            </w:r>
            <w:r>
              <w:rPr>
                <w:rFonts w:hint="eastAsia"/>
                <w:kern w:val="0"/>
              </w:rPr>
              <w:t>，</w:t>
            </w:r>
            <w:r>
              <w:rPr>
                <w:rFonts w:hint="eastAsia"/>
              </w:rPr>
              <w:t>项目运营期环境监测计划见表4-6。</w:t>
            </w:r>
          </w:p>
          <w:p w14:paraId="3FB0A9B4">
            <w:pPr>
              <w:ind w:firstLine="422"/>
              <w:jc w:val="center"/>
              <w:rPr>
                <w:b/>
                <w:bCs/>
                <w:sz w:val="21"/>
                <w:szCs w:val="21"/>
              </w:rPr>
            </w:pPr>
            <w:r>
              <w:rPr>
                <w:rFonts w:hint="eastAsia"/>
                <w:b/>
                <w:bCs/>
                <w:sz w:val="21"/>
                <w:szCs w:val="21"/>
              </w:rPr>
              <w:t>表4-6  项目运营期环境监测计划一览表</w:t>
            </w:r>
          </w:p>
          <w:tbl>
            <w:tblPr>
              <w:tblStyle w:val="27"/>
              <w:tblW w:w="840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8"/>
              <w:gridCol w:w="1710"/>
              <w:gridCol w:w="2220"/>
              <w:gridCol w:w="2685"/>
            </w:tblGrid>
            <w:tr w14:paraId="67C9E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8" w:type="dxa"/>
                  <w:vAlign w:val="center"/>
                </w:tcPr>
                <w:p w14:paraId="257A5A83">
                  <w:pPr>
                    <w:spacing w:line="240" w:lineRule="auto"/>
                    <w:ind w:firstLine="0" w:firstLineChars="0"/>
                    <w:jc w:val="center"/>
                    <w:rPr>
                      <w:b/>
                      <w:bCs/>
                      <w:sz w:val="21"/>
                      <w:szCs w:val="21"/>
                    </w:rPr>
                  </w:pPr>
                  <w:r>
                    <w:rPr>
                      <w:rFonts w:hint="eastAsia"/>
                      <w:b/>
                      <w:bCs/>
                      <w:sz w:val="21"/>
                      <w:szCs w:val="21"/>
                    </w:rPr>
                    <w:t>监测点位</w:t>
                  </w:r>
                </w:p>
              </w:tc>
              <w:tc>
                <w:tcPr>
                  <w:tcW w:w="1710" w:type="dxa"/>
                  <w:vAlign w:val="center"/>
                </w:tcPr>
                <w:p w14:paraId="4C0613F4">
                  <w:pPr>
                    <w:spacing w:line="240" w:lineRule="auto"/>
                    <w:ind w:firstLine="0" w:firstLineChars="0"/>
                    <w:jc w:val="center"/>
                    <w:rPr>
                      <w:b/>
                      <w:bCs/>
                      <w:sz w:val="21"/>
                      <w:szCs w:val="21"/>
                    </w:rPr>
                  </w:pPr>
                  <w:r>
                    <w:rPr>
                      <w:rFonts w:hint="eastAsia"/>
                      <w:b/>
                      <w:bCs/>
                      <w:sz w:val="21"/>
                      <w:szCs w:val="21"/>
                    </w:rPr>
                    <w:t>监测项目</w:t>
                  </w:r>
                </w:p>
              </w:tc>
              <w:tc>
                <w:tcPr>
                  <w:tcW w:w="2220" w:type="dxa"/>
                  <w:vAlign w:val="center"/>
                </w:tcPr>
                <w:p w14:paraId="4C8BCE7B">
                  <w:pPr>
                    <w:spacing w:line="240" w:lineRule="auto"/>
                    <w:ind w:firstLine="0" w:firstLineChars="0"/>
                    <w:jc w:val="center"/>
                    <w:rPr>
                      <w:b/>
                      <w:bCs/>
                      <w:sz w:val="21"/>
                      <w:szCs w:val="21"/>
                    </w:rPr>
                  </w:pPr>
                  <w:r>
                    <w:rPr>
                      <w:rFonts w:hint="eastAsia"/>
                      <w:b/>
                      <w:bCs/>
                      <w:sz w:val="21"/>
                      <w:szCs w:val="21"/>
                    </w:rPr>
                    <w:t>监测方法及频率</w:t>
                  </w:r>
                </w:p>
              </w:tc>
              <w:tc>
                <w:tcPr>
                  <w:tcW w:w="2685" w:type="dxa"/>
                  <w:vAlign w:val="center"/>
                </w:tcPr>
                <w:p w14:paraId="1CEA73CA">
                  <w:pPr>
                    <w:spacing w:line="240" w:lineRule="auto"/>
                    <w:ind w:firstLine="0" w:firstLineChars="0"/>
                    <w:jc w:val="center"/>
                    <w:rPr>
                      <w:b/>
                      <w:bCs/>
                      <w:sz w:val="21"/>
                      <w:szCs w:val="21"/>
                    </w:rPr>
                  </w:pPr>
                  <w:r>
                    <w:rPr>
                      <w:rFonts w:hint="eastAsia"/>
                      <w:b/>
                      <w:bCs/>
                      <w:sz w:val="21"/>
                      <w:szCs w:val="21"/>
                    </w:rPr>
                    <w:t>执行排放标准</w:t>
                  </w:r>
                </w:p>
              </w:tc>
            </w:tr>
            <w:tr w14:paraId="5E75C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8" w:type="dxa"/>
                  <w:vAlign w:val="center"/>
                </w:tcPr>
                <w:p w14:paraId="228843C3">
                  <w:pPr>
                    <w:spacing w:line="240" w:lineRule="auto"/>
                    <w:ind w:firstLine="0" w:firstLineChars="0"/>
                    <w:jc w:val="center"/>
                    <w:rPr>
                      <w:sz w:val="21"/>
                      <w:szCs w:val="21"/>
                    </w:rPr>
                  </w:pPr>
                  <w:r>
                    <w:rPr>
                      <w:rFonts w:hint="eastAsia"/>
                      <w:sz w:val="21"/>
                      <w:szCs w:val="21"/>
                    </w:rPr>
                    <w:t>项目东、南、西、北厂界外1m处</w:t>
                  </w:r>
                </w:p>
              </w:tc>
              <w:tc>
                <w:tcPr>
                  <w:tcW w:w="1710" w:type="dxa"/>
                  <w:vAlign w:val="center"/>
                </w:tcPr>
                <w:p w14:paraId="46EACA0A">
                  <w:pPr>
                    <w:spacing w:line="240" w:lineRule="auto"/>
                    <w:ind w:firstLine="0" w:firstLineChars="0"/>
                    <w:jc w:val="center"/>
                    <w:rPr>
                      <w:sz w:val="21"/>
                      <w:szCs w:val="21"/>
                    </w:rPr>
                  </w:pPr>
                  <w:r>
                    <w:rPr>
                      <w:rFonts w:hint="eastAsia"/>
                      <w:sz w:val="21"/>
                      <w:szCs w:val="21"/>
                    </w:rPr>
                    <w:t>等效连续A声级</w:t>
                  </w:r>
                </w:p>
              </w:tc>
              <w:tc>
                <w:tcPr>
                  <w:tcW w:w="2220" w:type="dxa"/>
                  <w:vAlign w:val="center"/>
                </w:tcPr>
                <w:p w14:paraId="6F346773">
                  <w:pPr>
                    <w:spacing w:line="240" w:lineRule="auto"/>
                    <w:ind w:firstLine="0" w:firstLineChars="0"/>
                    <w:jc w:val="center"/>
                    <w:rPr>
                      <w:sz w:val="21"/>
                      <w:szCs w:val="21"/>
                    </w:rPr>
                  </w:pPr>
                  <w:r>
                    <w:rPr>
                      <w:rFonts w:hint="eastAsia"/>
                      <w:sz w:val="21"/>
                      <w:szCs w:val="21"/>
                    </w:rPr>
                    <w:t>1次/季度，按照国家相关噪声监测技术方法进行监测</w:t>
                  </w:r>
                </w:p>
              </w:tc>
              <w:tc>
                <w:tcPr>
                  <w:tcW w:w="2685" w:type="dxa"/>
                  <w:vAlign w:val="center"/>
                </w:tcPr>
                <w:p w14:paraId="33592897">
                  <w:pPr>
                    <w:spacing w:line="240" w:lineRule="auto"/>
                    <w:ind w:firstLine="0" w:firstLineChars="0"/>
                    <w:jc w:val="center"/>
                    <w:rPr>
                      <w:sz w:val="21"/>
                      <w:szCs w:val="21"/>
                    </w:rPr>
                  </w:pPr>
                  <w:r>
                    <w:rPr>
                      <w:rFonts w:hint="eastAsia"/>
                      <w:sz w:val="21"/>
                      <w:szCs w:val="21"/>
                    </w:rPr>
                    <w:t>《工业企业厂界环境噪声排放标准》（GB12348-2008）</w:t>
                  </w:r>
                  <w:r>
                    <w:rPr>
                      <w:color w:val="000000" w:themeColor="text1"/>
                      <w:sz w:val="21"/>
                      <w:szCs w:val="21"/>
                      <w14:textFill>
                        <w14:solidFill>
                          <w14:schemeClr w14:val="tx1"/>
                        </w14:solidFill>
                      </w14:textFill>
                    </w:rPr>
                    <w:t>中1类标准</w:t>
                  </w:r>
                </w:p>
              </w:tc>
            </w:tr>
          </w:tbl>
          <w:p w14:paraId="19429C9E">
            <w:pPr>
              <w:ind w:firstLine="0" w:firstLineChars="0"/>
              <w:rPr>
                <w:b/>
                <w:bCs/>
              </w:rPr>
            </w:pPr>
            <w:r>
              <w:rPr>
                <w:rFonts w:hint="eastAsia"/>
                <w:b/>
                <w:bCs/>
              </w:rPr>
              <w:t>四、固体废物影响和保护措施</w:t>
            </w:r>
          </w:p>
          <w:p w14:paraId="5DE7DF26">
            <w:pPr>
              <w:ind w:firstLine="480"/>
            </w:pPr>
            <w:r>
              <w:t>项目运营期产生的固体废物主要为一般</w:t>
            </w:r>
            <w:r>
              <w:rPr>
                <w:rFonts w:hint="eastAsia"/>
              </w:rPr>
              <w:t>固废和</w:t>
            </w:r>
            <w:r>
              <w:t>危险废物。一般固物主要有</w:t>
            </w:r>
            <w:r>
              <w:rPr>
                <w:rFonts w:hint="eastAsia" w:hAnsi="宋体"/>
              </w:rPr>
              <w:t>除尘器粉尘</w:t>
            </w:r>
            <w:r>
              <w:t>、</w:t>
            </w:r>
            <w:r>
              <w:rPr>
                <w:rFonts w:hint="eastAsia"/>
              </w:rPr>
              <w:t>废布袋、初期</w:t>
            </w:r>
            <w:r>
              <w:rPr>
                <w:bCs/>
                <w:szCs w:val="28"/>
              </w:rPr>
              <w:t>雨水收集池</w:t>
            </w:r>
            <w:r>
              <w:rPr>
                <w:rFonts w:hint="eastAsia"/>
                <w:bCs/>
                <w:szCs w:val="28"/>
              </w:rPr>
              <w:t>沉渣和沉淀池沉渣、生活垃圾等</w:t>
            </w:r>
            <w:r>
              <w:rPr>
                <w:rFonts w:hint="eastAsia"/>
              </w:rPr>
              <w:t>。危险废物主要有</w:t>
            </w:r>
            <w:r>
              <w:t>废</w:t>
            </w:r>
            <w:r>
              <w:rPr>
                <w:rFonts w:hint="eastAsia"/>
              </w:rPr>
              <w:t>活性炭、废导热油、</w:t>
            </w:r>
            <w:r>
              <w:rPr>
                <w:rFonts w:hint="eastAsia" w:ascii="宋体" w:hAnsi="宋体"/>
              </w:rPr>
              <w:t>电捕焦油器收集的废焦油</w:t>
            </w:r>
            <w:r>
              <w:rPr>
                <w:rFonts w:hint="eastAsia"/>
                <w:bCs/>
                <w:szCs w:val="28"/>
              </w:rPr>
              <w:t>、</w:t>
            </w:r>
            <w:r>
              <w:rPr>
                <w:rFonts w:hint="eastAsia"/>
              </w:rPr>
              <w:t>废矿物油及含油抹布等。</w:t>
            </w:r>
          </w:p>
          <w:p w14:paraId="2F5BACEB">
            <w:pPr>
              <w:pStyle w:val="15"/>
              <w:ind w:left="0" w:leftChars="0" w:firstLine="0" w:firstLineChars="0"/>
            </w:pPr>
            <w:r>
              <w:rPr>
                <w:rFonts w:hint="eastAsia"/>
              </w:rPr>
              <w:t xml:space="preserve">   </w:t>
            </w:r>
            <w:r>
              <w:rPr>
                <w:rFonts w:hint="eastAsia"/>
                <w:b/>
                <w:bCs/>
                <w:sz w:val="24"/>
              </w:rPr>
              <w:t xml:space="preserve"> 1、固废的产生和处置情况</w:t>
            </w:r>
          </w:p>
          <w:p w14:paraId="27EB2060">
            <w:pPr>
              <w:ind w:firstLine="482"/>
              <w:rPr>
                <w:b/>
                <w:bCs/>
              </w:rPr>
            </w:pPr>
            <w:r>
              <w:rPr>
                <w:rFonts w:hint="eastAsia"/>
                <w:b/>
                <w:bCs/>
              </w:rPr>
              <w:t>（1）一般固废</w:t>
            </w:r>
          </w:p>
          <w:p w14:paraId="195B8DAE">
            <w:pPr>
              <w:ind w:firstLine="480"/>
            </w:pPr>
            <w:r>
              <w:rPr>
                <w:rFonts w:hint="eastAsia"/>
                <w:szCs w:val="28"/>
              </w:rPr>
              <w:t>①</w:t>
            </w:r>
            <w:r>
              <w:rPr>
                <w:rFonts w:hint="eastAsia"/>
              </w:rPr>
              <w:t>除尘器收集粉尘</w:t>
            </w:r>
          </w:p>
          <w:p w14:paraId="451E2D43">
            <w:pPr>
              <w:ind w:firstLine="480"/>
            </w:pPr>
            <w:r>
              <w:rPr>
                <w:rFonts w:hint="eastAsia"/>
              </w:rPr>
              <w:t>根据废气部分工程分析内容可知，项目布袋除尘器收集的粉尘量为</w:t>
            </w:r>
            <w:r>
              <w:rPr>
                <w:rFonts w:hint="eastAsia"/>
                <w:color w:val="000000" w:themeColor="text1"/>
                <w14:textFill>
                  <w14:solidFill>
                    <w14:schemeClr w14:val="tx1"/>
                  </w14:solidFill>
                </w14:textFill>
              </w:rPr>
              <w:t>46.0338t/a。经对</w:t>
            </w:r>
            <w:r>
              <w:rPr>
                <w:rFonts w:hint="eastAsia"/>
              </w:rPr>
              <w:t>照《固体废物分类与代码目录》，布袋除尘器收集的粉尘属于“SW59其他工业固体废物—非特定行业中的其他工业生产过程中产生的固体废物，固废代码为：900-099-S59”。回收粉尘集中收集后暂存于筒仓内，返回生产线作为原料使用。</w:t>
            </w:r>
          </w:p>
          <w:p w14:paraId="03C5543A">
            <w:pPr>
              <w:ind w:firstLine="480"/>
              <w:rPr>
                <w:b/>
                <w:bCs/>
                <w:szCs w:val="28"/>
              </w:rPr>
            </w:pPr>
            <w:r>
              <w:rPr>
                <w:rFonts w:hint="eastAsia"/>
              </w:rPr>
              <w:t>②</w:t>
            </w:r>
            <w:r>
              <w:rPr>
                <w:rFonts w:hint="eastAsia"/>
                <w:szCs w:val="28"/>
              </w:rPr>
              <w:t>废布袋</w:t>
            </w:r>
          </w:p>
          <w:p w14:paraId="659D2D12">
            <w:pPr>
              <w:ind w:firstLine="480"/>
              <w:rPr>
                <w:szCs w:val="28"/>
              </w:rPr>
            </w:pPr>
            <w:r>
              <w:rPr>
                <w:color w:val="000000" w:themeColor="text1"/>
                <w14:textFill>
                  <w14:solidFill>
                    <w14:schemeClr w14:val="tx1"/>
                  </w14:solidFill>
                </w14:textFill>
              </w:rPr>
              <w:t>项目布袋除尘器使用一定时间后会出现破损需要及时更换，</w:t>
            </w:r>
            <w:r>
              <w:rPr>
                <w:rFonts w:hint="eastAsia"/>
                <w:color w:val="000000" w:themeColor="text1"/>
                <w14:textFill>
                  <w14:solidFill>
                    <w14:schemeClr w14:val="tx1"/>
                  </w14:solidFill>
                </w14:textFill>
              </w:rPr>
              <w:t>根据建设单位提供的资料，</w:t>
            </w:r>
            <w:r>
              <w:rPr>
                <w:color w:val="000000" w:themeColor="text1"/>
                <w14:textFill>
                  <w14:solidFill>
                    <w14:schemeClr w14:val="tx1"/>
                  </w14:solidFill>
                </w14:textFill>
              </w:rPr>
              <w:t>滤</w:t>
            </w:r>
            <w:r>
              <w:rPr>
                <w:rFonts w:hint="eastAsia"/>
                <w:color w:val="000000" w:themeColor="text1"/>
                <w14:textFill>
                  <w14:solidFill>
                    <w14:schemeClr w14:val="tx1"/>
                  </w14:solidFill>
                </w14:textFill>
              </w:rPr>
              <w:t>袋每年更换2次，每次更换量约为0.1t，则废布袋产生量为0.2t/a。</w:t>
            </w:r>
            <w:r>
              <w:rPr>
                <w:color w:val="000000" w:themeColor="text1"/>
                <w14:textFill>
                  <w14:solidFill>
                    <w14:schemeClr w14:val="tx1"/>
                  </w14:solidFill>
                </w14:textFill>
              </w:rPr>
              <w:t>废布袋厂家更换后带走，不在项目区暂存。</w:t>
            </w:r>
            <w:r>
              <w:rPr>
                <w:rFonts w:hint="eastAsia"/>
                <w:color w:val="000000" w:themeColor="text1"/>
                <w:szCs w:val="28"/>
                <w14:textFill>
                  <w14:solidFill>
                    <w14:schemeClr w14:val="tx1"/>
                  </w14:solidFill>
                </w14:textFill>
              </w:rPr>
              <w:t>经对照《固体废物分类与代码目录》，</w:t>
            </w:r>
            <w:r>
              <w:rPr>
                <w:color w:val="000000" w:themeColor="text1"/>
                <w14:textFill>
                  <w14:solidFill>
                    <w14:schemeClr w14:val="tx1"/>
                  </w14:solidFill>
                </w14:textFill>
              </w:rPr>
              <w:t>废布袋</w:t>
            </w:r>
            <w:r>
              <w:rPr>
                <w:rFonts w:hint="eastAsia"/>
                <w:color w:val="000000" w:themeColor="text1"/>
                <w:szCs w:val="28"/>
                <w14:textFill>
                  <w14:solidFill>
                    <w14:schemeClr w14:val="tx1"/>
                  </w14:solidFill>
                </w14:textFill>
              </w:rPr>
              <w:t>属“SW59其他工业</w:t>
            </w:r>
            <w:r>
              <w:rPr>
                <w:rFonts w:hint="eastAsia"/>
                <w:szCs w:val="28"/>
              </w:rPr>
              <w:t>固体废物—非特定行业中的其他工业生产过程中产生的固体废物，固废代码为：900-099-S59”。废布袋由更换厂家回收处置。</w:t>
            </w:r>
          </w:p>
          <w:p w14:paraId="0B7A4DCF">
            <w:pPr>
              <w:ind w:firstLine="480"/>
              <w:rPr>
                <w:rFonts w:cs="宋体"/>
              </w:rPr>
            </w:pPr>
            <w:r>
              <w:rPr>
                <w:rFonts w:hint="eastAsia"/>
                <w:szCs w:val="28"/>
              </w:rPr>
              <w:t>③</w:t>
            </w:r>
            <w:r>
              <w:rPr>
                <w:rFonts w:hint="eastAsia" w:cs="宋体"/>
              </w:rPr>
              <w:t>车轮清洗池及初期雨水池沉渣</w:t>
            </w:r>
          </w:p>
          <w:p w14:paraId="59447375">
            <w:pPr>
              <w:ind w:firstLine="480"/>
              <w:rPr>
                <w:rFonts w:cs="宋体"/>
                <w:color w:val="000000" w:themeColor="text1"/>
                <w14:textFill>
                  <w14:solidFill>
                    <w14:schemeClr w14:val="tx1"/>
                  </w14:solidFill>
                </w14:textFill>
              </w:rPr>
            </w:pPr>
            <w:r>
              <w:rPr>
                <w:color w:val="000000" w:themeColor="text1"/>
                <w14:textFill>
                  <w14:solidFill>
                    <w14:schemeClr w14:val="tx1"/>
                  </w14:solidFill>
                </w14:textFill>
              </w:rPr>
              <w:t>项目车辆</w:t>
            </w:r>
            <w:r>
              <w:rPr>
                <w:rFonts w:hint="eastAsia"/>
                <w:color w:val="000000" w:themeColor="text1"/>
                <w14:textFill>
                  <w14:solidFill>
                    <w14:schemeClr w14:val="tx1"/>
                  </w14:solidFill>
                </w14:textFill>
              </w:rPr>
              <w:t>轮胎清洗废水</w:t>
            </w:r>
            <w:r>
              <w:rPr>
                <w:color w:val="000000" w:themeColor="text1"/>
                <w14:textFill>
                  <w14:solidFill>
                    <w14:schemeClr w14:val="tx1"/>
                  </w14:solidFill>
                </w14:textFill>
              </w:rPr>
              <w:t>经沉淀池</w:t>
            </w:r>
            <w:r>
              <w:rPr>
                <w:rFonts w:hint="eastAsia"/>
                <w:color w:val="000000" w:themeColor="text1"/>
                <w14:textFill>
                  <w14:solidFill>
                    <w14:schemeClr w14:val="tx1"/>
                  </w14:solidFill>
                </w14:textFill>
              </w:rPr>
              <w:t>和初期雨水沉淀池</w:t>
            </w:r>
            <w:r>
              <w:rPr>
                <w:color w:val="000000" w:themeColor="text1"/>
                <w14:textFill>
                  <w14:solidFill>
                    <w14:schemeClr w14:val="tx1"/>
                  </w14:solidFill>
                </w14:textFill>
              </w:rPr>
              <w:t>会</w:t>
            </w:r>
            <w:r>
              <w:rPr>
                <w:rFonts w:hint="eastAsia"/>
                <w:color w:val="000000" w:themeColor="text1"/>
                <w14:textFill>
                  <w14:solidFill>
                    <w14:schemeClr w14:val="tx1"/>
                  </w14:solidFill>
                </w14:textFill>
              </w:rPr>
              <w:t>产生</w:t>
            </w:r>
            <w:r>
              <w:rPr>
                <w:color w:val="000000" w:themeColor="text1"/>
                <w14:textFill>
                  <w14:solidFill>
                    <w14:schemeClr w14:val="tx1"/>
                  </w14:solidFill>
                </w14:textFill>
              </w:rPr>
              <w:t>少量沉淀废渣，产生量约0.</w:t>
            </w:r>
            <w:r>
              <w:rPr>
                <w:rFonts w:hint="eastAsia"/>
                <w:color w:val="000000" w:themeColor="text1"/>
                <w14:textFill>
                  <w14:solidFill>
                    <w14:schemeClr w14:val="tx1"/>
                  </w14:solidFill>
                </w14:textFill>
              </w:rPr>
              <w:t>5</w:t>
            </w:r>
            <w:r>
              <w:rPr>
                <w:color w:val="000000" w:themeColor="text1"/>
                <w14:textFill>
                  <w14:solidFill>
                    <w14:schemeClr w14:val="tx1"/>
                  </w14:solidFill>
                </w14:textFill>
              </w:rPr>
              <w:t>t/a，</w:t>
            </w:r>
            <w:r>
              <w:rPr>
                <w:rFonts w:hint="eastAsia" w:cs="宋体"/>
                <w:color w:val="000000" w:themeColor="text1"/>
                <w14:textFill>
                  <w14:solidFill>
                    <w14:schemeClr w14:val="tx1"/>
                  </w14:solidFill>
                </w14:textFill>
              </w:rPr>
              <w:t>经对照《固体废物分类与代码目</w:t>
            </w:r>
            <w:r>
              <w:rPr>
                <w:rFonts w:hint="eastAsia" w:cs="宋体"/>
              </w:rPr>
              <w:t>录》，沉渣属于“SW59其他工业固体废物—非特定行业中的其他工业生产过程中产生的固体废物，固废代码为：900-099-S59”。</w:t>
            </w:r>
            <w:r>
              <w:rPr>
                <w:color w:val="000000" w:themeColor="text1"/>
                <w14:textFill>
                  <w14:solidFill>
                    <w14:schemeClr w14:val="tx1"/>
                  </w14:solidFill>
                </w14:textFill>
              </w:rPr>
              <w:t>沉渣主要成分为碎砂石及泥沙，定期清掏后</w:t>
            </w:r>
            <w:r>
              <w:rPr>
                <w:rFonts w:hint="eastAsia"/>
                <w:color w:val="000000" w:themeColor="text1"/>
                <w14:textFill>
                  <w14:solidFill>
                    <w14:schemeClr w14:val="tx1"/>
                  </w14:solidFill>
                </w14:textFill>
              </w:rPr>
              <w:t>用于周边道路修复</w:t>
            </w:r>
            <w:r>
              <w:rPr>
                <w:rFonts w:hint="eastAsia" w:cs="宋体"/>
                <w:color w:val="000000" w:themeColor="text1"/>
                <w14:textFill>
                  <w14:solidFill>
                    <w14:schemeClr w14:val="tx1"/>
                  </w14:solidFill>
                </w14:textFill>
              </w:rPr>
              <w:t>。</w:t>
            </w:r>
          </w:p>
          <w:p w14:paraId="51A4FDBD">
            <w:pPr>
              <w:ind w:firstLine="480"/>
            </w:pPr>
            <w:r>
              <w:rPr>
                <w:rFonts w:hint="eastAsia"/>
                <w:color w:val="000000" w:themeColor="text1"/>
                <w14:textFill>
                  <w14:solidFill>
                    <w14:schemeClr w14:val="tx1"/>
                  </w14:solidFill>
                </w14:textFill>
              </w:rPr>
              <w:t>④</w:t>
            </w:r>
            <w:r>
              <w:rPr>
                <w:rFonts w:hint="eastAsia"/>
              </w:rPr>
              <w:t>生活垃圾</w:t>
            </w:r>
          </w:p>
          <w:p w14:paraId="5F930661">
            <w:pPr>
              <w:ind w:firstLine="480"/>
            </w:pPr>
            <w:r>
              <w:rPr>
                <w:rFonts w:hint="eastAsia"/>
              </w:rPr>
              <w:t>本项目总劳动定员为10人，其中5人在项目内食宿。根据城镇生活源产排污系数手册，食宿工作人员生活垃圾产生量按1kg/d·人计算，仅办公人员生活垃圾产生量按0.5kg/d·人计算，则员工生活垃圾的产生量为7.5kg/d，2.25t/a。根据《固体废物分类与代码目录》，生活垃圾属于SW64：其他垃圾—非特定行业中的以上之外的生活垃圾，固废代码为：900-099-S64。生活垃圾使用塑料袋和带盖生活垃圾收集桶统一收集后委托当地环卫部门定期清运、处置。</w:t>
            </w:r>
          </w:p>
          <w:p w14:paraId="15EBFBE5">
            <w:pPr>
              <w:ind w:firstLine="480"/>
            </w:pPr>
            <w:r>
              <w:rPr>
                <w:rFonts w:hint="eastAsia"/>
                <w:color w:val="000000" w:themeColor="text1"/>
                <w14:textFill>
                  <w14:solidFill>
                    <w14:schemeClr w14:val="tx1"/>
                  </w14:solidFill>
                </w14:textFill>
              </w:rPr>
              <w:t>⑤化粪池</w:t>
            </w:r>
            <w:r>
              <w:rPr>
                <w:rFonts w:hint="eastAsia"/>
              </w:rPr>
              <w:t>污泥</w:t>
            </w:r>
          </w:p>
          <w:p w14:paraId="52606460">
            <w:pPr>
              <w:ind w:firstLine="480"/>
            </w:pPr>
            <w:r>
              <w:rPr>
                <w:rFonts w:hint="eastAsia"/>
              </w:rPr>
              <w:t>化粪池污泥产生量根据《室外排水设计规范》提供的数据，按每人每日初级沉淀池污泥（干）产生量14~27g，本次计算取20g，污泥含水率大概在90％左右，整个项目工作人员为10人，则化粪池污泥的产生量约0.2kg/d，0.06t/a。根据《固体废物分类与代码目录》，化粪池污泥属于：SW64其他垃圾—非特定行业中的化粪池污泥，固废代码为：900-002-S64。化粪池污泥定期委托有资质单位清掏清运处置。</w:t>
            </w:r>
          </w:p>
          <w:p w14:paraId="33D15CAB">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⑥污水处理污泥</w:t>
            </w:r>
          </w:p>
          <w:p w14:paraId="597622EF">
            <w:pPr>
              <w:ind w:firstLine="480"/>
              <w:rPr>
                <w:color w:val="FF0000"/>
              </w:rPr>
            </w:pPr>
            <w:r>
              <w:rPr>
                <w:rFonts w:hAnsi="宋体"/>
                <w:color w:val="000000"/>
                <w:kern w:val="0"/>
              </w:rPr>
              <w:t>本项目拟建一套一体化污水处理站处理</w:t>
            </w:r>
            <w:r>
              <w:rPr>
                <w:rFonts w:hint="eastAsia" w:hAnsi="宋体"/>
                <w:color w:val="000000"/>
                <w:kern w:val="0"/>
              </w:rPr>
              <w:t>办公生活污水</w:t>
            </w:r>
            <w:r>
              <w:rPr>
                <w:rFonts w:hAnsi="宋体"/>
                <w:color w:val="000000"/>
                <w:kern w:val="0"/>
              </w:rPr>
              <w:t>，污水处理站内将产生少量的污泥。以每去除</w:t>
            </w:r>
            <w:r>
              <w:rPr>
                <w:color w:val="000000"/>
                <w:kern w:val="0"/>
              </w:rPr>
              <w:t>1kgBOD</w:t>
            </w:r>
            <w:r>
              <w:rPr>
                <w:color w:val="000000"/>
                <w:kern w:val="0"/>
                <w:vertAlign w:val="subscript"/>
              </w:rPr>
              <w:t>5</w:t>
            </w:r>
            <w:r>
              <w:rPr>
                <w:rFonts w:hAnsi="宋体"/>
                <w:color w:val="000000"/>
                <w:kern w:val="0"/>
              </w:rPr>
              <w:t>产生污泥</w:t>
            </w:r>
            <w:r>
              <w:rPr>
                <w:color w:val="000000"/>
                <w:kern w:val="0"/>
              </w:rPr>
              <w:t>0.8k</w:t>
            </w:r>
            <w:r>
              <w:rPr>
                <w:rFonts w:hAnsi="宋体"/>
                <w:color w:val="000000"/>
                <w:kern w:val="0"/>
              </w:rPr>
              <w:t>计，污水处理站消减</w:t>
            </w:r>
            <w:r>
              <w:rPr>
                <w:color w:val="000000"/>
                <w:kern w:val="0"/>
              </w:rPr>
              <w:t>BOD</w:t>
            </w:r>
            <w:r>
              <w:rPr>
                <w:color w:val="000000"/>
                <w:kern w:val="0"/>
                <w:vertAlign w:val="subscript"/>
              </w:rPr>
              <w:t>5</w:t>
            </w:r>
            <w:r>
              <w:rPr>
                <w:rFonts w:hAnsi="宋体"/>
                <w:color w:val="000000"/>
                <w:kern w:val="0"/>
              </w:rPr>
              <w:t>的量为</w:t>
            </w:r>
            <w:r>
              <w:rPr>
                <w:rFonts w:hint="eastAsia"/>
                <w:color w:val="000000"/>
                <w:kern w:val="0"/>
              </w:rPr>
              <w:t>34.4kg</w:t>
            </w:r>
            <w:r>
              <w:rPr>
                <w:color w:val="000000"/>
                <w:kern w:val="0"/>
              </w:rPr>
              <w:t>/a</w:t>
            </w:r>
            <w:r>
              <w:rPr>
                <w:rFonts w:hAnsi="宋体"/>
                <w:color w:val="000000"/>
                <w:kern w:val="0"/>
              </w:rPr>
              <w:t>，则预计污泥产生量为</w:t>
            </w:r>
            <w:r>
              <w:rPr>
                <w:rFonts w:hint="eastAsia"/>
                <w:color w:val="000000"/>
                <w:kern w:val="0"/>
              </w:rPr>
              <w:t>0.028</w:t>
            </w:r>
            <w:r>
              <w:rPr>
                <w:color w:val="000000"/>
                <w:kern w:val="0"/>
              </w:rPr>
              <w:t>t/a</w:t>
            </w:r>
            <w:r>
              <w:rPr>
                <w:rFonts w:hint="eastAsia" w:hAnsi="宋体"/>
                <w:color w:val="000000"/>
                <w:kern w:val="0"/>
              </w:rPr>
              <w:t>。</w:t>
            </w:r>
          </w:p>
          <w:p w14:paraId="4E556265">
            <w:pPr>
              <w:ind w:firstLine="482"/>
              <w:rPr>
                <w:color w:val="000000" w:themeColor="text1"/>
                <w14:textFill>
                  <w14:solidFill>
                    <w14:schemeClr w14:val="tx1"/>
                  </w14:solidFill>
                </w14:textFill>
              </w:rPr>
            </w:pPr>
            <w:r>
              <w:rPr>
                <w:rFonts w:hint="eastAsia"/>
                <w:b/>
                <w:bCs/>
              </w:rPr>
              <w:t>（2）危险废物</w:t>
            </w:r>
          </w:p>
          <w:p w14:paraId="75C566E1">
            <w:pPr>
              <w:ind w:left="480" w:leftChars="200" w:firstLine="0" w:firstLineChars="0"/>
              <w:jc w:val="left"/>
              <w:rPr>
                <w:rFonts w:ascii="宋体" w:hAnsi="宋体"/>
              </w:rPr>
            </w:pPr>
            <w:r>
              <w:rPr>
                <w:rFonts w:hint="eastAsia"/>
                <w:color w:val="000000" w:themeColor="text1"/>
                <w14:textFill>
                  <w14:solidFill>
                    <w14:schemeClr w14:val="tx1"/>
                  </w14:solidFill>
                </w14:textFill>
              </w:rPr>
              <w:t>①</w:t>
            </w:r>
            <w:r>
              <w:rPr>
                <w:rFonts w:hint="eastAsia" w:ascii="宋体" w:hAnsi="宋体"/>
              </w:rPr>
              <w:t>电捕焦油器收集的废焦油</w:t>
            </w:r>
          </w:p>
          <w:p w14:paraId="34EB2579">
            <w:pPr>
              <w:pStyle w:val="15"/>
              <w:ind w:left="0" w:leftChars="0" w:firstLine="480"/>
              <w:rPr>
                <w:color w:val="000000" w:themeColor="text1"/>
                <w:sz w:val="24"/>
                <w14:textFill>
                  <w14:solidFill>
                    <w14:schemeClr w14:val="tx1"/>
                  </w14:solidFill>
                </w14:textFill>
              </w:rPr>
            </w:pPr>
            <w:r>
              <w:rPr>
                <w:sz w:val="24"/>
                <w:szCs w:val="28"/>
              </w:rPr>
              <w:t>沥青罐废气</w:t>
            </w:r>
            <w:r>
              <w:rPr>
                <w:rFonts w:hint="eastAsia"/>
                <w:sz w:val="24"/>
                <w:szCs w:val="28"/>
              </w:rPr>
              <w:t>和</w:t>
            </w:r>
            <w:r>
              <w:rPr>
                <w:sz w:val="24"/>
                <w:szCs w:val="28"/>
              </w:rPr>
              <w:t>沥青混凝土</w:t>
            </w:r>
            <w:r>
              <w:rPr>
                <w:rFonts w:hint="eastAsia"/>
                <w:sz w:val="24"/>
                <w:szCs w:val="28"/>
              </w:rPr>
              <w:t>出料</w:t>
            </w:r>
            <w:r>
              <w:rPr>
                <w:sz w:val="24"/>
                <w:szCs w:val="28"/>
              </w:rPr>
              <w:t>时产生</w:t>
            </w:r>
            <w:r>
              <w:rPr>
                <w:rFonts w:hint="eastAsia"/>
                <w:sz w:val="24"/>
                <w:szCs w:val="28"/>
              </w:rPr>
              <w:t>的</w:t>
            </w:r>
            <w:r>
              <w:rPr>
                <w:sz w:val="24"/>
                <w:szCs w:val="28"/>
              </w:rPr>
              <w:t>废气收集后引入</w:t>
            </w:r>
            <w:r>
              <w:rPr>
                <w:color w:val="000000" w:themeColor="text1"/>
                <w:sz w:val="24"/>
                <w14:textFill>
                  <w14:solidFill>
                    <w14:schemeClr w14:val="tx1"/>
                  </w14:solidFill>
                </w14:textFill>
              </w:rPr>
              <w:t>1套“电捕焦</w:t>
            </w:r>
            <w:r>
              <w:rPr>
                <w:rFonts w:ascii="宋体" w:hAnsi="宋体" w:cs="宋体"/>
                <w:spacing w:val="-2"/>
                <w:sz w:val="24"/>
              </w:rPr>
              <w:t>油器</w:t>
            </w:r>
            <w:r>
              <w:rPr>
                <w:rFonts w:eastAsia="Times New Roman"/>
                <w:spacing w:val="-2"/>
                <w:sz w:val="24"/>
              </w:rPr>
              <w:t>+</w:t>
            </w:r>
            <w:r>
              <w:rPr>
                <w:rFonts w:hint="eastAsia"/>
                <w:spacing w:val="-2"/>
                <w:sz w:val="24"/>
              </w:rPr>
              <w:t>三级</w:t>
            </w:r>
            <w:r>
              <w:rPr>
                <w:rFonts w:ascii="宋体" w:hAnsi="宋体" w:cs="宋体"/>
                <w:spacing w:val="-3"/>
                <w:sz w:val="24"/>
              </w:rPr>
              <w:t>活性炭</w:t>
            </w:r>
            <w:r>
              <w:rPr>
                <w:rFonts w:ascii="宋体" w:hAnsi="宋体" w:cs="宋体"/>
                <w:sz w:val="24"/>
              </w:rPr>
              <w:t>吸</w:t>
            </w:r>
            <w:r>
              <w:rPr>
                <w:rFonts w:hint="eastAsia" w:ascii="宋体" w:hAnsi="宋体" w:cs="宋体"/>
                <w:sz w:val="24"/>
              </w:rPr>
              <w:t>吸附</w:t>
            </w:r>
            <w:r>
              <w:rPr>
                <w:rFonts w:ascii="宋体" w:hAnsi="宋体" w:cs="宋体"/>
                <w:sz w:val="24"/>
              </w:rPr>
              <w:t>装置</w:t>
            </w:r>
            <w:r>
              <w:rPr>
                <w:rFonts w:eastAsia="Times New Roman"/>
                <w:sz w:val="24"/>
              </w:rPr>
              <w:t>”</w:t>
            </w:r>
            <w:r>
              <w:rPr>
                <w:rFonts w:ascii="宋体" w:hAnsi="宋体" w:cs="宋体"/>
                <w:sz w:val="24"/>
              </w:rPr>
              <w:t>进行处理，</w:t>
            </w:r>
            <w:r>
              <w:rPr>
                <w:sz w:val="24"/>
              </w:rPr>
              <w:t>废气处理过程中电捕焦油器收集的</w:t>
            </w:r>
            <w:r>
              <w:rPr>
                <w:rFonts w:hint="eastAsia"/>
                <w:sz w:val="24"/>
              </w:rPr>
              <w:t>废焦</w:t>
            </w:r>
            <w:r>
              <w:rPr>
                <w:rFonts w:hint="eastAsia"/>
                <w:color w:val="000000" w:themeColor="text1"/>
                <w:sz w:val="24"/>
                <w14:textFill>
                  <w14:solidFill>
                    <w14:schemeClr w14:val="tx1"/>
                  </w14:solidFill>
                </w14:textFill>
              </w:rPr>
              <w:t>油</w:t>
            </w:r>
            <w:r>
              <w:rPr>
                <w:color w:val="000000" w:themeColor="text1"/>
                <w:sz w:val="24"/>
                <w14:textFill>
                  <w14:solidFill>
                    <w14:schemeClr w14:val="tx1"/>
                  </w14:solidFill>
                </w14:textFill>
              </w:rPr>
              <w:t>为</w:t>
            </w:r>
            <w:r>
              <w:rPr>
                <w:rFonts w:hint="eastAsia"/>
                <w:color w:val="000000" w:themeColor="text1"/>
                <w:sz w:val="24"/>
                <w14:textFill>
                  <w14:solidFill>
                    <w14:schemeClr w14:val="tx1"/>
                  </w14:solidFill>
                </w14:textFill>
              </w:rPr>
              <w:t>0.2759</w:t>
            </w:r>
            <w:r>
              <w:rPr>
                <w:color w:val="000000" w:themeColor="text1"/>
                <w:sz w:val="24"/>
                <w14:textFill>
                  <w14:solidFill>
                    <w14:schemeClr w14:val="tx1"/>
                  </w14:solidFill>
                </w14:textFill>
              </w:rPr>
              <w:t>t/a</w:t>
            </w:r>
            <w:r>
              <w:rPr>
                <w:rFonts w:hint="eastAsia"/>
                <w:color w:val="000000" w:themeColor="text1"/>
                <w:sz w:val="24"/>
                <w14:textFill>
                  <w14:solidFill>
                    <w14:schemeClr w14:val="tx1"/>
                  </w14:solidFill>
                </w14:textFill>
              </w:rPr>
              <w:t>。</w:t>
            </w:r>
          </w:p>
          <w:p w14:paraId="21F414DB">
            <w:pPr>
              <w:pStyle w:val="15"/>
              <w:ind w:left="0" w:leftChars="0" w:firstLine="480"/>
              <w:rPr>
                <w:color w:val="000000" w:themeColor="text1"/>
                <w:sz w:val="24"/>
                <w14:textFill>
                  <w14:solidFill>
                    <w14:schemeClr w14:val="tx1"/>
                  </w14:solidFill>
                </w14:textFill>
              </w:rPr>
            </w:pPr>
            <w:r>
              <w:rPr>
                <w:rFonts w:hint="eastAsia"/>
                <w:sz w:val="24"/>
                <w:szCs w:val="28"/>
              </w:rPr>
              <w:t>根据</w:t>
            </w:r>
            <w:r>
              <w:rPr>
                <w:rFonts w:hint="eastAsia" w:cs="宋体"/>
                <w:spacing w:val="-1"/>
                <w:sz w:val="24"/>
              </w:rPr>
              <w:t>《国家危险废物名录》（2025年版），废焦油属于HW11：</w:t>
            </w:r>
            <w:r>
              <w:rPr>
                <w:rFonts w:hint="eastAsia"/>
                <w:sz w:val="24"/>
                <w:szCs w:val="28"/>
              </w:rPr>
              <w:t>精（蒸）馏残渣，危险废物代码309-001-11：电解铝及其他有色金属电解精炼过程中预焙阳极、碳块及其它碳素制品制造过程烟气处理所产生的含焦油废物，定期使用闭口容器收集后暂存于危废暂存间，委托有资质单位进行清运处置。</w:t>
            </w:r>
          </w:p>
          <w:p w14:paraId="381AA5B8">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②废活性炭</w:t>
            </w:r>
          </w:p>
          <w:p w14:paraId="01A0B150">
            <w:pPr>
              <w:ind w:firstLine="480"/>
              <w:rPr>
                <w:color w:val="000000" w:themeColor="text1"/>
                <w14:textFill>
                  <w14:solidFill>
                    <w14:schemeClr w14:val="tx1"/>
                  </w14:solidFill>
                </w14:textFill>
              </w:rPr>
            </w:pPr>
            <w:r>
              <w:rPr>
                <w:color w:val="000000" w:themeColor="text1"/>
                <w14:textFill>
                  <w14:solidFill>
                    <w14:schemeClr w14:val="tx1"/>
                  </w14:solidFill>
                </w14:textFill>
              </w:rPr>
              <w:t>项目沥青罐及</w:t>
            </w:r>
            <w:r>
              <w:rPr>
                <w:rFonts w:hint="eastAsia"/>
                <w:color w:val="000000" w:themeColor="text1"/>
                <w14:textFill>
                  <w14:solidFill>
                    <w14:schemeClr w14:val="tx1"/>
                  </w14:solidFill>
                </w14:textFill>
              </w:rPr>
              <w:t>出</w:t>
            </w:r>
            <w:r>
              <w:rPr>
                <w:color w:val="000000" w:themeColor="text1"/>
                <w14:textFill>
                  <w14:solidFill>
                    <w14:schemeClr w14:val="tx1"/>
                  </w14:solidFill>
                </w14:textFill>
              </w:rPr>
              <w:t>料废气</w:t>
            </w:r>
            <w:r>
              <w:rPr>
                <w:rFonts w:hint="eastAsia"/>
                <w:color w:val="000000" w:themeColor="text1"/>
                <w14:textFill>
                  <w14:solidFill>
                    <w14:schemeClr w14:val="tx1"/>
                  </w14:solidFill>
                </w14:textFill>
              </w:rPr>
              <w:t>共同</w:t>
            </w:r>
            <w:r>
              <w:rPr>
                <w:color w:val="000000" w:themeColor="text1"/>
                <w14:textFill>
                  <w14:solidFill>
                    <w14:schemeClr w14:val="tx1"/>
                  </w14:solidFill>
                </w14:textFill>
              </w:rPr>
              <w:t>采用1套“电捕焦</w:t>
            </w:r>
            <w:r>
              <w:rPr>
                <w:rFonts w:ascii="宋体" w:hAnsi="宋体" w:cs="宋体"/>
                <w:spacing w:val="-2"/>
              </w:rPr>
              <w:t>油器</w:t>
            </w:r>
            <w:r>
              <w:rPr>
                <w:rFonts w:eastAsia="Times New Roman"/>
                <w:spacing w:val="-2"/>
              </w:rPr>
              <w:t>+</w:t>
            </w:r>
            <w:r>
              <w:rPr>
                <w:rFonts w:hint="eastAsia"/>
                <w:spacing w:val="-2"/>
              </w:rPr>
              <w:t>三级</w:t>
            </w:r>
            <w:r>
              <w:rPr>
                <w:rFonts w:ascii="宋体" w:hAnsi="宋体" w:cs="宋体"/>
                <w:spacing w:val="-3"/>
              </w:rPr>
              <w:t>活性炭</w:t>
            </w:r>
            <w:r>
              <w:rPr>
                <w:rFonts w:ascii="宋体" w:hAnsi="宋体" w:cs="宋体"/>
              </w:rPr>
              <w:t>吸</w:t>
            </w:r>
            <w:r>
              <w:rPr>
                <w:rFonts w:hint="eastAsia" w:ascii="宋体" w:hAnsi="宋体" w:cs="宋体"/>
              </w:rPr>
              <w:t>吸附</w:t>
            </w:r>
            <w:r>
              <w:rPr>
                <w:rFonts w:ascii="宋体" w:hAnsi="宋体" w:cs="宋体"/>
              </w:rPr>
              <w:t>装置</w:t>
            </w:r>
            <w:r>
              <w:rPr>
                <w:rFonts w:eastAsia="Times New Roman"/>
              </w:rPr>
              <w:t>”</w:t>
            </w:r>
            <w:r>
              <w:rPr>
                <w:rFonts w:ascii="宋体" w:hAnsi="宋体" w:cs="宋体"/>
              </w:rPr>
              <w:t>进行处理，</w:t>
            </w:r>
            <w:r>
              <w:rPr>
                <w:rFonts w:hint="eastAsia" w:ascii="宋体" w:hAnsi="宋体" w:cs="宋体"/>
              </w:rPr>
              <w:t>处理</w:t>
            </w:r>
            <w:r>
              <w:rPr>
                <w:rFonts w:ascii="宋体" w:hAnsi="宋体" w:cs="宋体"/>
              </w:rPr>
              <w:t>过程中会产生废活性炭。</w:t>
            </w:r>
            <w:r>
              <w:rPr>
                <w:rFonts w:ascii="宋体" w:hAnsi="宋体" w:cs="宋体"/>
                <w:spacing w:val="3"/>
              </w:rPr>
              <w:t>参考陆良杰、王</w:t>
            </w:r>
            <w:r>
              <w:rPr>
                <w:rFonts w:ascii="宋体" w:hAnsi="宋体" w:cs="宋体"/>
                <w:spacing w:val="2"/>
              </w:rPr>
              <w:t>京刚在</w:t>
            </w:r>
            <w:r>
              <w:rPr>
                <w:rFonts w:ascii="宋体" w:hAnsi="宋体" w:cs="宋体"/>
                <w:spacing w:val="-2"/>
              </w:rPr>
              <w:t>《</w:t>
            </w:r>
            <w:r>
              <w:rPr>
                <w:color w:val="000000" w:themeColor="text1"/>
                <w14:textFill>
                  <w14:solidFill>
                    <w14:schemeClr w14:val="tx1"/>
                  </w14:solidFill>
                </w14:textFill>
              </w:rPr>
              <w:t>化工环保》2007年05发表的《挥发性有机物的物化性质与活性炭饱和吸附量的相关性研究》，活性炭对挥发性有机废气的饱和吸附量为280mg/g，本项目挥发性有机废气去除总量为</w:t>
            </w:r>
            <w:r>
              <w:rPr>
                <w:rFonts w:hint="eastAsia"/>
                <w:color w:val="000000" w:themeColor="text1"/>
                <w14:textFill>
                  <w14:solidFill>
                    <w14:schemeClr w14:val="tx1"/>
                  </w14:solidFill>
                </w14:textFill>
              </w:rPr>
              <w:t>0.0923</w:t>
            </w:r>
            <w:r>
              <w:rPr>
                <w:color w:val="000000" w:themeColor="text1"/>
                <w14:textFill>
                  <w14:solidFill>
                    <w14:schemeClr w14:val="tx1"/>
                  </w14:solidFill>
                </w14:textFill>
              </w:rPr>
              <w:t>t，因此活性炭总用量为</w:t>
            </w:r>
            <w:r>
              <w:rPr>
                <w:rFonts w:hint="eastAsia"/>
                <w:color w:val="000000" w:themeColor="text1"/>
                <w14:textFill>
                  <w14:solidFill>
                    <w14:schemeClr w14:val="tx1"/>
                  </w14:solidFill>
                </w14:textFill>
              </w:rPr>
              <w:t>0.33</w:t>
            </w:r>
            <w:r>
              <w:rPr>
                <w:color w:val="000000" w:themeColor="text1"/>
                <w14:textFill>
                  <w14:solidFill>
                    <w14:schemeClr w14:val="tx1"/>
                  </w14:solidFill>
                </w14:textFill>
              </w:rPr>
              <w:t>t/a，废活性炭产生量为</w:t>
            </w:r>
            <w:r>
              <w:rPr>
                <w:rFonts w:hint="eastAsia"/>
                <w:color w:val="000000" w:themeColor="text1"/>
                <w14:textFill>
                  <w14:solidFill>
                    <w14:schemeClr w14:val="tx1"/>
                  </w14:solidFill>
                </w14:textFill>
              </w:rPr>
              <w:t>0.4223</w:t>
            </w:r>
            <w:r>
              <w:rPr>
                <w:color w:val="000000" w:themeColor="text1"/>
                <w14:textFill>
                  <w14:solidFill>
                    <w14:schemeClr w14:val="tx1"/>
                  </w14:solidFill>
                </w14:textFill>
              </w:rPr>
              <w:t>t/a。本项目活性炭填充量约100kg，则活性炭每</w:t>
            </w:r>
            <w:r>
              <w:rPr>
                <w:rFonts w:hint="eastAsia"/>
                <w:color w:val="000000" w:themeColor="text1"/>
                <w14:textFill>
                  <w14:solidFill>
                    <w14:schemeClr w14:val="tx1"/>
                  </w14:solidFill>
                </w14:textFill>
              </w:rPr>
              <w:t>三个月更换1次</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项目拟采用蜂窝状活性炭，碘阈值不低于650mg/g</w:t>
            </w:r>
            <w:r>
              <w:rPr>
                <w:color w:val="000000" w:themeColor="text1"/>
                <w14:textFill>
                  <w14:solidFill>
                    <w14:schemeClr w14:val="tx1"/>
                  </w14:solidFill>
                </w14:textFill>
              </w:rPr>
              <w:t>。</w:t>
            </w:r>
          </w:p>
          <w:p w14:paraId="2DDC5129">
            <w:pPr>
              <w:pStyle w:val="15"/>
              <w:ind w:left="0" w:leftChars="0" w:firstLine="472"/>
              <w:rPr>
                <w:color w:val="000000" w:themeColor="text1"/>
                <w:sz w:val="24"/>
                <w14:textFill>
                  <w14:solidFill>
                    <w14:schemeClr w14:val="tx1"/>
                  </w14:solidFill>
                </w14:textFill>
              </w:rPr>
            </w:pPr>
            <w:r>
              <w:rPr>
                <w:rFonts w:ascii="宋体" w:hAnsi="宋体" w:cs="宋体"/>
                <w:spacing w:val="-2"/>
                <w:sz w:val="24"/>
              </w:rPr>
              <w:t>根据《国家危险废物名录》（</w:t>
            </w:r>
            <w:r>
              <w:rPr>
                <w:rFonts w:hint="eastAsia"/>
                <w:color w:val="000000" w:themeColor="text1"/>
                <w:sz w:val="24"/>
                <w14:textFill>
                  <w14:solidFill>
                    <w14:schemeClr w14:val="tx1"/>
                  </w14:solidFill>
                </w14:textFill>
              </w:rPr>
              <w:t>2025年版），废活性炭属于HW49：其他废物类危险废物，危废代码为900-039-49：烟气、VOCs治理过程（不包括餐饮行业油烟治理过程）产生的废活性炭。废活性炭用容器进行收集后存储于危险废物贮存设施内，委托有资质的单位进行清运处置。</w:t>
            </w:r>
          </w:p>
          <w:p w14:paraId="583341FF">
            <w:pPr>
              <w:tabs>
                <w:tab w:val="left" w:pos="1848"/>
                <w:tab w:val="left" w:pos="6061"/>
                <w:tab w:val="left" w:pos="8665"/>
              </w:tabs>
              <w:ind w:firstLine="480"/>
            </w:pPr>
            <w:r>
              <w:rPr>
                <w:rFonts w:hint="eastAsia"/>
                <w:color w:val="000000" w:themeColor="text1"/>
                <w14:textFill>
                  <w14:solidFill>
                    <w14:schemeClr w14:val="tx1"/>
                  </w14:solidFill>
                </w14:textFill>
              </w:rPr>
              <w:t>③</w:t>
            </w:r>
            <w:r>
              <w:rPr>
                <w:rFonts w:hint="eastAsia"/>
              </w:rPr>
              <w:t>废导热油</w:t>
            </w:r>
          </w:p>
          <w:p w14:paraId="2E137230">
            <w:pPr>
              <w:tabs>
                <w:tab w:val="left" w:pos="2160"/>
              </w:tabs>
              <w:adjustRightInd w:val="0"/>
              <w:snapToGrid w:val="0"/>
              <w:ind w:firstLine="480"/>
            </w:pPr>
            <w:r>
              <w:rPr>
                <w:rFonts w:ascii="宋体" w:hAnsi="宋体" w:cs="宋体"/>
              </w:rPr>
              <w:t>本项目导热油炉以导热油为导热介质，导热油在</w:t>
            </w:r>
            <w:r>
              <w:rPr>
                <w:rFonts w:ascii="宋体" w:hAnsi="宋体" w:cs="宋体"/>
                <w:spacing w:val="-1"/>
              </w:rPr>
              <w:t>整个加热过程中密闭循环使</w:t>
            </w:r>
            <w:r>
              <w:rPr>
                <w:rFonts w:ascii="宋体" w:hAnsi="宋体" w:cs="宋体"/>
                <w:spacing w:val="-3"/>
              </w:rPr>
              <w:t>用</w:t>
            </w:r>
            <w:r>
              <w:rPr>
                <w:rFonts w:hint="eastAsia" w:ascii="宋体" w:hAnsi="宋体" w:cs="宋体"/>
                <w:spacing w:val="-3"/>
              </w:rPr>
              <w:t>，</w:t>
            </w:r>
            <w:r>
              <w:rPr>
                <w:rFonts w:hint="eastAsia"/>
                <w:bCs/>
                <w:szCs w:val="28"/>
              </w:rPr>
              <w:t>每3</w:t>
            </w:r>
            <w:r>
              <w:t>年更换一次，</w:t>
            </w:r>
            <w:r>
              <w:rPr>
                <w:rFonts w:hint="eastAsia"/>
              </w:rPr>
              <w:t>到期后由有资质的供应商对导热油进行更换。根据建设单位提供的资料，每次更换</w:t>
            </w:r>
            <w:r>
              <w:t>产生约</w:t>
            </w:r>
            <w:r>
              <w:rPr>
                <w:rFonts w:hint="eastAsia"/>
              </w:rPr>
              <w:t>3</w:t>
            </w:r>
            <w:r>
              <w:t>t废导热油</w:t>
            </w:r>
            <w:r>
              <w:rPr>
                <w:rFonts w:hint="eastAsia"/>
              </w:rPr>
              <w:t>。</w:t>
            </w:r>
          </w:p>
          <w:p w14:paraId="1C907E60">
            <w:pPr>
              <w:tabs>
                <w:tab w:val="left" w:pos="2160"/>
              </w:tabs>
              <w:adjustRightInd w:val="0"/>
              <w:snapToGrid w:val="0"/>
              <w:ind w:firstLine="480"/>
            </w:pPr>
            <w:r>
              <w:t>根据《国家危险废物名录》（202</w:t>
            </w:r>
            <w:r>
              <w:rPr>
                <w:rFonts w:hint="eastAsia"/>
              </w:rPr>
              <w:t>5</w:t>
            </w:r>
            <w:r>
              <w:t>版），废导热油属于HW</w:t>
            </w:r>
            <w:r>
              <w:rPr>
                <w:rFonts w:hint="eastAsia"/>
              </w:rPr>
              <w:t>08：</w:t>
            </w:r>
            <w:r>
              <w:rPr>
                <w:rFonts w:hint="eastAsia" w:ascii="宋体" w:hAnsi="宋体" w:cs="宋体"/>
                <w:color w:val="000000"/>
                <w:kern w:val="0"/>
                <w:szCs w:val="21"/>
              </w:rPr>
              <w:t>废矿物</w:t>
            </w:r>
            <w:r>
              <w:rPr>
                <w:rFonts w:hint="eastAsia" w:ascii="宋体" w:hAnsi="宋体" w:cs="宋体"/>
                <w:color w:val="000000"/>
                <w:spacing w:val="-6"/>
                <w:kern w:val="0"/>
                <w:szCs w:val="21"/>
              </w:rPr>
              <w:t>油与含矿物油废物</w:t>
            </w:r>
            <w:r>
              <w:t>，废物代码</w:t>
            </w:r>
            <w:r>
              <w:rPr>
                <w:rFonts w:hint="eastAsia"/>
              </w:rPr>
              <w:t>为</w:t>
            </w:r>
            <w:r>
              <w:rPr>
                <w:rFonts w:hint="eastAsia" w:cs="宋体"/>
                <w:spacing w:val="-1"/>
              </w:rPr>
              <w:t>900-249-08：其他生产、销售、使用过程中产生的废矿物油及沾染矿</w:t>
            </w:r>
            <w:r>
              <w:rPr>
                <w:rFonts w:hint="eastAsia"/>
              </w:rPr>
              <w:t>物油的废弃包装物</w:t>
            </w:r>
            <w:r>
              <w:t>。更换</w:t>
            </w:r>
            <w:r>
              <w:rPr>
                <w:rFonts w:hint="eastAsia"/>
              </w:rPr>
              <w:t>的废导热油</w:t>
            </w:r>
            <w:r>
              <w:t>直接</w:t>
            </w:r>
            <w:r>
              <w:rPr>
                <w:rFonts w:hint="eastAsia"/>
              </w:rPr>
              <w:t>由有资质的更换单位带走</w:t>
            </w:r>
            <w:r>
              <w:t>处置，不在厂内储存。</w:t>
            </w:r>
          </w:p>
          <w:p w14:paraId="7614C3F6">
            <w:pPr>
              <w:tabs>
                <w:tab w:val="left" w:pos="2160"/>
              </w:tabs>
              <w:adjustRightInd w:val="0"/>
              <w:snapToGrid w:val="0"/>
              <w:ind w:firstLine="480"/>
            </w:pPr>
            <w:r>
              <w:rPr>
                <w:rFonts w:hint="eastAsia"/>
              </w:rPr>
              <w:t>④废矿物油及废油桶</w:t>
            </w:r>
          </w:p>
          <w:p w14:paraId="000F767F">
            <w:pPr>
              <w:tabs>
                <w:tab w:val="left" w:pos="2160"/>
              </w:tabs>
              <w:adjustRightInd w:val="0"/>
              <w:snapToGrid w:val="0"/>
              <w:ind w:firstLine="480"/>
            </w:pPr>
            <w:r>
              <w:rPr>
                <w:rFonts w:hint="eastAsia"/>
              </w:rPr>
              <w:t>项目运营过程中使用的机械设备维修维护过程中会产生一定的废矿物油及废油桶</w:t>
            </w:r>
            <w:r>
              <w:t>，</w:t>
            </w:r>
            <w:r>
              <w:rPr>
                <w:rFonts w:hint="eastAsia"/>
              </w:rPr>
              <w:t>废矿物油</w:t>
            </w:r>
            <w:r>
              <w:t>产生量</w:t>
            </w:r>
            <w:r>
              <w:rPr>
                <w:rFonts w:hint="eastAsia"/>
              </w:rPr>
              <w:t>均</w:t>
            </w:r>
            <w:r>
              <w:t>约</w:t>
            </w:r>
            <w:r>
              <w:rPr>
                <w:rFonts w:hint="eastAsia"/>
              </w:rPr>
              <w:t>为</w:t>
            </w:r>
            <w:r>
              <w:t>0.</w:t>
            </w:r>
            <w:r>
              <w:rPr>
                <w:rFonts w:hint="eastAsia"/>
              </w:rPr>
              <w:t>05</w:t>
            </w:r>
            <w:r>
              <w:t>t/a</w:t>
            </w:r>
            <w:r>
              <w:rPr>
                <w:rFonts w:hint="eastAsia"/>
              </w:rPr>
              <w:t>，废油桶</w:t>
            </w:r>
            <w:r>
              <w:t>产生量</w:t>
            </w:r>
            <w:r>
              <w:rPr>
                <w:rFonts w:hint="eastAsia"/>
              </w:rPr>
              <w:t>均</w:t>
            </w:r>
            <w:r>
              <w:t>约</w:t>
            </w:r>
            <w:r>
              <w:rPr>
                <w:rFonts w:hint="eastAsia"/>
              </w:rPr>
              <w:t>为</w:t>
            </w:r>
            <w:r>
              <w:t>0.</w:t>
            </w:r>
            <w:r>
              <w:rPr>
                <w:rFonts w:hint="eastAsia"/>
              </w:rPr>
              <w:t>03</w:t>
            </w:r>
            <w:r>
              <w:t>t/a。</w:t>
            </w:r>
          </w:p>
          <w:p w14:paraId="4216A796">
            <w:pPr>
              <w:tabs>
                <w:tab w:val="left" w:pos="2160"/>
              </w:tabs>
              <w:adjustRightInd w:val="0"/>
              <w:snapToGrid w:val="0"/>
              <w:ind w:firstLine="480"/>
            </w:pPr>
            <w:r>
              <w:t>根据《国家危险废物名录》</w:t>
            </w:r>
            <w:r>
              <w:rPr>
                <w:rFonts w:hint="eastAsia"/>
              </w:rPr>
              <w:t>（</w:t>
            </w:r>
            <w:r>
              <w:t>202</w:t>
            </w:r>
            <w:r>
              <w:rPr>
                <w:rFonts w:hint="eastAsia"/>
              </w:rPr>
              <w:t>5</w:t>
            </w:r>
            <w:r>
              <w:t>年版</w:t>
            </w:r>
            <w:r>
              <w:rPr>
                <w:rFonts w:hint="eastAsia"/>
              </w:rPr>
              <w:t>）</w:t>
            </w:r>
            <w:r>
              <w:t>，废</w:t>
            </w:r>
            <w:r>
              <w:rPr>
                <w:rFonts w:hint="eastAsia"/>
              </w:rPr>
              <w:t>矿物油和废油桶属于</w:t>
            </w:r>
            <w:r>
              <w:t>HW08</w:t>
            </w:r>
            <w:r>
              <w:rPr>
                <w:rFonts w:hint="eastAsia"/>
              </w:rPr>
              <w:t>：</w:t>
            </w:r>
            <w:r>
              <w:rPr>
                <w:rFonts w:hint="eastAsia" w:ascii="宋体" w:hAnsi="宋体" w:cs="宋体"/>
                <w:color w:val="000000"/>
                <w:kern w:val="0"/>
                <w:szCs w:val="21"/>
              </w:rPr>
              <w:t>废矿物</w:t>
            </w:r>
            <w:r>
              <w:rPr>
                <w:rFonts w:hint="eastAsia" w:ascii="宋体" w:hAnsi="宋体" w:cs="宋体"/>
                <w:color w:val="000000"/>
                <w:spacing w:val="-6"/>
                <w:kern w:val="0"/>
                <w:szCs w:val="21"/>
              </w:rPr>
              <w:t>油与含矿物油废物，废矿物油</w:t>
            </w:r>
            <w:r>
              <w:t>危废</w:t>
            </w:r>
            <w:r>
              <w:rPr>
                <w:rFonts w:hint="eastAsia"/>
              </w:rPr>
              <w:t>代码为900-214-08</w:t>
            </w:r>
            <w:r>
              <w:rPr>
                <w:rFonts w:hint="eastAsia" w:ascii="宋体" w:hAnsi="宋体" w:cs="宋体"/>
                <w:color w:val="000000"/>
                <w:kern w:val="0"/>
                <w:szCs w:val="21"/>
              </w:rPr>
              <w:t>车辆、轮船及其它机械维修过程中产生的废发动机油、制动器油、自动变速器油、齿轮油等废润滑油</w:t>
            </w:r>
            <w:r>
              <w:rPr>
                <w:rFonts w:hint="eastAsia"/>
              </w:rPr>
              <w:t>，废油桶</w:t>
            </w:r>
            <w:r>
              <w:t>危废</w:t>
            </w:r>
            <w:r>
              <w:rPr>
                <w:rFonts w:hint="eastAsia"/>
              </w:rPr>
              <w:t>代码</w:t>
            </w:r>
            <w:r>
              <w:t>：900-249-08</w:t>
            </w:r>
            <w:r>
              <w:rPr>
                <w:rFonts w:hint="eastAsia"/>
              </w:rPr>
              <w:t>。废矿物油采用封闭式铁桶收集后暂存于危废暂存间，</w:t>
            </w:r>
            <w:r>
              <w:t>委托有资质的单位</w:t>
            </w:r>
            <w:r>
              <w:rPr>
                <w:rFonts w:hint="eastAsia"/>
              </w:rPr>
              <w:t>清运</w:t>
            </w:r>
            <w:r>
              <w:t>处置</w:t>
            </w:r>
            <w:r>
              <w:rPr>
                <w:rFonts w:hint="eastAsia"/>
              </w:rPr>
              <w:t>；废油桶经集中收集暂存于危废暂存间，</w:t>
            </w:r>
            <w:r>
              <w:t>委托有资质的单位</w:t>
            </w:r>
            <w:r>
              <w:rPr>
                <w:rFonts w:hint="eastAsia"/>
              </w:rPr>
              <w:t>清运</w:t>
            </w:r>
            <w:r>
              <w:t>处置。</w:t>
            </w:r>
          </w:p>
          <w:p w14:paraId="67579980">
            <w:pPr>
              <w:tabs>
                <w:tab w:val="left" w:pos="2160"/>
              </w:tabs>
              <w:adjustRightInd w:val="0"/>
              <w:snapToGrid w:val="0"/>
              <w:ind w:firstLine="480"/>
            </w:pPr>
            <w:r>
              <w:rPr>
                <w:rFonts w:hint="eastAsia"/>
              </w:rPr>
              <w:t>⑤含油抹布、手套</w:t>
            </w:r>
          </w:p>
          <w:p w14:paraId="1B26E882">
            <w:pPr>
              <w:tabs>
                <w:tab w:val="left" w:pos="2160"/>
              </w:tabs>
              <w:adjustRightInd w:val="0"/>
              <w:snapToGrid w:val="0"/>
              <w:ind w:firstLine="480"/>
            </w:pPr>
            <w:r>
              <w:rPr>
                <w:rFonts w:hint="eastAsia"/>
              </w:rPr>
              <w:t>项目运营期</w:t>
            </w:r>
            <w:r>
              <w:t>设备检修过程中会产生一定量的含油</w:t>
            </w:r>
            <w:r>
              <w:rPr>
                <w:rFonts w:hint="eastAsia"/>
              </w:rPr>
              <w:t>抹布</w:t>
            </w:r>
            <w:r>
              <w:t>、手套</w:t>
            </w:r>
            <w:r>
              <w:rPr>
                <w:rFonts w:hint="eastAsia"/>
              </w:rPr>
              <w:t>，产生量为0.01t/a。</w:t>
            </w:r>
          </w:p>
          <w:p w14:paraId="24888EC9">
            <w:pPr>
              <w:tabs>
                <w:tab w:val="left" w:pos="2160"/>
              </w:tabs>
              <w:adjustRightInd w:val="0"/>
              <w:snapToGrid w:val="0"/>
              <w:ind w:firstLine="480"/>
              <w:rPr>
                <w:rFonts w:hAnsi="宋体" w:cs="宋体"/>
              </w:rPr>
            </w:pPr>
            <w:r>
              <w:t>根据《国家危险废物名录（202</w:t>
            </w:r>
            <w:r>
              <w:rPr>
                <w:rFonts w:hint="eastAsia"/>
              </w:rPr>
              <w:t>5</w:t>
            </w:r>
            <w:r>
              <w:t>年版）》，废含油</w:t>
            </w:r>
            <w:r>
              <w:rPr>
                <w:rFonts w:hint="eastAsia"/>
              </w:rPr>
              <w:t>抹布</w:t>
            </w:r>
            <w:r>
              <w:t>、手套属于HW49其他废物</w:t>
            </w:r>
            <w:r>
              <w:rPr>
                <w:rFonts w:hint="eastAsia"/>
              </w:rPr>
              <w:t>，</w:t>
            </w:r>
            <w:r>
              <w:t>危废代码：900-041-49。根据《国家危险废物名录（202</w:t>
            </w:r>
            <w:r>
              <w:rPr>
                <w:rFonts w:hint="eastAsia"/>
              </w:rPr>
              <w:t>5</w:t>
            </w:r>
            <w:r>
              <w:t>年版》）</w:t>
            </w:r>
            <w:r>
              <w:rPr>
                <w:rFonts w:hint="eastAsia"/>
              </w:rPr>
              <w:t>中“豁免内容：</w:t>
            </w:r>
            <w:r>
              <w:rPr>
                <w:rFonts w:ascii="宋体" w:hAnsi="宋体" w:cs="宋体"/>
              </w:rPr>
              <w:t>全过程不按危险废物管理</w:t>
            </w:r>
            <w:r>
              <w:rPr>
                <w:rFonts w:hint="eastAsia" w:ascii="宋体" w:hAnsi="宋体" w:cs="宋体"/>
              </w:rPr>
              <w:t>；</w:t>
            </w:r>
            <w:r>
              <w:rPr>
                <w:rFonts w:hint="eastAsia"/>
              </w:rPr>
              <w:t>豁免条件为未分类收集”</w:t>
            </w:r>
            <w:r>
              <w:rPr>
                <w:rFonts w:ascii="宋体" w:hAnsi="宋体" w:cs="宋体"/>
              </w:rPr>
              <w:t>。</w:t>
            </w:r>
            <w:r>
              <w:rPr>
                <w:rFonts w:hint="eastAsia" w:hAnsi="宋体" w:cs="宋体"/>
              </w:rPr>
              <w:t>项目产生的</w:t>
            </w:r>
            <w:r>
              <w:t>含</w:t>
            </w:r>
            <w:r>
              <w:rPr>
                <w:rFonts w:hint="eastAsia"/>
              </w:rPr>
              <w:t>油抹布、手套</w:t>
            </w:r>
            <w:r>
              <w:rPr>
                <w:rFonts w:hint="eastAsia" w:hAnsi="宋体" w:cs="宋体"/>
              </w:rPr>
              <w:t>经统一收集后采用封闭式铁桶装储暂存于危废暂存间，委托有资质的单位清运处置。</w:t>
            </w:r>
          </w:p>
          <w:p w14:paraId="632506DA">
            <w:pPr>
              <w:tabs>
                <w:tab w:val="left" w:pos="2160"/>
              </w:tabs>
              <w:adjustRightInd w:val="0"/>
              <w:snapToGrid w:val="0"/>
              <w:ind w:firstLine="480"/>
            </w:pPr>
            <w:r>
              <w:rPr>
                <w:rFonts w:hint="eastAsia"/>
              </w:rPr>
              <w:t>⑥储油罐油泥</w:t>
            </w:r>
          </w:p>
          <w:p w14:paraId="105B2C03">
            <w:pPr>
              <w:tabs>
                <w:tab w:val="left" w:pos="2160"/>
              </w:tabs>
              <w:adjustRightInd w:val="0"/>
              <w:snapToGrid w:val="0"/>
              <w:ind w:firstLine="480"/>
            </w:pPr>
            <w:r>
              <w:rPr>
                <w:rFonts w:hint="eastAsia"/>
              </w:rPr>
              <w:t>本项目拟建1个柴油储罐，柴油储油过程会产生油泥，每年需对储油罐清理一次，每次储油罐油泥清理量约为0.05t/a。</w:t>
            </w:r>
          </w:p>
          <w:p w14:paraId="744AA49B">
            <w:pPr>
              <w:tabs>
                <w:tab w:val="left" w:pos="2160"/>
              </w:tabs>
              <w:adjustRightInd w:val="0"/>
              <w:snapToGrid w:val="0"/>
              <w:ind w:firstLine="480"/>
            </w:pPr>
            <w:r>
              <w:rPr>
                <w:rFonts w:hint="eastAsia"/>
              </w:rPr>
              <w:t>根据《国家危险废物名录》（2025年版），储油罐油泥属于危险废物，废物类别HW08：废矿物油与含矿物油废物类危险废物，危废代码为900-221-08：</w:t>
            </w:r>
            <w:r>
              <w:rPr>
                <w:rFonts w:hint="eastAsia" w:ascii="宋体" w:hAnsi="宋体" w:cs="宋体"/>
                <w:color w:val="000000"/>
                <w:kern w:val="0"/>
                <w:szCs w:val="21"/>
              </w:rPr>
              <w:t>废燃料油及燃料油储存过程中产生的油泥，</w:t>
            </w:r>
            <w:r>
              <w:rPr>
                <w:rFonts w:hint="eastAsia"/>
              </w:rPr>
              <w:t>油泥使用闭口容器收集后暂存于危废暂存间，委托资质单位定期清运处置。</w:t>
            </w:r>
          </w:p>
          <w:p w14:paraId="72D27F35">
            <w:pPr>
              <w:ind w:firstLine="480"/>
            </w:pPr>
            <w:r>
              <w:rPr>
                <w:rFonts w:hint="eastAsia"/>
              </w:rPr>
              <w:t>项目危险废物的产生和处置情况见表4-7。</w:t>
            </w:r>
          </w:p>
          <w:p w14:paraId="3A19B59F">
            <w:pPr>
              <w:ind w:firstLine="422"/>
              <w:jc w:val="center"/>
              <w:rPr>
                <w:b/>
                <w:bCs/>
                <w:sz w:val="21"/>
                <w:szCs w:val="21"/>
              </w:rPr>
            </w:pPr>
            <w:r>
              <w:rPr>
                <w:rFonts w:hint="eastAsia"/>
                <w:b/>
                <w:bCs/>
                <w:sz w:val="21"/>
                <w:szCs w:val="21"/>
              </w:rPr>
              <w:t>表4-7  危险废物产生和处置情况一览表</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5"/>
              <w:gridCol w:w="874"/>
              <w:gridCol w:w="915"/>
              <w:gridCol w:w="667"/>
              <w:gridCol w:w="1155"/>
              <w:gridCol w:w="1249"/>
              <w:gridCol w:w="1818"/>
              <w:gridCol w:w="669"/>
            </w:tblGrid>
            <w:tr w14:paraId="211F2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5" w:type="dxa"/>
                  <w:vAlign w:val="center"/>
                </w:tcPr>
                <w:p w14:paraId="658F17B9">
                  <w:pPr>
                    <w:pStyle w:val="12"/>
                    <w:keepLines/>
                    <w:adjustRightInd w:val="0"/>
                    <w:snapToGrid w:val="0"/>
                    <w:spacing w:line="240" w:lineRule="auto"/>
                    <w:ind w:firstLine="0" w:firstLineChars="0"/>
                    <w:jc w:val="center"/>
                    <w:rPr>
                      <w:rFonts w:ascii="Times New Roman" w:hAnsi="Times New Roman"/>
                      <w:b/>
                      <w:bCs/>
                      <w:kern w:val="0"/>
                      <w:sz w:val="21"/>
                    </w:rPr>
                  </w:pPr>
                  <w:r>
                    <w:rPr>
                      <w:rFonts w:hint="eastAsia" w:ascii="Times New Roman" w:hAnsi="Times New Roman"/>
                      <w:b/>
                      <w:bCs/>
                      <w:kern w:val="0"/>
                      <w:sz w:val="21"/>
                    </w:rPr>
                    <w:t>危险废物名称</w:t>
                  </w:r>
                </w:p>
              </w:tc>
              <w:tc>
                <w:tcPr>
                  <w:tcW w:w="874" w:type="dxa"/>
                  <w:shd w:val="clear" w:color="auto" w:fill="auto"/>
                  <w:vAlign w:val="center"/>
                </w:tcPr>
                <w:p w14:paraId="0826A22E">
                  <w:pPr>
                    <w:pStyle w:val="12"/>
                    <w:keepLines/>
                    <w:adjustRightInd w:val="0"/>
                    <w:snapToGrid w:val="0"/>
                    <w:spacing w:line="240" w:lineRule="auto"/>
                    <w:ind w:firstLine="0" w:firstLineChars="0"/>
                    <w:jc w:val="center"/>
                    <w:rPr>
                      <w:rFonts w:ascii="Times New Roman" w:hAnsi="Times New Roman"/>
                      <w:b/>
                      <w:bCs/>
                      <w:kern w:val="0"/>
                      <w:sz w:val="21"/>
                    </w:rPr>
                  </w:pPr>
                  <w:r>
                    <w:rPr>
                      <w:rFonts w:hint="eastAsia" w:ascii="Times New Roman" w:hAnsi="Times New Roman"/>
                      <w:b/>
                      <w:bCs/>
                      <w:kern w:val="0"/>
                      <w:sz w:val="21"/>
                    </w:rPr>
                    <w:t>产生工序</w:t>
                  </w:r>
                </w:p>
              </w:tc>
              <w:tc>
                <w:tcPr>
                  <w:tcW w:w="915" w:type="dxa"/>
                  <w:shd w:val="clear" w:color="auto" w:fill="auto"/>
                  <w:vAlign w:val="center"/>
                </w:tcPr>
                <w:p w14:paraId="70B8E703">
                  <w:pPr>
                    <w:pStyle w:val="12"/>
                    <w:keepLines/>
                    <w:adjustRightInd w:val="0"/>
                    <w:snapToGrid w:val="0"/>
                    <w:spacing w:line="240" w:lineRule="auto"/>
                    <w:ind w:firstLine="0" w:firstLineChars="0"/>
                    <w:jc w:val="center"/>
                    <w:rPr>
                      <w:rFonts w:ascii="Times New Roman" w:hAnsi="Times New Roman"/>
                      <w:b/>
                      <w:bCs/>
                      <w:kern w:val="0"/>
                      <w:sz w:val="21"/>
                    </w:rPr>
                  </w:pPr>
                  <w:r>
                    <w:rPr>
                      <w:rFonts w:hint="eastAsia" w:ascii="Times New Roman" w:hAnsi="Times New Roman"/>
                      <w:b/>
                      <w:bCs/>
                      <w:color w:val="000000" w:themeColor="text1"/>
                      <w:kern w:val="0"/>
                      <w:sz w:val="21"/>
                      <w14:textFill>
                        <w14:solidFill>
                          <w14:schemeClr w14:val="tx1"/>
                        </w14:solidFill>
                      </w14:textFill>
                    </w:rPr>
                    <w:t>产生量（t/a</w:t>
                  </w:r>
                  <w:r>
                    <w:rPr>
                      <w:rFonts w:hint="eastAsia" w:ascii="Times New Roman" w:hAnsi="Times New Roman"/>
                      <w:b/>
                      <w:bCs/>
                      <w:kern w:val="0"/>
                      <w:sz w:val="21"/>
                    </w:rPr>
                    <w:t>）</w:t>
                  </w:r>
                </w:p>
              </w:tc>
              <w:tc>
                <w:tcPr>
                  <w:tcW w:w="667" w:type="dxa"/>
                  <w:shd w:val="clear" w:color="auto" w:fill="auto"/>
                  <w:vAlign w:val="center"/>
                </w:tcPr>
                <w:p w14:paraId="01F5C43E">
                  <w:pPr>
                    <w:pStyle w:val="12"/>
                    <w:keepLines/>
                    <w:adjustRightInd w:val="0"/>
                    <w:snapToGrid w:val="0"/>
                    <w:spacing w:line="240" w:lineRule="auto"/>
                    <w:ind w:firstLine="0" w:firstLineChars="0"/>
                    <w:jc w:val="center"/>
                    <w:rPr>
                      <w:rFonts w:ascii="Times New Roman" w:hAnsi="Times New Roman"/>
                      <w:b/>
                      <w:bCs/>
                      <w:kern w:val="0"/>
                      <w:sz w:val="21"/>
                    </w:rPr>
                  </w:pPr>
                  <w:r>
                    <w:rPr>
                      <w:rFonts w:hint="eastAsia" w:ascii="Times New Roman" w:hAnsi="Times New Roman"/>
                      <w:b/>
                      <w:bCs/>
                      <w:kern w:val="0"/>
                      <w:sz w:val="21"/>
                    </w:rPr>
                    <w:t>形态</w:t>
                  </w:r>
                </w:p>
              </w:tc>
              <w:tc>
                <w:tcPr>
                  <w:tcW w:w="1155" w:type="dxa"/>
                  <w:vAlign w:val="center"/>
                </w:tcPr>
                <w:p w14:paraId="3E9F1E46">
                  <w:pPr>
                    <w:pStyle w:val="12"/>
                    <w:keepLines/>
                    <w:adjustRightInd w:val="0"/>
                    <w:snapToGrid w:val="0"/>
                    <w:spacing w:line="240" w:lineRule="auto"/>
                    <w:ind w:firstLine="0" w:firstLineChars="0"/>
                    <w:jc w:val="center"/>
                    <w:rPr>
                      <w:rFonts w:ascii="Times New Roman" w:hAnsi="Times New Roman"/>
                      <w:b/>
                      <w:bCs/>
                      <w:kern w:val="0"/>
                      <w:sz w:val="21"/>
                    </w:rPr>
                  </w:pPr>
                  <w:r>
                    <w:rPr>
                      <w:rFonts w:hint="eastAsia" w:ascii="Times New Roman" w:hAnsi="Times New Roman"/>
                      <w:b/>
                      <w:bCs/>
                      <w:kern w:val="0"/>
                      <w:sz w:val="21"/>
                    </w:rPr>
                    <w:t>危险废物类别</w:t>
                  </w:r>
                </w:p>
              </w:tc>
              <w:tc>
                <w:tcPr>
                  <w:tcW w:w="1249" w:type="dxa"/>
                  <w:vAlign w:val="center"/>
                </w:tcPr>
                <w:p w14:paraId="3685AB57">
                  <w:pPr>
                    <w:pStyle w:val="12"/>
                    <w:keepLines/>
                    <w:adjustRightInd w:val="0"/>
                    <w:snapToGrid w:val="0"/>
                    <w:spacing w:line="240" w:lineRule="auto"/>
                    <w:ind w:firstLine="0" w:firstLineChars="0"/>
                    <w:jc w:val="center"/>
                    <w:rPr>
                      <w:rFonts w:ascii="Times New Roman" w:hAnsi="Times New Roman"/>
                      <w:b/>
                      <w:bCs/>
                      <w:kern w:val="0"/>
                      <w:sz w:val="21"/>
                    </w:rPr>
                  </w:pPr>
                  <w:r>
                    <w:rPr>
                      <w:rFonts w:hint="eastAsia" w:ascii="Times New Roman" w:hAnsi="Times New Roman"/>
                      <w:b/>
                      <w:bCs/>
                      <w:kern w:val="0"/>
                      <w:sz w:val="21"/>
                    </w:rPr>
                    <w:t>危险废物代码</w:t>
                  </w:r>
                </w:p>
              </w:tc>
              <w:tc>
                <w:tcPr>
                  <w:tcW w:w="1818" w:type="dxa"/>
                  <w:shd w:val="clear" w:color="auto" w:fill="auto"/>
                  <w:vAlign w:val="center"/>
                </w:tcPr>
                <w:p w14:paraId="3F3D4F18">
                  <w:pPr>
                    <w:pStyle w:val="12"/>
                    <w:keepLines/>
                    <w:adjustRightInd w:val="0"/>
                    <w:snapToGrid w:val="0"/>
                    <w:spacing w:line="240" w:lineRule="auto"/>
                    <w:ind w:firstLine="0" w:firstLineChars="0"/>
                    <w:jc w:val="center"/>
                    <w:rPr>
                      <w:rFonts w:ascii="Times New Roman" w:hAnsi="Times New Roman"/>
                      <w:b/>
                      <w:bCs/>
                      <w:kern w:val="0"/>
                      <w:sz w:val="21"/>
                    </w:rPr>
                  </w:pPr>
                  <w:r>
                    <w:rPr>
                      <w:rFonts w:hint="eastAsia" w:ascii="Times New Roman" w:hAnsi="Times New Roman"/>
                      <w:b/>
                      <w:bCs/>
                      <w:kern w:val="0"/>
                      <w:sz w:val="21"/>
                    </w:rPr>
                    <w:t>污染防治措施</w:t>
                  </w:r>
                </w:p>
              </w:tc>
              <w:tc>
                <w:tcPr>
                  <w:tcW w:w="669" w:type="dxa"/>
                  <w:vAlign w:val="center"/>
                </w:tcPr>
                <w:p w14:paraId="753A7A6C">
                  <w:pPr>
                    <w:pStyle w:val="12"/>
                    <w:keepLines/>
                    <w:adjustRightInd w:val="0"/>
                    <w:snapToGrid w:val="0"/>
                    <w:spacing w:line="240" w:lineRule="auto"/>
                    <w:ind w:firstLine="0" w:firstLineChars="0"/>
                    <w:jc w:val="center"/>
                    <w:rPr>
                      <w:rFonts w:ascii="Times New Roman" w:hAnsi="Times New Roman"/>
                      <w:b/>
                      <w:bCs/>
                      <w:kern w:val="0"/>
                      <w:sz w:val="21"/>
                    </w:rPr>
                  </w:pPr>
                  <w:r>
                    <w:rPr>
                      <w:rFonts w:hint="eastAsia" w:ascii="Times New Roman" w:hAnsi="Times New Roman"/>
                      <w:b/>
                      <w:bCs/>
                      <w:kern w:val="0"/>
                      <w:sz w:val="21"/>
                    </w:rPr>
                    <w:t>危险特性</w:t>
                  </w:r>
                </w:p>
              </w:tc>
            </w:tr>
            <w:tr w14:paraId="71EA7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5" w:type="dxa"/>
                  <w:shd w:val="clear" w:color="auto" w:fill="auto"/>
                  <w:vAlign w:val="center"/>
                </w:tcPr>
                <w:p w14:paraId="28BB6807">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废焦油</w:t>
                  </w:r>
                </w:p>
              </w:tc>
              <w:tc>
                <w:tcPr>
                  <w:tcW w:w="874" w:type="dxa"/>
                  <w:shd w:val="clear" w:color="auto" w:fill="auto"/>
                  <w:vAlign w:val="center"/>
                </w:tcPr>
                <w:p w14:paraId="0488FC0E">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废气处理</w:t>
                  </w:r>
                </w:p>
              </w:tc>
              <w:tc>
                <w:tcPr>
                  <w:tcW w:w="915" w:type="dxa"/>
                  <w:shd w:val="clear" w:color="auto" w:fill="auto"/>
                  <w:vAlign w:val="center"/>
                </w:tcPr>
                <w:p w14:paraId="700CA148">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0.2759</w:t>
                  </w:r>
                </w:p>
              </w:tc>
              <w:tc>
                <w:tcPr>
                  <w:tcW w:w="667" w:type="dxa"/>
                  <w:shd w:val="clear" w:color="auto" w:fill="auto"/>
                  <w:vAlign w:val="center"/>
                </w:tcPr>
                <w:p w14:paraId="1B66A298">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液态</w:t>
                  </w:r>
                </w:p>
              </w:tc>
              <w:tc>
                <w:tcPr>
                  <w:tcW w:w="1155" w:type="dxa"/>
                  <w:shd w:val="clear" w:color="auto" w:fill="auto"/>
                  <w:vAlign w:val="center"/>
                </w:tcPr>
                <w:p w14:paraId="43F9A6DD">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HW11精（蒸）馏残渣</w:t>
                  </w:r>
                </w:p>
              </w:tc>
              <w:tc>
                <w:tcPr>
                  <w:tcW w:w="1249" w:type="dxa"/>
                  <w:shd w:val="clear" w:color="auto" w:fill="auto"/>
                  <w:vAlign w:val="center"/>
                </w:tcPr>
                <w:p w14:paraId="085DB487">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309-001-11</w:t>
                  </w:r>
                </w:p>
              </w:tc>
              <w:tc>
                <w:tcPr>
                  <w:tcW w:w="1818" w:type="dxa"/>
                  <w:shd w:val="clear" w:color="auto" w:fill="auto"/>
                  <w:vAlign w:val="center"/>
                </w:tcPr>
                <w:p w14:paraId="22110359">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定期使用闭口容器收集、分区暂存于危废间，交由有资质单位处置</w:t>
                  </w:r>
                </w:p>
              </w:tc>
              <w:tc>
                <w:tcPr>
                  <w:tcW w:w="669" w:type="dxa"/>
                  <w:shd w:val="clear" w:color="auto" w:fill="auto"/>
                  <w:vAlign w:val="center"/>
                </w:tcPr>
                <w:p w14:paraId="0BA903AB">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T</w:t>
                  </w:r>
                </w:p>
              </w:tc>
            </w:tr>
            <w:tr w14:paraId="35EC9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5" w:type="dxa"/>
                  <w:shd w:val="clear" w:color="auto" w:fill="auto"/>
                  <w:vAlign w:val="center"/>
                </w:tcPr>
                <w:p w14:paraId="14B3C726">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废活性炭</w:t>
                  </w:r>
                </w:p>
              </w:tc>
              <w:tc>
                <w:tcPr>
                  <w:tcW w:w="874" w:type="dxa"/>
                  <w:shd w:val="clear" w:color="auto" w:fill="auto"/>
                  <w:vAlign w:val="center"/>
                </w:tcPr>
                <w:p w14:paraId="654D4519">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废气处理</w:t>
                  </w:r>
                </w:p>
              </w:tc>
              <w:tc>
                <w:tcPr>
                  <w:tcW w:w="915" w:type="dxa"/>
                  <w:shd w:val="clear" w:color="auto" w:fill="auto"/>
                  <w:vAlign w:val="center"/>
                </w:tcPr>
                <w:p w14:paraId="731435DC">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0.4223</w:t>
                  </w:r>
                </w:p>
              </w:tc>
              <w:tc>
                <w:tcPr>
                  <w:tcW w:w="667" w:type="dxa"/>
                  <w:shd w:val="clear" w:color="auto" w:fill="auto"/>
                  <w:vAlign w:val="center"/>
                </w:tcPr>
                <w:p w14:paraId="7D71055D">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固态</w:t>
                  </w:r>
                </w:p>
              </w:tc>
              <w:tc>
                <w:tcPr>
                  <w:tcW w:w="1155" w:type="dxa"/>
                  <w:shd w:val="clear" w:color="auto" w:fill="auto"/>
                  <w:vAlign w:val="center"/>
                </w:tcPr>
                <w:p w14:paraId="324E5534">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HW49其他废物</w:t>
                  </w:r>
                </w:p>
              </w:tc>
              <w:tc>
                <w:tcPr>
                  <w:tcW w:w="1249" w:type="dxa"/>
                  <w:shd w:val="clear" w:color="auto" w:fill="auto"/>
                  <w:vAlign w:val="center"/>
                </w:tcPr>
                <w:p w14:paraId="2E2CE8E1">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900-039-49</w:t>
                  </w:r>
                </w:p>
              </w:tc>
              <w:tc>
                <w:tcPr>
                  <w:tcW w:w="1818" w:type="dxa"/>
                  <w:shd w:val="clear" w:color="auto" w:fill="auto"/>
                  <w:vAlign w:val="center"/>
                </w:tcPr>
                <w:p w14:paraId="250BC628">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使用闭口容器收集、分区暂存于危废间，交由有资质单位处置</w:t>
                  </w:r>
                </w:p>
              </w:tc>
              <w:tc>
                <w:tcPr>
                  <w:tcW w:w="669" w:type="dxa"/>
                  <w:shd w:val="clear" w:color="auto" w:fill="auto"/>
                  <w:vAlign w:val="center"/>
                </w:tcPr>
                <w:p w14:paraId="625212B1">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T</w:t>
                  </w:r>
                </w:p>
              </w:tc>
            </w:tr>
            <w:tr w14:paraId="55A48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6" w:hRule="atLeast"/>
                <w:jc w:val="center"/>
              </w:trPr>
              <w:tc>
                <w:tcPr>
                  <w:tcW w:w="1065" w:type="dxa"/>
                  <w:vAlign w:val="center"/>
                </w:tcPr>
                <w:p w14:paraId="563A35B3">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废导热油</w:t>
                  </w:r>
                </w:p>
              </w:tc>
              <w:tc>
                <w:tcPr>
                  <w:tcW w:w="874" w:type="dxa"/>
                  <w:shd w:val="clear" w:color="auto" w:fill="auto"/>
                  <w:vAlign w:val="center"/>
                </w:tcPr>
                <w:p w14:paraId="59EB1D1A">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更换导热油</w:t>
                  </w:r>
                </w:p>
              </w:tc>
              <w:tc>
                <w:tcPr>
                  <w:tcW w:w="915" w:type="dxa"/>
                  <w:shd w:val="clear" w:color="auto" w:fill="auto"/>
                  <w:vAlign w:val="center"/>
                </w:tcPr>
                <w:p w14:paraId="6D4C9961">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1.0</w:t>
                  </w:r>
                </w:p>
              </w:tc>
              <w:tc>
                <w:tcPr>
                  <w:tcW w:w="667" w:type="dxa"/>
                  <w:shd w:val="clear" w:color="auto" w:fill="auto"/>
                  <w:vAlign w:val="center"/>
                </w:tcPr>
                <w:p w14:paraId="547B7862">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液态</w:t>
                  </w:r>
                </w:p>
              </w:tc>
              <w:tc>
                <w:tcPr>
                  <w:tcW w:w="1155" w:type="dxa"/>
                  <w:vMerge w:val="restart"/>
                  <w:vAlign w:val="center"/>
                </w:tcPr>
                <w:p w14:paraId="146D244B">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HW08废矿物油与含矿物油废物</w:t>
                  </w:r>
                </w:p>
              </w:tc>
              <w:tc>
                <w:tcPr>
                  <w:tcW w:w="1249" w:type="dxa"/>
                  <w:vAlign w:val="center"/>
                </w:tcPr>
                <w:p w14:paraId="49C46679">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900-249-08</w:t>
                  </w:r>
                </w:p>
              </w:tc>
              <w:tc>
                <w:tcPr>
                  <w:tcW w:w="1818" w:type="dxa"/>
                  <w:shd w:val="clear" w:color="auto" w:fill="auto"/>
                  <w:vAlign w:val="center"/>
                </w:tcPr>
                <w:p w14:paraId="543CC74D">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更换后由有资质的更换单位带走处理，不在项目内暂存</w:t>
                  </w:r>
                </w:p>
              </w:tc>
              <w:tc>
                <w:tcPr>
                  <w:tcW w:w="669" w:type="dxa"/>
                  <w:vAlign w:val="center"/>
                </w:tcPr>
                <w:p w14:paraId="0B82BDE5">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T，I</w:t>
                  </w:r>
                </w:p>
              </w:tc>
            </w:tr>
            <w:tr w14:paraId="4528D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5" w:type="dxa"/>
                  <w:vAlign w:val="center"/>
                </w:tcPr>
                <w:p w14:paraId="6C9E3E92">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废矿物油</w:t>
                  </w:r>
                </w:p>
              </w:tc>
              <w:tc>
                <w:tcPr>
                  <w:tcW w:w="874" w:type="dxa"/>
                  <w:vMerge w:val="restart"/>
                  <w:shd w:val="clear" w:color="auto" w:fill="auto"/>
                  <w:vAlign w:val="center"/>
                </w:tcPr>
                <w:p w14:paraId="17609176">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机修保养</w:t>
                  </w:r>
                </w:p>
              </w:tc>
              <w:tc>
                <w:tcPr>
                  <w:tcW w:w="915" w:type="dxa"/>
                  <w:shd w:val="clear" w:color="auto" w:fill="auto"/>
                  <w:vAlign w:val="center"/>
                </w:tcPr>
                <w:p w14:paraId="2E97A43C">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0.05</w:t>
                  </w:r>
                </w:p>
              </w:tc>
              <w:tc>
                <w:tcPr>
                  <w:tcW w:w="667" w:type="dxa"/>
                  <w:shd w:val="clear" w:color="auto" w:fill="auto"/>
                  <w:vAlign w:val="center"/>
                </w:tcPr>
                <w:p w14:paraId="10C5B5AB">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液态</w:t>
                  </w:r>
                </w:p>
              </w:tc>
              <w:tc>
                <w:tcPr>
                  <w:tcW w:w="1155" w:type="dxa"/>
                  <w:vMerge w:val="continue"/>
                  <w:vAlign w:val="center"/>
                </w:tcPr>
                <w:p w14:paraId="3738CFE8">
                  <w:pPr>
                    <w:pStyle w:val="12"/>
                    <w:keepLines/>
                    <w:adjustRightInd w:val="0"/>
                    <w:snapToGrid w:val="0"/>
                    <w:spacing w:line="240" w:lineRule="auto"/>
                    <w:ind w:firstLine="0" w:firstLineChars="0"/>
                    <w:jc w:val="center"/>
                    <w:rPr>
                      <w:rFonts w:ascii="Times New Roman" w:hAnsi="Times New Roman"/>
                      <w:kern w:val="0"/>
                      <w:sz w:val="21"/>
                    </w:rPr>
                  </w:pPr>
                </w:p>
              </w:tc>
              <w:tc>
                <w:tcPr>
                  <w:tcW w:w="1249" w:type="dxa"/>
                  <w:vAlign w:val="center"/>
                </w:tcPr>
                <w:p w14:paraId="6DE0483C">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900-214-08</w:t>
                  </w:r>
                </w:p>
              </w:tc>
              <w:tc>
                <w:tcPr>
                  <w:tcW w:w="1818" w:type="dxa"/>
                  <w:vMerge w:val="restart"/>
                  <w:shd w:val="clear" w:color="auto" w:fill="auto"/>
                  <w:vAlign w:val="center"/>
                </w:tcPr>
                <w:p w14:paraId="709E21DB">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分类收集、分区暂存于危险废物贮存设施后，定期委托资质单位清运处置</w:t>
                  </w:r>
                </w:p>
              </w:tc>
              <w:tc>
                <w:tcPr>
                  <w:tcW w:w="669" w:type="dxa"/>
                  <w:vAlign w:val="center"/>
                </w:tcPr>
                <w:p w14:paraId="79D2E23A">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T，I</w:t>
                  </w:r>
                </w:p>
              </w:tc>
            </w:tr>
            <w:tr w14:paraId="7F615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5" w:type="dxa"/>
                  <w:vAlign w:val="center"/>
                </w:tcPr>
                <w:p w14:paraId="4A9BE4F2">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废油桶</w:t>
                  </w:r>
                </w:p>
              </w:tc>
              <w:tc>
                <w:tcPr>
                  <w:tcW w:w="874" w:type="dxa"/>
                  <w:vMerge w:val="continue"/>
                  <w:shd w:val="clear" w:color="auto" w:fill="auto"/>
                  <w:vAlign w:val="center"/>
                </w:tcPr>
                <w:p w14:paraId="05F0BAD4">
                  <w:pPr>
                    <w:pStyle w:val="12"/>
                    <w:keepLines/>
                    <w:adjustRightInd w:val="0"/>
                    <w:snapToGrid w:val="0"/>
                    <w:spacing w:line="240" w:lineRule="auto"/>
                    <w:ind w:firstLine="0" w:firstLineChars="0"/>
                    <w:jc w:val="center"/>
                    <w:rPr>
                      <w:rFonts w:ascii="Times New Roman" w:hAnsi="Times New Roman"/>
                      <w:kern w:val="0"/>
                      <w:sz w:val="21"/>
                    </w:rPr>
                  </w:pPr>
                </w:p>
              </w:tc>
              <w:tc>
                <w:tcPr>
                  <w:tcW w:w="915" w:type="dxa"/>
                  <w:shd w:val="clear" w:color="auto" w:fill="auto"/>
                  <w:vAlign w:val="center"/>
                </w:tcPr>
                <w:p w14:paraId="71CF25A5">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0.03</w:t>
                  </w:r>
                </w:p>
              </w:tc>
              <w:tc>
                <w:tcPr>
                  <w:tcW w:w="667" w:type="dxa"/>
                  <w:shd w:val="clear" w:color="auto" w:fill="auto"/>
                  <w:vAlign w:val="center"/>
                </w:tcPr>
                <w:p w14:paraId="6B5D5384">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固态</w:t>
                  </w:r>
                </w:p>
              </w:tc>
              <w:tc>
                <w:tcPr>
                  <w:tcW w:w="1155" w:type="dxa"/>
                  <w:vMerge w:val="continue"/>
                  <w:vAlign w:val="center"/>
                </w:tcPr>
                <w:p w14:paraId="0A4434A9">
                  <w:pPr>
                    <w:pStyle w:val="12"/>
                    <w:keepLines/>
                    <w:adjustRightInd w:val="0"/>
                    <w:snapToGrid w:val="0"/>
                    <w:spacing w:line="240" w:lineRule="auto"/>
                    <w:ind w:firstLine="0" w:firstLineChars="0"/>
                    <w:jc w:val="center"/>
                    <w:rPr>
                      <w:rFonts w:ascii="Times New Roman" w:hAnsi="Times New Roman"/>
                      <w:kern w:val="0"/>
                      <w:sz w:val="21"/>
                    </w:rPr>
                  </w:pPr>
                </w:p>
              </w:tc>
              <w:tc>
                <w:tcPr>
                  <w:tcW w:w="1249" w:type="dxa"/>
                  <w:vAlign w:val="center"/>
                </w:tcPr>
                <w:p w14:paraId="2F90662B">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900-249-08</w:t>
                  </w:r>
                </w:p>
              </w:tc>
              <w:tc>
                <w:tcPr>
                  <w:tcW w:w="1818" w:type="dxa"/>
                  <w:vMerge w:val="continue"/>
                  <w:shd w:val="clear" w:color="auto" w:fill="auto"/>
                  <w:vAlign w:val="center"/>
                </w:tcPr>
                <w:p w14:paraId="1BCD6463">
                  <w:pPr>
                    <w:pStyle w:val="12"/>
                    <w:keepLines/>
                    <w:adjustRightInd w:val="0"/>
                    <w:snapToGrid w:val="0"/>
                    <w:spacing w:line="240" w:lineRule="auto"/>
                    <w:ind w:firstLine="0" w:firstLineChars="0"/>
                    <w:jc w:val="center"/>
                    <w:rPr>
                      <w:rFonts w:ascii="Times New Roman" w:hAnsi="Times New Roman"/>
                      <w:kern w:val="0"/>
                      <w:sz w:val="21"/>
                    </w:rPr>
                  </w:pPr>
                </w:p>
              </w:tc>
              <w:tc>
                <w:tcPr>
                  <w:tcW w:w="669" w:type="dxa"/>
                  <w:vAlign w:val="center"/>
                </w:tcPr>
                <w:p w14:paraId="11477B75">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T，I</w:t>
                  </w:r>
                </w:p>
              </w:tc>
            </w:tr>
            <w:tr w14:paraId="0FD2C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5" w:type="dxa"/>
                  <w:vAlign w:val="center"/>
                </w:tcPr>
                <w:p w14:paraId="2B2913D9">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废含油抹布、劳保用品</w:t>
                  </w:r>
                </w:p>
              </w:tc>
              <w:tc>
                <w:tcPr>
                  <w:tcW w:w="874" w:type="dxa"/>
                  <w:vMerge w:val="continue"/>
                  <w:shd w:val="clear" w:color="auto" w:fill="auto"/>
                  <w:vAlign w:val="center"/>
                </w:tcPr>
                <w:p w14:paraId="7FF3354C">
                  <w:pPr>
                    <w:pStyle w:val="12"/>
                    <w:keepLines/>
                    <w:adjustRightInd w:val="0"/>
                    <w:snapToGrid w:val="0"/>
                    <w:spacing w:line="240" w:lineRule="auto"/>
                    <w:ind w:firstLine="0" w:firstLineChars="0"/>
                    <w:jc w:val="center"/>
                    <w:rPr>
                      <w:rFonts w:ascii="Times New Roman" w:hAnsi="Times New Roman"/>
                      <w:kern w:val="0"/>
                      <w:sz w:val="21"/>
                    </w:rPr>
                  </w:pPr>
                </w:p>
              </w:tc>
              <w:tc>
                <w:tcPr>
                  <w:tcW w:w="915" w:type="dxa"/>
                  <w:shd w:val="clear" w:color="auto" w:fill="auto"/>
                  <w:vAlign w:val="center"/>
                </w:tcPr>
                <w:p w14:paraId="5513DBD1">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0.01</w:t>
                  </w:r>
                </w:p>
              </w:tc>
              <w:tc>
                <w:tcPr>
                  <w:tcW w:w="667" w:type="dxa"/>
                  <w:shd w:val="clear" w:color="auto" w:fill="auto"/>
                  <w:vAlign w:val="center"/>
                </w:tcPr>
                <w:p w14:paraId="1E97CD56">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固态</w:t>
                  </w:r>
                </w:p>
              </w:tc>
              <w:tc>
                <w:tcPr>
                  <w:tcW w:w="1155" w:type="dxa"/>
                  <w:vAlign w:val="center"/>
                </w:tcPr>
                <w:p w14:paraId="4A1E654C">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HW49其他废物</w:t>
                  </w:r>
                </w:p>
              </w:tc>
              <w:tc>
                <w:tcPr>
                  <w:tcW w:w="1249" w:type="dxa"/>
                  <w:vAlign w:val="center"/>
                </w:tcPr>
                <w:p w14:paraId="63865FF2">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900-041-49</w:t>
                  </w:r>
                </w:p>
              </w:tc>
              <w:tc>
                <w:tcPr>
                  <w:tcW w:w="1818" w:type="dxa"/>
                  <w:vMerge w:val="continue"/>
                  <w:vAlign w:val="center"/>
                </w:tcPr>
                <w:p w14:paraId="7EE510D4">
                  <w:pPr>
                    <w:pStyle w:val="12"/>
                    <w:keepLines/>
                    <w:adjustRightInd w:val="0"/>
                    <w:snapToGrid w:val="0"/>
                    <w:spacing w:line="240" w:lineRule="auto"/>
                    <w:ind w:firstLine="0" w:firstLineChars="0"/>
                    <w:jc w:val="center"/>
                    <w:rPr>
                      <w:rFonts w:ascii="Times New Roman" w:hAnsi="Times New Roman"/>
                      <w:kern w:val="0"/>
                      <w:sz w:val="21"/>
                    </w:rPr>
                  </w:pPr>
                </w:p>
              </w:tc>
              <w:tc>
                <w:tcPr>
                  <w:tcW w:w="669" w:type="dxa"/>
                  <w:vAlign w:val="center"/>
                </w:tcPr>
                <w:p w14:paraId="12DCFB40">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T/In</w:t>
                  </w:r>
                </w:p>
              </w:tc>
            </w:tr>
            <w:tr w14:paraId="22B7C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5" w:type="dxa"/>
                  <w:vAlign w:val="center"/>
                </w:tcPr>
                <w:p w14:paraId="7503D12D">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储油罐油泥</w:t>
                  </w:r>
                </w:p>
              </w:tc>
              <w:tc>
                <w:tcPr>
                  <w:tcW w:w="874" w:type="dxa"/>
                  <w:shd w:val="clear" w:color="auto" w:fill="auto"/>
                  <w:vAlign w:val="center"/>
                </w:tcPr>
                <w:p w14:paraId="45B44F4B">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柴油存储罐</w:t>
                  </w:r>
                </w:p>
              </w:tc>
              <w:tc>
                <w:tcPr>
                  <w:tcW w:w="915" w:type="dxa"/>
                  <w:shd w:val="clear" w:color="auto" w:fill="auto"/>
                  <w:vAlign w:val="center"/>
                </w:tcPr>
                <w:p w14:paraId="0C45D889">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0.05</w:t>
                  </w:r>
                </w:p>
              </w:tc>
              <w:tc>
                <w:tcPr>
                  <w:tcW w:w="667" w:type="dxa"/>
                  <w:shd w:val="clear" w:color="auto" w:fill="auto"/>
                  <w:vAlign w:val="center"/>
                </w:tcPr>
                <w:p w14:paraId="75AF6205">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液态</w:t>
                  </w:r>
                </w:p>
              </w:tc>
              <w:tc>
                <w:tcPr>
                  <w:tcW w:w="1155" w:type="dxa"/>
                  <w:vAlign w:val="center"/>
                </w:tcPr>
                <w:p w14:paraId="3A5912D1">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HW08废矿物油与含矿物油废物</w:t>
                  </w:r>
                </w:p>
              </w:tc>
              <w:tc>
                <w:tcPr>
                  <w:tcW w:w="1249" w:type="dxa"/>
                  <w:vAlign w:val="center"/>
                </w:tcPr>
                <w:p w14:paraId="77A39EEE">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900-221-08</w:t>
                  </w:r>
                </w:p>
              </w:tc>
              <w:tc>
                <w:tcPr>
                  <w:tcW w:w="1818" w:type="dxa"/>
                  <w:vAlign w:val="center"/>
                </w:tcPr>
                <w:p w14:paraId="33017E7F">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使用闭口容器收集、分区暂存于危废间，交由有资质单位处置</w:t>
                  </w:r>
                </w:p>
              </w:tc>
              <w:tc>
                <w:tcPr>
                  <w:tcW w:w="669" w:type="dxa"/>
                  <w:vAlign w:val="center"/>
                </w:tcPr>
                <w:p w14:paraId="32BB9766">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T，I</w:t>
                  </w:r>
                </w:p>
              </w:tc>
            </w:tr>
          </w:tbl>
          <w:p w14:paraId="2503C11B">
            <w:pPr>
              <w:ind w:firstLine="482"/>
              <w:rPr>
                <w:b/>
                <w:bCs/>
              </w:rPr>
            </w:pPr>
            <w:r>
              <w:rPr>
                <w:rFonts w:hint="eastAsia"/>
                <w:b/>
                <w:bCs/>
              </w:rPr>
              <w:t>3、小结</w:t>
            </w:r>
          </w:p>
          <w:p w14:paraId="3372E2C5">
            <w:pPr>
              <w:ind w:firstLine="480"/>
            </w:pPr>
            <w:r>
              <w:rPr>
                <w:rFonts w:hint="eastAsia"/>
              </w:rPr>
              <w:t>项目固体废弃物产排情况汇总表见表4-8。</w:t>
            </w:r>
          </w:p>
          <w:p w14:paraId="4DDD6134">
            <w:pPr>
              <w:ind w:firstLine="422"/>
              <w:jc w:val="center"/>
              <w:rPr>
                <w:b/>
                <w:bCs/>
                <w:sz w:val="21"/>
                <w:szCs w:val="21"/>
              </w:rPr>
            </w:pPr>
            <w:r>
              <w:rPr>
                <w:rFonts w:hint="eastAsia"/>
                <w:b/>
                <w:bCs/>
                <w:sz w:val="21"/>
                <w:szCs w:val="21"/>
              </w:rPr>
              <w:t>表4-8  项目固体废物产生和处置情况一览表</w:t>
            </w:r>
          </w:p>
          <w:tbl>
            <w:tblPr>
              <w:tblStyle w:val="26"/>
              <w:tblpPr w:leftFromText="180" w:rightFromText="180" w:vertAnchor="text" w:horzAnchor="margin" w:tblpY="79"/>
              <w:tblOverlap w:val="never"/>
              <w:tblW w:w="497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2"/>
              <w:gridCol w:w="1032"/>
              <w:gridCol w:w="891"/>
              <w:gridCol w:w="1445"/>
              <w:gridCol w:w="956"/>
              <w:gridCol w:w="1782"/>
              <w:gridCol w:w="1237"/>
            </w:tblGrid>
            <w:tr w14:paraId="20521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600" w:type="pct"/>
                  <w:tcBorders>
                    <w:top w:val="single" w:color="auto" w:sz="4" w:space="0"/>
                    <w:left w:val="single" w:color="auto" w:sz="4" w:space="0"/>
                    <w:bottom w:val="single" w:color="auto" w:sz="4" w:space="0"/>
                    <w:right w:val="single" w:color="auto" w:sz="4" w:space="0"/>
                  </w:tcBorders>
                  <w:vAlign w:val="center"/>
                </w:tcPr>
                <w:p w14:paraId="4E6CA763">
                  <w:pPr>
                    <w:pStyle w:val="12"/>
                    <w:keepLines/>
                    <w:adjustRightInd w:val="0"/>
                    <w:snapToGrid w:val="0"/>
                    <w:spacing w:line="240" w:lineRule="auto"/>
                    <w:ind w:firstLine="0" w:firstLineChars="0"/>
                    <w:jc w:val="center"/>
                    <w:rPr>
                      <w:rFonts w:ascii="Times New Roman" w:hAnsi="Times New Roman"/>
                      <w:b/>
                      <w:bCs/>
                      <w:kern w:val="0"/>
                      <w:sz w:val="21"/>
                    </w:rPr>
                  </w:pPr>
                  <w:r>
                    <w:rPr>
                      <w:rFonts w:hint="eastAsia" w:ascii="Times New Roman" w:hAnsi="Times New Roman"/>
                      <w:b/>
                      <w:bCs/>
                      <w:kern w:val="0"/>
                      <w:sz w:val="21"/>
                    </w:rPr>
                    <w:t>固废名称</w:t>
                  </w:r>
                </w:p>
              </w:tc>
              <w:tc>
                <w:tcPr>
                  <w:tcW w:w="618" w:type="pct"/>
                  <w:tcBorders>
                    <w:top w:val="single" w:color="auto" w:sz="4" w:space="0"/>
                    <w:left w:val="single" w:color="auto" w:sz="4" w:space="0"/>
                    <w:bottom w:val="single" w:color="auto" w:sz="4" w:space="0"/>
                    <w:right w:val="single" w:color="auto" w:sz="4" w:space="0"/>
                  </w:tcBorders>
                  <w:vAlign w:val="center"/>
                </w:tcPr>
                <w:p w14:paraId="4A9090DA">
                  <w:pPr>
                    <w:pStyle w:val="12"/>
                    <w:keepLines/>
                    <w:adjustRightInd w:val="0"/>
                    <w:snapToGrid w:val="0"/>
                    <w:spacing w:line="240" w:lineRule="auto"/>
                    <w:ind w:firstLine="0" w:firstLineChars="0"/>
                    <w:jc w:val="center"/>
                    <w:rPr>
                      <w:rFonts w:ascii="Times New Roman" w:hAnsi="Times New Roman"/>
                      <w:b/>
                      <w:bCs/>
                      <w:kern w:val="0"/>
                      <w:sz w:val="21"/>
                    </w:rPr>
                  </w:pPr>
                  <w:r>
                    <w:rPr>
                      <w:rFonts w:hint="eastAsia" w:ascii="Times New Roman" w:hAnsi="Times New Roman"/>
                      <w:b/>
                      <w:bCs/>
                      <w:kern w:val="0"/>
                      <w:sz w:val="21"/>
                    </w:rPr>
                    <w:t>产生工序</w:t>
                  </w:r>
                </w:p>
              </w:tc>
              <w:tc>
                <w:tcPr>
                  <w:tcW w:w="533" w:type="pct"/>
                  <w:tcBorders>
                    <w:top w:val="single" w:color="auto" w:sz="4" w:space="0"/>
                    <w:left w:val="single" w:color="auto" w:sz="4" w:space="0"/>
                    <w:bottom w:val="single" w:color="auto" w:sz="4" w:space="0"/>
                    <w:right w:val="single" w:color="auto" w:sz="4" w:space="0"/>
                  </w:tcBorders>
                  <w:vAlign w:val="center"/>
                </w:tcPr>
                <w:p w14:paraId="454D42C2">
                  <w:pPr>
                    <w:pStyle w:val="12"/>
                    <w:keepLines/>
                    <w:adjustRightInd w:val="0"/>
                    <w:snapToGrid w:val="0"/>
                    <w:spacing w:line="240" w:lineRule="auto"/>
                    <w:ind w:firstLine="0" w:firstLineChars="0"/>
                    <w:jc w:val="center"/>
                    <w:rPr>
                      <w:rFonts w:ascii="Times New Roman" w:hAnsi="Times New Roman"/>
                      <w:b/>
                      <w:bCs/>
                      <w:kern w:val="0"/>
                      <w:sz w:val="21"/>
                    </w:rPr>
                  </w:pPr>
                  <w:r>
                    <w:rPr>
                      <w:rFonts w:hint="eastAsia" w:ascii="Times New Roman" w:hAnsi="Times New Roman"/>
                      <w:b/>
                      <w:bCs/>
                      <w:kern w:val="0"/>
                      <w:sz w:val="21"/>
                    </w:rPr>
                    <w:t>属性</w:t>
                  </w:r>
                </w:p>
              </w:tc>
              <w:tc>
                <w:tcPr>
                  <w:tcW w:w="865" w:type="pct"/>
                  <w:tcBorders>
                    <w:top w:val="single" w:color="auto" w:sz="4" w:space="0"/>
                    <w:left w:val="single" w:color="auto" w:sz="4" w:space="0"/>
                    <w:bottom w:val="single" w:color="auto" w:sz="4" w:space="0"/>
                    <w:right w:val="single" w:color="auto" w:sz="4" w:space="0"/>
                  </w:tcBorders>
                  <w:vAlign w:val="center"/>
                </w:tcPr>
                <w:p w14:paraId="79E3960F">
                  <w:pPr>
                    <w:pStyle w:val="12"/>
                    <w:keepLines/>
                    <w:adjustRightInd w:val="0"/>
                    <w:snapToGrid w:val="0"/>
                    <w:spacing w:line="240" w:lineRule="auto"/>
                    <w:ind w:firstLine="0" w:firstLineChars="0"/>
                    <w:jc w:val="center"/>
                    <w:rPr>
                      <w:rFonts w:ascii="Times New Roman" w:hAnsi="Times New Roman"/>
                      <w:b/>
                      <w:bCs/>
                      <w:kern w:val="0"/>
                      <w:sz w:val="21"/>
                    </w:rPr>
                  </w:pPr>
                  <w:r>
                    <w:rPr>
                      <w:rFonts w:hint="eastAsia" w:ascii="Times New Roman" w:hAnsi="Times New Roman"/>
                      <w:b/>
                      <w:bCs/>
                      <w:kern w:val="0"/>
                      <w:sz w:val="21"/>
                    </w:rPr>
                    <w:t>废物代码</w:t>
                  </w:r>
                </w:p>
              </w:tc>
              <w:tc>
                <w:tcPr>
                  <w:tcW w:w="573" w:type="pct"/>
                  <w:tcBorders>
                    <w:top w:val="single" w:color="auto" w:sz="4" w:space="0"/>
                    <w:left w:val="single" w:color="auto" w:sz="4" w:space="0"/>
                    <w:bottom w:val="single" w:color="auto" w:sz="4" w:space="0"/>
                    <w:right w:val="single" w:color="auto" w:sz="4" w:space="0"/>
                  </w:tcBorders>
                  <w:vAlign w:val="center"/>
                </w:tcPr>
                <w:p w14:paraId="644B0E88">
                  <w:pPr>
                    <w:pStyle w:val="12"/>
                    <w:keepLines/>
                    <w:adjustRightInd w:val="0"/>
                    <w:snapToGrid w:val="0"/>
                    <w:spacing w:line="240" w:lineRule="auto"/>
                    <w:ind w:firstLine="0" w:firstLineChars="0"/>
                    <w:jc w:val="center"/>
                    <w:rPr>
                      <w:rFonts w:ascii="Times New Roman" w:hAnsi="Times New Roman"/>
                      <w:b/>
                      <w:bCs/>
                      <w:kern w:val="0"/>
                      <w:sz w:val="21"/>
                    </w:rPr>
                  </w:pPr>
                  <w:r>
                    <w:rPr>
                      <w:rFonts w:hint="eastAsia" w:ascii="Times New Roman" w:hAnsi="Times New Roman"/>
                      <w:b/>
                      <w:bCs/>
                      <w:kern w:val="0"/>
                      <w:sz w:val="21"/>
                    </w:rPr>
                    <w:t>产生量（t/a）</w:t>
                  </w:r>
                </w:p>
              </w:tc>
              <w:tc>
                <w:tcPr>
                  <w:tcW w:w="1067" w:type="pct"/>
                  <w:tcBorders>
                    <w:top w:val="single" w:color="auto" w:sz="4" w:space="0"/>
                    <w:left w:val="single" w:color="auto" w:sz="4" w:space="0"/>
                    <w:bottom w:val="single" w:color="auto" w:sz="4" w:space="0"/>
                    <w:right w:val="single" w:color="auto" w:sz="4" w:space="0"/>
                  </w:tcBorders>
                  <w:vAlign w:val="center"/>
                </w:tcPr>
                <w:p w14:paraId="191489AA">
                  <w:pPr>
                    <w:pStyle w:val="12"/>
                    <w:keepLines/>
                    <w:adjustRightInd w:val="0"/>
                    <w:snapToGrid w:val="0"/>
                    <w:spacing w:line="240" w:lineRule="auto"/>
                    <w:ind w:firstLine="0" w:firstLineChars="0"/>
                    <w:jc w:val="center"/>
                    <w:rPr>
                      <w:rFonts w:ascii="Times New Roman" w:hAnsi="Times New Roman"/>
                      <w:b/>
                      <w:bCs/>
                      <w:kern w:val="0"/>
                      <w:sz w:val="21"/>
                    </w:rPr>
                  </w:pPr>
                  <w:r>
                    <w:rPr>
                      <w:rFonts w:hint="eastAsia" w:ascii="Times New Roman" w:hAnsi="Times New Roman"/>
                      <w:b/>
                      <w:bCs/>
                      <w:kern w:val="0"/>
                      <w:sz w:val="21"/>
                    </w:rPr>
                    <w:t>利用处置方式</w:t>
                  </w:r>
                </w:p>
              </w:tc>
              <w:tc>
                <w:tcPr>
                  <w:tcW w:w="741" w:type="pct"/>
                  <w:tcBorders>
                    <w:top w:val="single" w:color="auto" w:sz="4" w:space="0"/>
                    <w:left w:val="single" w:color="auto" w:sz="4" w:space="0"/>
                    <w:bottom w:val="single" w:color="auto" w:sz="4" w:space="0"/>
                    <w:right w:val="single" w:color="auto" w:sz="4" w:space="0"/>
                  </w:tcBorders>
                  <w:vAlign w:val="center"/>
                </w:tcPr>
                <w:p w14:paraId="7A646F46">
                  <w:pPr>
                    <w:pStyle w:val="12"/>
                    <w:keepLines/>
                    <w:adjustRightInd w:val="0"/>
                    <w:snapToGrid w:val="0"/>
                    <w:spacing w:line="240" w:lineRule="auto"/>
                    <w:ind w:firstLine="0" w:firstLineChars="0"/>
                    <w:jc w:val="center"/>
                    <w:rPr>
                      <w:rFonts w:ascii="Times New Roman" w:hAnsi="Times New Roman"/>
                      <w:b/>
                      <w:bCs/>
                      <w:kern w:val="0"/>
                      <w:sz w:val="21"/>
                    </w:rPr>
                  </w:pPr>
                  <w:r>
                    <w:rPr>
                      <w:rFonts w:hint="eastAsia" w:ascii="Times New Roman" w:hAnsi="Times New Roman"/>
                      <w:b/>
                      <w:bCs/>
                      <w:kern w:val="0"/>
                      <w:sz w:val="21"/>
                    </w:rPr>
                    <w:t>环境管理</w:t>
                  </w:r>
                </w:p>
                <w:p w14:paraId="2B1C8D41">
                  <w:pPr>
                    <w:pStyle w:val="12"/>
                    <w:keepLines/>
                    <w:adjustRightInd w:val="0"/>
                    <w:snapToGrid w:val="0"/>
                    <w:spacing w:line="240" w:lineRule="auto"/>
                    <w:ind w:firstLine="0" w:firstLineChars="0"/>
                    <w:jc w:val="center"/>
                    <w:rPr>
                      <w:rFonts w:ascii="Times New Roman" w:hAnsi="Times New Roman"/>
                      <w:b/>
                      <w:bCs/>
                      <w:kern w:val="0"/>
                      <w:sz w:val="21"/>
                    </w:rPr>
                  </w:pPr>
                  <w:r>
                    <w:rPr>
                      <w:rFonts w:hint="eastAsia" w:ascii="Times New Roman" w:hAnsi="Times New Roman"/>
                      <w:b/>
                      <w:bCs/>
                      <w:kern w:val="0"/>
                      <w:sz w:val="21"/>
                    </w:rPr>
                    <w:t>要求</w:t>
                  </w:r>
                </w:p>
              </w:tc>
            </w:tr>
            <w:tr w14:paraId="46F80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600" w:type="pct"/>
                  <w:tcBorders>
                    <w:top w:val="single" w:color="auto" w:sz="4" w:space="0"/>
                    <w:left w:val="single" w:color="auto" w:sz="4" w:space="0"/>
                    <w:bottom w:val="single" w:color="auto" w:sz="4" w:space="0"/>
                    <w:right w:val="single" w:color="auto" w:sz="4" w:space="0"/>
                  </w:tcBorders>
                  <w:vAlign w:val="center"/>
                </w:tcPr>
                <w:p w14:paraId="2D628F44">
                  <w:pPr>
                    <w:pStyle w:val="12"/>
                    <w:keepLines/>
                    <w:adjustRightInd w:val="0"/>
                    <w:snapToGrid w:val="0"/>
                    <w:spacing w:line="240" w:lineRule="auto"/>
                    <w:ind w:firstLine="0" w:firstLineChars="0"/>
                    <w:jc w:val="center"/>
                    <w:rPr>
                      <w:rFonts w:ascii="Times New Roman" w:hAnsi="Times New Roman"/>
                      <w:color w:val="000000" w:themeColor="text1"/>
                      <w:kern w:val="0"/>
                      <w:sz w:val="21"/>
                      <w14:textFill>
                        <w14:solidFill>
                          <w14:schemeClr w14:val="tx1"/>
                        </w14:solidFill>
                      </w14:textFill>
                    </w:rPr>
                  </w:pPr>
                  <w:r>
                    <w:rPr>
                      <w:rFonts w:hint="eastAsia"/>
                      <w:color w:val="000000" w:themeColor="text1"/>
                      <w:sz w:val="21"/>
                      <w14:textFill>
                        <w14:solidFill>
                          <w14:schemeClr w14:val="tx1"/>
                        </w14:solidFill>
                      </w14:textFill>
                    </w:rPr>
                    <w:t>除尘器收集粉尘</w:t>
                  </w:r>
                </w:p>
              </w:tc>
              <w:tc>
                <w:tcPr>
                  <w:tcW w:w="618" w:type="pct"/>
                  <w:tcBorders>
                    <w:top w:val="single" w:color="auto" w:sz="4" w:space="0"/>
                    <w:left w:val="single" w:color="auto" w:sz="4" w:space="0"/>
                    <w:bottom w:val="single" w:color="auto" w:sz="4" w:space="0"/>
                    <w:right w:val="single" w:color="auto" w:sz="4" w:space="0"/>
                  </w:tcBorders>
                  <w:vAlign w:val="center"/>
                </w:tcPr>
                <w:p w14:paraId="3F4B63D8">
                  <w:pPr>
                    <w:pStyle w:val="12"/>
                    <w:keepLines/>
                    <w:adjustRightInd w:val="0"/>
                    <w:snapToGrid w:val="0"/>
                    <w:spacing w:line="240" w:lineRule="auto"/>
                    <w:ind w:firstLine="0" w:firstLineChars="0"/>
                    <w:jc w:val="center"/>
                    <w:rPr>
                      <w:rFonts w:ascii="Times New Roman" w:hAnsi="Times New Roman"/>
                      <w:color w:val="000000" w:themeColor="text1"/>
                      <w:kern w:val="0"/>
                      <w:sz w:val="21"/>
                      <w14:textFill>
                        <w14:solidFill>
                          <w14:schemeClr w14:val="tx1"/>
                        </w14:solidFill>
                      </w14:textFill>
                    </w:rPr>
                  </w:pPr>
                  <w:r>
                    <w:rPr>
                      <w:rFonts w:hint="eastAsia" w:ascii="Times New Roman" w:hAnsi="Times New Roman"/>
                      <w:color w:val="000000" w:themeColor="text1"/>
                      <w:kern w:val="0"/>
                      <w:sz w:val="21"/>
                      <w14:textFill>
                        <w14:solidFill>
                          <w14:schemeClr w14:val="tx1"/>
                        </w14:solidFill>
                      </w14:textFill>
                    </w:rPr>
                    <w:t>废气处理</w:t>
                  </w:r>
                </w:p>
              </w:tc>
              <w:tc>
                <w:tcPr>
                  <w:tcW w:w="533" w:type="pct"/>
                  <w:tcBorders>
                    <w:left w:val="single" w:color="auto" w:sz="4" w:space="0"/>
                    <w:right w:val="single" w:color="auto" w:sz="4" w:space="0"/>
                  </w:tcBorders>
                  <w:vAlign w:val="center"/>
                </w:tcPr>
                <w:p w14:paraId="33B5E70B">
                  <w:pPr>
                    <w:pStyle w:val="12"/>
                    <w:keepLines/>
                    <w:adjustRightInd w:val="0"/>
                    <w:snapToGrid w:val="0"/>
                    <w:spacing w:line="240" w:lineRule="auto"/>
                    <w:ind w:firstLine="0" w:firstLineChars="0"/>
                    <w:jc w:val="center"/>
                    <w:rPr>
                      <w:rFonts w:ascii="Times New Roman" w:hAnsi="Times New Roman"/>
                      <w:color w:val="000000" w:themeColor="text1"/>
                      <w:kern w:val="0"/>
                      <w:sz w:val="21"/>
                      <w14:textFill>
                        <w14:solidFill>
                          <w14:schemeClr w14:val="tx1"/>
                        </w14:solidFill>
                      </w14:textFill>
                    </w:rPr>
                  </w:pPr>
                  <w:r>
                    <w:rPr>
                      <w:rFonts w:hint="eastAsia" w:ascii="Times New Roman" w:hAnsi="Times New Roman"/>
                      <w:color w:val="000000" w:themeColor="text1"/>
                      <w:kern w:val="0"/>
                      <w:sz w:val="21"/>
                      <w14:textFill>
                        <w14:solidFill>
                          <w14:schemeClr w14:val="tx1"/>
                        </w14:solidFill>
                      </w14:textFill>
                    </w:rPr>
                    <w:t>一般固废</w:t>
                  </w:r>
                </w:p>
              </w:tc>
              <w:tc>
                <w:tcPr>
                  <w:tcW w:w="865" w:type="pct"/>
                  <w:tcBorders>
                    <w:top w:val="single" w:color="auto" w:sz="4" w:space="0"/>
                    <w:left w:val="single" w:color="auto" w:sz="4" w:space="0"/>
                    <w:bottom w:val="single" w:color="auto" w:sz="4" w:space="0"/>
                    <w:right w:val="single" w:color="auto" w:sz="4" w:space="0"/>
                  </w:tcBorders>
                  <w:vAlign w:val="center"/>
                </w:tcPr>
                <w:p w14:paraId="06AB48E2">
                  <w:pPr>
                    <w:pStyle w:val="12"/>
                    <w:keepLines/>
                    <w:adjustRightInd w:val="0"/>
                    <w:snapToGrid w:val="0"/>
                    <w:spacing w:line="240" w:lineRule="auto"/>
                    <w:ind w:firstLine="0" w:firstLineChars="0"/>
                    <w:jc w:val="center"/>
                    <w:rPr>
                      <w:rFonts w:ascii="Times New Roman" w:hAnsi="Times New Roman"/>
                      <w:color w:val="000000" w:themeColor="text1"/>
                      <w:kern w:val="0"/>
                      <w:sz w:val="21"/>
                      <w14:textFill>
                        <w14:solidFill>
                          <w14:schemeClr w14:val="tx1"/>
                        </w14:solidFill>
                      </w14:textFill>
                    </w:rPr>
                  </w:pPr>
                  <w:r>
                    <w:rPr>
                      <w:rFonts w:hint="eastAsia" w:ascii="Times New Roman" w:hAnsi="Times New Roman"/>
                      <w:color w:val="000000" w:themeColor="text1"/>
                      <w:kern w:val="0"/>
                      <w:sz w:val="21"/>
                      <w14:textFill>
                        <w14:solidFill>
                          <w14:schemeClr w14:val="tx1"/>
                        </w14:solidFill>
                      </w14:textFill>
                    </w:rPr>
                    <w:t>900-099-S59</w:t>
                  </w:r>
                </w:p>
              </w:tc>
              <w:tc>
                <w:tcPr>
                  <w:tcW w:w="573" w:type="pct"/>
                  <w:tcBorders>
                    <w:top w:val="single" w:color="auto" w:sz="4" w:space="0"/>
                    <w:left w:val="single" w:color="auto" w:sz="4" w:space="0"/>
                    <w:bottom w:val="single" w:color="auto" w:sz="4" w:space="0"/>
                    <w:right w:val="single" w:color="auto" w:sz="4" w:space="0"/>
                  </w:tcBorders>
                  <w:vAlign w:val="center"/>
                </w:tcPr>
                <w:p w14:paraId="44792035">
                  <w:pPr>
                    <w:pStyle w:val="12"/>
                    <w:keepLines/>
                    <w:adjustRightInd w:val="0"/>
                    <w:snapToGrid w:val="0"/>
                    <w:spacing w:line="240" w:lineRule="auto"/>
                    <w:ind w:firstLine="0" w:firstLineChars="0"/>
                    <w:jc w:val="center"/>
                    <w:rPr>
                      <w:rFonts w:ascii="Times New Roman" w:hAnsi="Times New Roman"/>
                      <w:color w:val="000000" w:themeColor="text1"/>
                      <w:kern w:val="0"/>
                      <w:sz w:val="21"/>
                      <w14:textFill>
                        <w14:solidFill>
                          <w14:schemeClr w14:val="tx1"/>
                        </w14:solidFill>
                      </w14:textFill>
                    </w:rPr>
                  </w:pPr>
                  <w:r>
                    <w:rPr>
                      <w:rFonts w:hint="eastAsia" w:ascii="Times New Roman" w:hAnsi="Times New Roman"/>
                      <w:color w:val="000000" w:themeColor="text1"/>
                      <w:kern w:val="0"/>
                      <w:sz w:val="21"/>
                      <w14:textFill>
                        <w14:solidFill>
                          <w14:schemeClr w14:val="tx1"/>
                        </w14:solidFill>
                      </w14:textFill>
                    </w:rPr>
                    <w:t>46.0338</w:t>
                  </w:r>
                </w:p>
              </w:tc>
              <w:tc>
                <w:tcPr>
                  <w:tcW w:w="1067" w:type="pct"/>
                  <w:tcBorders>
                    <w:left w:val="single" w:color="auto" w:sz="4" w:space="0"/>
                    <w:right w:val="single" w:color="auto" w:sz="4" w:space="0"/>
                  </w:tcBorders>
                  <w:vAlign w:val="center"/>
                </w:tcPr>
                <w:p w14:paraId="3D1BD316">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收集后回用于生产</w:t>
                  </w:r>
                </w:p>
              </w:tc>
              <w:tc>
                <w:tcPr>
                  <w:tcW w:w="741" w:type="pct"/>
                  <w:tcBorders>
                    <w:left w:val="single" w:color="auto" w:sz="4" w:space="0"/>
                    <w:right w:val="single" w:color="auto" w:sz="4" w:space="0"/>
                  </w:tcBorders>
                  <w:vAlign w:val="center"/>
                </w:tcPr>
                <w:p w14:paraId="5F9D963D">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w:t>
                  </w:r>
                </w:p>
              </w:tc>
            </w:tr>
            <w:tr w14:paraId="46C0F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600" w:type="pct"/>
                  <w:tcBorders>
                    <w:top w:val="single" w:color="auto" w:sz="4" w:space="0"/>
                    <w:left w:val="single" w:color="auto" w:sz="4" w:space="0"/>
                    <w:bottom w:val="single" w:color="auto" w:sz="4" w:space="0"/>
                    <w:right w:val="single" w:color="auto" w:sz="4" w:space="0"/>
                  </w:tcBorders>
                  <w:vAlign w:val="center"/>
                </w:tcPr>
                <w:p w14:paraId="3D40E8E4">
                  <w:pPr>
                    <w:pStyle w:val="12"/>
                    <w:keepLines/>
                    <w:adjustRightInd w:val="0"/>
                    <w:snapToGrid w:val="0"/>
                    <w:spacing w:line="240" w:lineRule="auto"/>
                    <w:ind w:firstLine="0" w:firstLineChars="0"/>
                    <w:jc w:val="center"/>
                    <w:rPr>
                      <w:sz w:val="21"/>
                    </w:rPr>
                  </w:pPr>
                  <w:r>
                    <w:rPr>
                      <w:rFonts w:hint="eastAsia"/>
                      <w:sz w:val="21"/>
                    </w:rPr>
                    <w:t>废布袋</w:t>
                  </w:r>
                </w:p>
              </w:tc>
              <w:tc>
                <w:tcPr>
                  <w:tcW w:w="618" w:type="pct"/>
                  <w:tcBorders>
                    <w:top w:val="single" w:color="auto" w:sz="4" w:space="0"/>
                    <w:left w:val="single" w:color="auto" w:sz="4" w:space="0"/>
                    <w:bottom w:val="single" w:color="auto" w:sz="4" w:space="0"/>
                    <w:right w:val="single" w:color="auto" w:sz="4" w:space="0"/>
                  </w:tcBorders>
                  <w:vAlign w:val="center"/>
                </w:tcPr>
                <w:p w14:paraId="3A067C22">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废气处理</w:t>
                  </w:r>
                </w:p>
              </w:tc>
              <w:tc>
                <w:tcPr>
                  <w:tcW w:w="533" w:type="pct"/>
                  <w:tcBorders>
                    <w:left w:val="single" w:color="auto" w:sz="4" w:space="0"/>
                    <w:right w:val="single" w:color="auto" w:sz="4" w:space="0"/>
                  </w:tcBorders>
                  <w:vAlign w:val="center"/>
                </w:tcPr>
                <w:p w14:paraId="24C94D21">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一般固废</w:t>
                  </w:r>
                </w:p>
              </w:tc>
              <w:tc>
                <w:tcPr>
                  <w:tcW w:w="865" w:type="pct"/>
                  <w:tcBorders>
                    <w:top w:val="single" w:color="auto" w:sz="4" w:space="0"/>
                    <w:left w:val="single" w:color="auto" w:sz="4" w:space="0"/>
                    <w:bottom w:val="single" w:color="auto" w:sz="4" w:space="0"/>
                    <w:right w:val="single" w:color="auto" w:sz="4" w:space="0"/>
                  </w:tcBorders>
                  <w:vAlign w:val="center"/>
                </w:tcPr>
                <w:p w14:paraId="257422ED">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900-099-S59</w:t>
                  </w:r>
                </w:p>
              </w:tc>
              <w:tc>
                <w:tcPr>
                  <w:tcW w:w="573" w:type="pct"/>
                  <w:tcBorders>
                    <w:top w:val="single" w:color="auto" w:sz="4" w:space="0"/>
                    <w:left w:val="single" w:color="auto" w:sz="4" w:space="0"/>
                    <w:bottom w:val="single" w:color="auto" w:sz="4" w:space="0"/>
                    <w:right w:val="single" w:color="auto" w:sz="4" w:space="0"/>
                  </w:tcBorders>
                  <w:vAlign w:val="center"/>
                </w:tcPr>
                <w:p w14:paraId="0986645A">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0.2</w:t>
                  </w:r>
                </w:p>
              </w:tc>
              <w:tc>
                <w:tcPr>
                  <w:tcW w:w="1067" w:type="pct"/>
                  <w:tcBorders>
                    <w:left w:val="single" w:color="auto" w:sz="4" w:space="0"/>
                    <w:right w:val="single" w:color="auto" w:sz="4" w:space="0"/>
                  </w:tcBorders>
                  <w:vAlign w:val="center"/>
                </w:tcPr>
                <w:p w14:paraId="6B5FD310">
                  <w:pPr>
                    <w:pStyle w:val="12"/>
                    <w:keepLines/>
                    <w:adjustRightInd w:val="0"/>
                    <w:snapToGrid w:val="0"/>
                    <w:spacing w:line="240" w:lineRule="auto"/>
                    <w:ind w:firstLine="0" w:firstLineChars="0"/>
                    <w:jc w:val="center"/>
                    <w:rPr>
                      <w:rFonts w:ascii="Times New Roman" w:hAnsi="Times New Roman"/>
                      <w:kern w:val="0"/>
                      <w:sz w:val="21"/>
                    </w:rPr>
                  </w:pPr>
                  <w:r>
                    <w:rPr>
                      <w:rFonts w:hint="eastAsia"/>
                      <w:sz w:val="21"/>
                    </w:rPr>
                    <w:t>更换厂家回收处置</w:t>
                  </w:r>
                </w:p>
              </w:tc>
              <w:tc>
                <w:tcPr>
                  <w:tcW w:w="741" w:type="pct"/>
                  <w:tcBorders>
                    <w:left w:val="single" w:color="auto" w:sz="4" w:space="0"/>
                    <w:right w:val="single" w:color="auto" w:sz="4" w:space="0"/>
                  </w:tcBorders>
                  <w:vAlign w:val="center"/>
                </w:tcPr>
                <w:p w14:paraId="29B6E13D">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定期清掏，建立更换台账</w:t>
                  </w:r>
                </w:p>
              </w:tc>
            </w:tr>
            <w:tr w14:paraId="669C4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600" w:type="pct"/>
                  <w:tcBorders>
                    <w:top w:val="single" w:color="auto" w:sz="4" w:space="0"/>
                    <w:left w:val="single" w:color="auto" w:sz="4" w:space="0"/>
                    <w:bottom w:val="single" w:color="auto" w:sz="4" w:space="0"/>
                    <w:right w:val="single" w:color="auto" w:sz="4" w:space="0"/>
                  </w:tcBorders>
                  <w:vAlign w:val="center"/>
                </w:tcPr>
                <w:p w14:paraId="065D3ED8">
                  <w:pPr>
                    <w:pStyle w:val="12"/>
                    <w:keepLines/>
                    <w:adjustRightInd w:val="0"/>
                    <w:snapToGrid w:val="0"/>
                    <w:spacing w:line="240" w:lineRule="auto"/>
                    <w:ind w:firstLine="0" w:firstLineChars="0"/>
                    <w:jc w:val="center"/>
                    <w:rPr>
                      <w:sz w:val="21"/>
                    </w:rPr>
                  </w:pPr>
                  <w:r>
                    <w:rPr>
                      <w:rFonts w:hint="eastAsia"/>
                      <w:sz w:val="21"/>
                    </w:rPr>
                    <w:t>池渣</w:t>
                  </w:r>
                </w:p>
              </w:tc>
              <w:tc>
                <w:tcPr>
                  <w:tcW w:w="618" w:type="pct"/>
                  <w:tcBorders>
                    <w:top w:val="single" w:color="auto" w:sz="4" w:space="0"/>
                    <w:left w:val="single" w:color="auto" w:sz="4" w:space="0"/>
                    <w:bottom w:val="single" w:color="auto" w:sz="4" w:space="0"/>
                    <w:right w:val="single" w:color="auto" w:sz="4" w:space="0"/>
                  </w:tcBorders>
                  <w:vAlign w:val="center"/>
                </w:tcPr>
                <w:p w14:paraId="0FE0D7FC">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车轮清洗、初期雨水池</w:t>
                  </w:r>
                </w:p>
              </w:tc>
              <w:tc>
                <w:tcPr>
                  <w:tcW w:w="533" w:type="pct"/>
                  <w:tcBorders>
                    <w:left w:val="single" w:color="auto" w:sz="4" w:space="0"/>
                    <w:right w:val="single" w:color="auto" w:sz="4" w:space="0"/>
                  </w:tcBorders>
                  <w:vAlign w:val="center"/>
                </w:tcPr>
                <w:p w14:paraId="704852DD">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一般固废</w:t>
                  </w:r>
                </w:p>
              </w:tc>
              <w:tc>
                <w:tcPr>
                  <w:tcW w:w="865" w:type="pct"/>
                  <w:tcBorders>
                    <w:top w:val="single" w:color="auto" w:sz="4" w:space="0"/>
                    <w:left w:val="single" w:color="auto" w:sz="4" w:space="0"/>
                    <w:bottom w:val="single" w:color="auto" w:sz="4" w:space="0"/>
                    <w:right w:val="single" w:color="auto" w:sz="4" w:space="0"/>
                  </w:tcBorders>
                  <w:vAlign w:val="center"/>
                </w:tcPr>
                <w:p w14:paraId="232691B0">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900-099-S59</w:t>
                  </w:r>
                </w:p>
              </w:tc>
              <w:tc>
                <w:tcPr>
                  <w:tcW w:w="573" w:type="pct"/>
                  <w:tcBorders>
                    <w:top w:val="single" w:color="auto" w:sz="4" w:space="0"/>
                    <w:left w:val="single" w:color="auto" w:sz="4" w:space="0"/>
                    <w:bottom w:val="single" w:color="auto" w:sz="4" w:space="0"/>
                    <w:right w:val="single" w:color="auto" w:sz="4" w:space="0"/>
                  </w:tcBorders>
                  <w:vAlign w:val="center"/>
                </w:tcPr>
                <w:p w14:paraId="784EC9AD">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0.5</w:t>
                  </w:r>
                </w:p>
              </w:tc>
              <w:tc>
                <w:tcPr>
                  <w:tcW w:w="1067" w:type="pct"/>
                  <w:tcBorders>
                    <w:left w:val="single" w:color="auto" w:sz="4" w:space="0"/>
                    <w:right w:val="single" w:color="auto" w:sz="4" w:space="0"/>
                  </w:tcBorders>
                  <w:vAlign w:val="center"/>
                </w:tcPr>
                <w:p w14:paraId="6B357C77">
                  <w:pPr>
                    <w:pStyle w:val="12"/>
                    <w:keepLines/>
                    <w:adjustRightInd w:val="0"/>
                    <w:snapToGrid w:val="0"/>
                    <w:spacing w:line="240" w:lineRule="auto"/>
                    <w:ind w:firstLine="0" w:firstLineChars="0"/>
                    <w:jc w:val="center"/>
                    <w:rPr>
                      <w:rFonts w:ascii="Times New Roman" w:hAnsi="Times New Roman"/>
                      <w:kern w:val="0"/>
                      <w:sz w:val="21"/>
                    </w:rPr>
                  </w:pPr>
                  <w:r>
                    <w:rPr>
                      <w:color w:val="000000" w:themeColor="text1"/>
                      <w:sz w:val="21"/>
                      <w14:textFill>
                        <w14:solidFill>
                          <w14:schemeClr w14:val="tx1"/>
                        </w14:solidFill>
                      </w14:textFill>
                    </w:rPr>
                    <w:t>定期清掏后</w:t>
                  </w:r>
                  <w:r>
                    <w:rPr>
                      <w:rFonts w:hint="eastAsia"/>
                      <w:color w:val="000000" w:themeColor="text1"/>
                      <w:sz w:val="21"/>
                      <w14:textFill>
                        <w14:solidFill>
                          <w14:schemeClr w14:val="tx1"/>
                        </w14:solidFill>
                      </w14:textFill>
                    </w:rPr>
                    <w:t>用于周边道路修复</w:t>
                  </w:r>
                </w:p>
              </w:tc>
              <w:tc>
                <w:tcPr>
                  <w:tcW w:w="741" w:type="pct"/>
                  <w:vMerge w:val="restart"/>
                  <w:tcBorders>
                    <w:left w:val="single" w:color="auto" w:sz="4" w:space="0"/>
                    <w:right w:val="single" w:color="auto" w:sz="4" w:space="0"/>
                  </w:tcBorders>
                  <w:vAlign w:val="center"/>
                </w:tcPr>
                <w:p w14:paraId="527B2039">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定期清掏，建立清掏台账</w:t>
                  </w:r>
                </w:p>
              </w:tc>
            </w:tr>
            <w:tr w14:paraId="49F22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600" w:type="pct"/>
                  <w:tcBorders>
                    <w:top w:val="single" w:color="auto" w:sz="4" w:space="0"/>
                    <w:left w:val="single" w:color="auto" w:sz="4" w:space="0"/>
                    <w:bottom w:val="single" w:color="auto" w:sz="4" w:space="0"/>
                    <w:right w:val="single" w:color="auto" w:sz="4" w:space="0"/>
                  </w:tcBorders>
                  <w:vAlign w:val="center"/>
                </w:tcPr>
                <w:p w14:paraId="670EB5A7">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生活垃圾</w:t>
                  </w:r>
                </w:p>
              </w:tc>
              <w:tc>
                <w:tcPr>
                  <w:tcW w:w="618" w:type="pct"/>
                  <w:tcBorders>
                    <w:top w:val="single" w:color="auto" w:sz="4" w:space="0"/>
                    <w:left w:val="single" w:color="auto" w:sz="4" w:space="0"/>
                    <w:bottom w:val="single" w:color="auto" w:sz="4" w:space="0"/>
                    <w:right w:val="single" w:color="auto" w:sz="4" w:space="0"/>
                  </w:tcBorders>
                  <w:vAlign w:val="center"/>
                </w:tcPr>
                <w:p w14:paraId="109A6E1B">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员工生活办公</w:t>
                  </w:r>
                </w:p>
              </w:tc>
              <w:tc>
                <w:tcPr>
                  <w:tcW w:w="533" w:type="pct"/>
                  <w:tcBorders>
                    <w:left w:val="single" w:color="auto" w:sz="4" w:space="0"/>
                    <w:right w:val="single" w:color="auto" w:sz="4" w:space="0"/>
                  </w:tcBorders>
                  <w:vAlign w:val="center"/>
                </w:tcPr>
                <w:p w14:paraId="6329CA86">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一般固废</w:t>
                  </w:r>
                </w:p>
              </w:tc>
              <w:tc>
                <w:tcPr>
                  <w:tcW w:w="865" w:type="pct"/>
                  <w:tcBorders>
                    <w:top w:val="single" w:color="auto" w:sz="4" w:space="0"/>
                    <w:left w:val="single" w:color="auto" w:sz="4" w:space="0"/>
                    <w:bottom w:val="single" w:color="auto" w:sz="4" w:space="0"/>
                    <w:right w:val="single" w:color="auto" w:sz="4" w:space="0"/>
                  </w:tcBorders>
                  <w:vAlign w:val="center"/>
                </w:tcPr>
                <w:p w14:paraId="73F624D4">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900-002-S61</w:t>
                  </w:r>
                </w:p>
              </w:tc>
              <w:tc>
                <w:tcPr>
                  <w:tcW w:w="573" w:type="pct"/>
                  <w:tcBorders>
                    <w:top w:val="single" w:color="auto" w:sz="4" w:space="0"/>
                    <w:left w:val="single" w:color="auto" w:sz="4" w:space="0"/>
                    <w:bottom w:val="single" w:color="auto" w:sz="4" w:space="0"/>
                    <w:right w:val="single" w:color="auto" w:sz="4" w:space="0"/>
                  </w:tcBorders>
                  <w:vAlign w:val="center"/>
                </w:tcPr>
                <w:p w14:paraId="72A3AD3E">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2.25</w:t>
                  </w:r>
                </w:p>
              </w:tc>
              <w:tc>
                <w:tcPr>
                  <w:tcW w:w="1067" w:type="pct"/>
                  <w:tcBorders>
                    <w:left w:val="single" w:color="auto" w:sz="4" w:space="0"/>
                    <w:right w:val="single" w:color="auto" w:sz="4" w:space="0"/>
                  </w:tcBorders>
                  <w:vAlign w:val="center"/>
                </w:tcPr>
                <w:p w14:paraId="5F81C005">
                  <w:pPr>
                    <w:pStyle w:val="12"/>
                    <w:keepLines/>
                    <w:adjustRightInd w:val="0"/>
                    <w:snapToGrid w:val="0"/>
                    <w:spacing w:line="240" w:lineRule="auto"/>
                    <w:ind w:firstLine="0" w:firstLineChars="0"/>
                    <w:jc w:val="center"/>
                    <w:rPr>
                      <w:rFonts w:ascii="Times New Roman" w:hAnsi="Times New Roman"/>
                      <w:kern w:val="0"/>
                      <w:sz w:val="21"/>
                    </w:rPr>
                  </w:pPr>
                  <w:r>
                    <w:rPr>
                      <w:rFonts w:hint="eastAsia"/>
                      <w:sz w:val="21"/>
                    </w:rPr>
                    <w:t>塑料袋和带盖生活垃圾收集桶收集后委托环卫部门定期清运</w:t>
                  </w:r>
                </w:p>
              </w:tc>
              <w:tc>
                <w:tcPr>
                  <w:tcW w:w="741" w:type="pct"/>
                  <w:vMerge w:val="continue"/>
                  <w:tcBorders>
                    <w:left w:val="single" w:color="auto" w:sz="4" w:space="0"/>
                    <w:right w:val="single" w:color="auto" w:sz="4" w:space="0"/>
                  </w:tcBorders>
                  <w:vAlign w:val="center"/>
                </w:tcPr>
                <w:p w14:paraId="575D0E27">
                  <w:pPr>
                    <w:pStyle w:val="12"/>
                    <w:keepLines/>
                    <w:adjustRightInd w:val="0"/>
                    <w:snapToGrid w:val="0"/>
                    <w:spacing w:line="240" w:lineRule="auto"/>
                    <w:ind w:firstLine="0" w:firstLineChars="0"/>
                    <w:jc w:val="center"/>
                    <w:rPr>
                      <w:rFonts w:ascii="Times New Roman" w:hAnsi="Times New Roman"/>
                      <w:kern w:val="0"/>
                      <w:sz w:val="21"/>
                    </w:rPr>
                  </w:pPr>
                </w:p>
              </w:tc>
            </w:tr>
            <w:tr w14:paraId="2599F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600" w:type="pct"/>
                  <w:tcBorders>
                    <w:top w:val="single" w:color="auto" w:sz="4" w:space="0"/>
                    <w:left w:val="single" w:color="auto" w:sz="4" w:space="0"/>
                    <w:bottom w:val="single" w:color="auto" w:sz="4" w:space="0"/>
                    <w:right w:val="single" w:color="auto" w:sz="4" w:space="0"/>
                  </w:tcBorders>
                  <w:vAlign w:val="center"/>
                </w:tcPr>
                <w:p w14:paraId="4FB50B91">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化粪池污泥</w:t>
                  </w:r>
                </w:p>
              </w:tc>
              <w:tc>
                <w:tcPr>
                  <w:tcW w:w="618" w:type="pct"/>
                  <w:tcBorders>
                    <w:top w:val="single" w:color="auto" w:sz="4" w:space="0"/>
                    <w:left w:val="single" w:color="auto" w:sz="4" w:space="0"/>
                    <w:bottom w:val="single" w:color="auto" w:sz="4" w:space="0"/>
                    <w:right w:val="single" w:color="auto" w:sz="4" w:space="0"/>
                  </w:tcBorders>
                  <w:vAlign w:val="center"/>
                </w:tcPr>
                <w:p w14:paraId="3F8D8D11">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化粪池</w:t>
                  </w:r>
                </w:p>
              </w:tc>
              <w:tc>
                <w:tcPr>
                  <w:tcW w:w="533" w:type="pct"/>
                  <w:tcBorders>
                    <w:left w:val="single" w:color="auto" w:sz="4" w:space="0"/>
                    <w:right w:val="single" w:color="auto" w:sz="4" w:space="0"/>
                  </w:tcBorders>
                  <w:vAlign w:val="center"/>
                </w:tcPr>
                <w:p w14:paraId="04C265DE">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一般固废</w:t>
                  </w:r>
                </w:p>
              </w:tc>
              <w:tc>
                <w:tcPr>
                  <w:tcW w:w="865" w:type="pct"/>
                  <w:tcBorders>
                    <w:top w:val="single" w:color="auto" w:sz="4" w:space="0"/>
                    <w:left w:val="single" w:color="auto" w:sz="4" w:space="0"/>
                    <w:bottom w:val="single" w:color="auto" w:sz="4" w:space="0"/>
                    <w:right w:val="single" w:color="auto" w:sz="4" w:space="0"/>
                  </w:tcBorders>
                  <w:vAlign w:val="center"/>
                </w:tcPr>
                <w:p w14:paraId="1282810D">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900-002-S64</w:t>
                  </w:r>
                </w:p>
              </w:tc>
              <w:tc>
                <w:tcPr>
                  <w:tcW w:w="573" w:type="pct"/>
                  <w:tcBorders>
                    <w:top w:val="single" w:color="auto" w:sz="4" w:space="0"/>
                    <w:left w:val="single" w:color="auto" w:sz="4" w:space="0"/>
                    <w:bottom w:val="single" w:color="auto" w:sz="4" w:space="0"/>
                    <w:right w:val="single" w:color="auto" w:sz="4" w:space="0"/>
                  </w:tcBorders>
                  <w:vAlign w:val="center"/>
                </w:tcPr>
                <w:p w14:paraId="778DC3DA">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0.06</w:t>
                  </w:r>
                </w:p>
              </w:tc>
              <w:tc>
                <w:tcPr>
                  <w:tcW w:w="1067" w:type="pct"/>
                  <w:tcBorders>
                    <w:left w:val="single" w:color="auto" w:sz="4" w:space="0"/>
                    <w:right w:val="single" w:color="auto" w:sz="4" w:space="0"/>
                  </w:tcBorders>
                  <w:vAlign w:val="center"/>
                </w:tcPr>
                <w:p w14:paraId="0F49E82D">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委托</w:t>
                  </w:r>
                  <w:r>
                    <w:rPr>
                      <w:rFonts w:hint="eastAsia"/>
                      <w:sz w:val="21"/>
                    </w:rPr>
                    <w:t>环卫部门</w:t>
                  </w:r>
                  <w:r>
                    <w:rPr>
                      <w:rFonts w:hint="eastAsia" w:ascii="Times New Roman" w:hAnsi="Times New Roman"/>
                      <w:kern w:val="0"/>
                      <w:sz w:val="21"/>
                    </w:rPr>
                    <w:t>清掏</w:t>
                  </w:r>
                  <w:r>
                    <w:rPr>
                      <w:rFonts w:hint="eastAsia"/>
                      <w:sz w:val="21"/>
                    </w:rPr>
                    <w:t>清运</w:t>
                  </w:r>
                </w:p>
              </w:tc>
              <w:tc>
                <w:tcPr>
                  <w:tcW w:w="741" w:type="pct"/>
                  <w:vMerge w:val="continue"/>
                  <w:tcBorders>
                    <w:left w:val="single" w:color="auto" w:sz="4" w:space="0"/>
                    <w:right w:val="single" w:color="auto" w:sz="4" w:space="0"/>
                  </w:tcBorders>
                  <w:vAlign w:val="center"/>
                </w:tcPr>
                <w:p w14:paraId="76076020">
                  <w:pPr>
                    <w:pStyle w:val="12"/>
                    <w:keepLines/>
                    <w:adjustRightInd w:val="0"/>
                    <w:snapToGrid w:val="0"/>
                    <w:spacing w:line="240" w:lineRule="auto"/>
                    <w:ind w:firstLine="0" w:firstLineChars="0"/>
                    <w:jc w:val="center"/>
                    <w:rPr>
                      <w:rFonts w:ascii="Times New Roman" w:hAnsi="Times New Roman"/>
                      <w:kern w:val="0"/>
                      <w:sz w:val="21"/>
                    </w:rPr>
                  </w:pPr>
                </w:p>
              </w:tc>
            </w:tr>
            <w:tr w14:paraId="4C54A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600" w:type="pct"/>
                  <w:tcBorders>
                    <w:top w:val="single" w:color="auto" w:sz="4" w:space="0"/>
                    <w:left w:val="single" w:color="auto" w:sz="4" w:space="0"/>
                    <w:bottom w:val="single" w:color="auto" w:sz="4" w:space="0"/>
                    <w:right w:val="single" w:color="auto" w:sz="4" w:space="0"/>
                  </w:tcBorders>
                  <w:vAlign w:val="center"/>
                </w:tcPr>
                <w:p w14:paraId="51F50489">
                  <w:pPr>
                    <w:pStyle w:val="12"/>
                    <w:keepLines/>
                    <w:adjustRightInd w:val="0"/>
                    <w:snapToGrid w:val="0"/>
                    <w:spacing w:line="240" w:lineRule="auto"/>
                    <w:ind w:firstLine="0" w:firstLineChars="0"/>
                    <w:jc w:val="center"/>
                    <w:rPr>
                      <w:rFonts w:ascii="Times New Roman" w:hAnsi="Times New Roman"/>
                      <w:color w:val="000000" w:themeColor="text1"/>
                      <w:kern w:val="0"/>
                      <w:sz w:val="21"/>
                      <w14:textFill>
                        <w14:solidFill>
                          <w14:schemeClr w14:val="tx1"/>
                        </w14:solidFill>
                      </w14:textFill>
                    </w:rPr>
                  </w:pPr>
                  <w:r>
                    <w:rPr>
                      <w:rFonts w:hint="eastAsia" w:ascii="Times New Roman" w:hAnsi="Times New Roman"/>
                      <w:color w:val="000000" w:themeColor="text1"/>
                      <w:kern w:val="0"/>
                      <w:sz w:val="21"/>
                      <w14:textFill>
                        <w14:solidFill>
                          <w14:schemeClr w14:val="tx1"/>
                        </w14:solidFill>
                      </w14:textFill>
                    </w:rPr>
                    <w:t>污水处理污泥</w:t>
                  </w:r>
                </w:p>
              </w:tc>
              <w:tc>
                <w:tcPr>
                  <w:tcW w:w="618" w:type="pct"/>
                  <w:tcBorders>
                    <w:top w:val="single" w:color="auto" w:sz="4" w:space="0"/>
                    <w:left w:val="single" w:color="auto" w:sz="4" w:space="0"/>
                    <w:bottom w:val="single" w:color="auto" w:sz="4" w:space="0"/>
                    <w:right w:val="single" w:color="auto" w:sz="4" w:space="0"/>
                  </w:tcBorders>
                  <w:vAlign w:val="center"/>
                </w:tcPr>
                <w:p w14:paraId="408DAA71">
                  <w:pPr>
                    <w:pStyle w:val="12"/>
                    <w:keepLines/>
                    <w:adjustRightInd w:val="0"/>
                    <w:snapToGrid w:val="0"/>
                    <w:spacing w:line="240" w:lineRule="auto"/>
                    <w:ind w:firstLine="0" w:firstLineChars="0"/>
                    <w:jc w:val="center"/>
                    <w:rPr>
                      <w:rFonts w:ascii="Times New Roman" w:hAnsi="Times New Roman"/>
                      <w:color w:val="000000" w:themeColor="text1"/>
                      <w:kern w:val="0"/>
                      <w:sz w:val="21"/>
                      <w14:textFill>
                        <w14:solidFill>
                          <w14:schemeClr w14:val="tx1"/>
                        </w14:solidFill>
                      </w14:textFill>
                    </w:rPr>
                  </w:pPr>
                  <w:r>
                    <w:rPr>
                      <w:rFonts w:hint="eastAsia" w:ascii="Times New Roman" w:hAnsi="Times New Roman"/>
                      <w:color w:val="000000" w:themeColor="text1"/>
                      <w:kern w:val="0"/>
                      <w:sz w:val="21"/>
                      <w14:textFill>
                        <w14:solidFill>
                          <w14:schemeClr w14:val="tx1"/>
                        </w14:solidFill>
                      </w14:textFill>
                    </w:rPr>
                    <w:t>一体化处理设施</w:t>
                  </w:r>
                </w:p>
              </w:tc>
              <w:tc>
                <w:tcPr>
                  <w:tcW w:w="533" w:type="pct"/>
                  <w:tcBorders>
                    <w:left w:val="single" w:color="auto" w:sz="4" w:space="0"/>
                    <w:right w:val="single" w:color="auto" w:sz="4" w:space="0"/>
                  </w:tcBorders>
                  <w:vAlign w:val="center"/>
                </w:tcPr>
                <w:p w14:paraId="45190CB0">
                  <w:pPr>
                    <w:pStyle w:val="12"/>
                    <w:keepLines/>
                    <w:adjustRightInd w:val="0"/>
                    <w:snapToGrid w:val="0"/>
                    <w:spacing w:line="240" w:lineRule="auto"/>
                    <w:ind w:firstLine="0" w:firstLineChars="0"/>
                    <w:jc w:val="center"/>
                    <w:rPr>
                      <w:rFonts w:ascii="Times New Roman" w:hAnsi="Times New Roman"/>
                      <w:color w:val="000000" w:themeColor="text1"/>
                      <w:kern w:val="0"/>
                      <w:sz w:val="21"/>
                      <w14:textFill>
                        <w14:solidFill>
                          <w14:schemeClr w14:val="tx1"/>
                        </w14:solidFill>
                      </w14:textFill>
                    </w:rPr>
                  </w:pPr>
                  <w:r>
                    <w:rPr>
                      <w:rFonts w:hint="eastAsia" w:ascii="Times New Roman" w:hAnsi="Times New Roman"/>
                      <w:color w:val="000000" w:themeColor="text1"/>
                      <w:kern w:val="0"/>
                      <w:sz w:val="21"/>
                      <w14:textFill>
                        <w14:solidFill>
                          <w14:schemeClr w14:val="tx1"/>
                        </w14:solidFill>
                      </w14:textFill>
                    </w:rPr>
                    <w:t>一般固废</w:t>
                  </w:r>
                </w:p>
              </w:tc>
              <w:tc>
                <w:tcPr>
                  <w:tcW w:w="865" w:type="pct"/>
                  <w:tcBorders>
                    <w:top w:val="single" w:color="auto" w:sz="4" w:space="0"/>
                    <w:left w:val="single" w:color="auto" w:sz="4" w:space="0"/>
                    <w:bottom w:val="single" w:color="auto" w:sz="4" w:space="0"/>
                    <w:right w:val="single" w:color="auto" w:sz="4" w:space="0"/>
                  </w:tcBorders>
                  <w:vAlign w:val="center"/>
                </w:tcPr>
                <w:p w14:paraId="5AC4FA07">
                  <w:pPr>
                    <w:pStyle w:val="12"/>
                    <w:keepLines/>
                    <w:adjustRightInd w:val="0"/>
                    <w:snapToGrid w:val="0"/>
                    <w:spacing w:line="240" w:lineRule="auto"/>
                    <w:ind w:firstLine="0" w:firstLineChars="0"/>
                    <w:jc w:val="center"/>
                    <w:rPr>
                      <w:rFonts w:ascii="Times New Roman" w:hAnsi="Times New Roman"/>
                      <w:color w:val="000000" w:themeColor="text1"/>
                      <w:kern w:val="0"/>
                      <w:sz w:val="21"/>
                      <w14:textFill>
                        <w14:solidFill>
                          <w14:schemeClr w14:val="tx1"/>
                        </w14:solidFill>
                      </w14:textFill>
                    </w:rPr>
                  </w:pPr>
                  <w:r>
                    <w:rPr>
                      <w:rFonts w:hint="eastAsia" w:ascii="Times New Roman" w:hAnsi="Times New Roman"/>
                      <w:color w:val="000000" w:themeColor="text1"/>
                      <w:kern w:val="0"/>
                      <w:sz w:val="21"/>
                      <w14:textFill>
                        <w14:solidFill>
                          <w14:schemeClr w14:val="tx1"/>
                        </w14:solidFill>
                      </w14:textFill>
                    </w:rPr>
                    <w:t>900-002-S64</w:t>
                  </w:r>
                </w:p>
              </w:tc>
              <w:tc>
                <w:tcPr>
                  <w:tcW w:w="573" w:type="pct"/>
                  <w:tcBorders>
                    <w:top w:val="single" w:color="auto" w:sz="4" w:space="0"/>
                    <w:left w:val="single" w:color="auto" w:sz="4" w:space="0"/>
                    <w:bottom w:val="single" w:color="auto" w:sz="4" w:space="0"/>
                    <w:right w:val="single" w:color="auto" w:sz="4" w:space="0"/>
                  </w:tcBorders>
                  <w:vAlign w:val="center"/>
                </w:tcPr>
                <w:p w14:paraId="24D28952">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0.028</w:t>
                  </w:r>
                </w:p>
              </w:tc>
              <w:tc>
                <w:tcPr>
                  <w:tcW w:w="1067" w:type="pct"/>
                  <w:tcBorders>
                    <w:left w:val="single" w:color="auto" w:sz="4" w:space="0"/>
                    <w:right w:val="single" w:color="auto" w:sz="4" w:space="0"/>
                  </w:tcBorders>
                  <w:vAlign w:val="center"/>
                </w:tcPr>
                <w:p w14:paraId="65B84327">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委托环卫部门清掏清运</w:t>
                  </w:r>
                </w:p>
              </w:tc>
              <w:tc>
                <w:tcPr>
                  <w:tcW w:w="741" w:type="pct"/>
                  <w:vMerge w:val="continue"/>
                  <w:tcBorders>
                    <w:left w:val="single" w:color="auto" w:sz="4" w:space="0"/>
                    <w:right w:val="single" w:color="auto" w:sz="4" w:space="0"/>
                  </w:tcBorders>
                  <w:vAlign w:val="center"/>
                </w:tcPr>
                <w:p w14:paraId="6C2A5333">
                  <w:pPr>
                    <w:pStyle w:val="12"/>
                    <w:keepLines/>
                    <w:adjustRightInd w:val="0"/>
                    <w:snapToGrid w:val="0"/>
                    <w:spacing w:line="240" w:lineRule="auto"/>
                    <w:ind w:firstLine="0" w:firstLineChars="0"/>
                    <w:jc w:val="center"/>
                    <w:rPr>
                      <w:rFonts w:ascii="Times New Roman" w:hAnsi="Times New Roman"/>
                      <w:kern w:val="0"/>
                      <w:sz w:val="21"/>
                    </w:rPr>
                  </w:pPr>
                </w:p>
              </w:tc>
            </w:tr>
            <w:tr w14:paraId="19862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600" w:type="pct"/>
                  <w:tcBorders>
                    <w:top w:val="single" w:color="auto" w:sz="4" w:space="0"/>
                    <w:left w:val="single" w:color="auto" w:sz="4" w:space="0"/>
                    <w:bottom w:val="single" w:color="auto" w:sz="4" w:space="0"/>
                    <w:right w:val="single" w:color="auto" w:sz="4" w:space="0"/>
                  </w:tcBorders>
                  <w:vAlign w:val="center"/>
                </w:tcPr>
                <w:p w14:paraId="53E7532B">
                  <w:pPr>
                    <w:pStyle w:val="12"/>
                    <w:keepLines/>
                    <w:adjustRightInd w:val="0"/>
                    <w:snapToGrid w:val="0"/>
                    <w:spacing w:line="240" w:lineRule="auto"/>
                    <w:ind w:firstLine="0" w:firstLineChars="0"/>
                    <w:jc w:val="center"/>
                    <w:rPr>
                      <w:rFonts w:ascii="Times New Roman" w:hAnsi="Times New Roman"/>
                      <w:color w:val="000000" w:themeColor="text1"/>
                      <w:kern w:val="0"/>
                      <w:sz w:val="21"/>
                      <w14:textFill>
                        <w14:solidFill>
                          <w14:schemeClr w14:val="tx1"/>
                        </w14:solidFill>
                      </w14:textFill>
                    </w:rPr>
                  </w:pPr>
                  <w:r>
                    <w:rPr>
                      <w:rFonts w:hint="eastAsia" w:ascii="Times New Roman" w:hAnsi="Times New Roman"/>
                      <w:color w:val="000000" w:themeColor="text1"/>
                      <w:kern w:val="0"/>
                      <w:sz w:val="21"/>
                      <w14:textFill>
                        <w14:solidFill>
                          <w14:schemeClr w14:val="tx1"/>
                        </w14:solidFill>
                      </w14:textFill>
                    </w:rPr>
                    <w:t>废焦油</w:t>
                  </w:r>
                </w:p>
              </w:tc>
              <w:tc>
                <w:tcPr>
                  <w:tcW w:w="618" w:type="pct"/>
                  <w:tcBorders>
                    <w:top w:val="single" w:color="auto" w:sz="4" w:space="0"/>
                    <w:left w:val="single" w:color="auto" w:sz="4" w:space="0"/>
                    <w:bottom w:val="single" w:color="auto" w:sz="4" w:space="0"/>
                    <w:right w:val="single" w:color="auto" w:sz="4" w:space="0"/>
                  </w:tcBorders>
                  <w:vAlign w:val="center"/>
                </w:tcPr>
                <w:p w14:paraId="690A00A0">
                  <w:pPr>
                    <w:pStyle w:val="12"/>
                    <w:keepLines/>
                    <w:adjustRightInd w:val="0"/>
                    <w:snapToGrid w:val="0"/>
                    <w:spacing w:line="240" w:lineRule="auto"/>
                    <w:ind w:firstLine="0" w:firstLineChars="0"/>
                    <w:jc w:val="center"/>
                    <w:rPr>
                      <w:rFonts w:ascii="Times New Roman" w:hAnsi="Times New Roman"/>
                      <w:color w:val="000000" w:themeColor="text1"/>
                      <w:kern w:val="0"/>
                      <w:sz w:val="21"/>
                      <w14:textFill>
                        <w14:solidFill>
                          <w14:schemeClr w14:val="tx1"/>
                        </w14:solidFill>
                      </w14:textFill>
                    </w:rPr>
                  </w:pPr>
                  <w:r>
                    <w:rPr>
                      <w:rFonts w:hint="eastAsia" w:ascii="Times New Roman" w:hAnsi="Times New Roman"/>
                      <w:color w:val="000000" w:themeColor="text1"/>
                      <w:kern w:val="0"/>
                      <w:sz w:val="21"/>
                      <w14:textFill>
                        <w14:solidFill>
                          <w14:schemeClr w14:val="tx1"/>
                        </w14:solidFill>
                      </w14:textFill>
                    </w:rPr>
                    <w:t>废气处理</w:t>
                  </w:r>
                </w:p>
              </w:tc>
              <w:tc>
                <w:tcPr>
                  <w:tcW w:w="533" w:type="pct"/>
                  <w:tcBorders>
                    <w:left w:val="single" w:color="auto" w:sz="4" w:space="0"/>
                    <w:right w:val="single" w:color="auto" w:sz="4" w:space="0"/>
                  </w:tcBorders>
                  <w:vAlign w:val="center"/>
                </w:tcPr>
                <w:p w14:paraId="0C05B1C4">
                  <w:pPr>
                    <w:pStyle w:val="12"/>
                    <w:keepLines/>
                    <w:adjustRightInd w:val="0"/>
                    <w:snapToGrid w:val="0"/>
                    <w:spacing w:line="240" w:lineRule="auto"/>
                    <w:ind w:firstLine="0" w:firstLineChars="0"/>
                    <w:jc w:val="center"/>
                    <w:rPr>
                      <w:rFonts w:ascii="Times New Roman" w:hAnsi="Times New Roman"/>
                      <w:color w:val="000000" w:themeColor="text1"/>
                      <w:kern w:val="0"/>
                      <w:sz w:val="21"/>
                      <w14:textFill>
                        <w14:solidFill>
                          <w14:schemeClr w14:val="tx1"/>
                        </w14:solidFill>
                      </w14:textFill>
                    </w:rPr>
                  </w:pPr>
                  <w:r>
                    <w:rPr>
                      <w:rFonts w:hint="eastAsia" w:ascii="Times New Roman" w:hAnsi="Times New Roman"/>
                      <w:color w:val="000000" w:themeColor="text1"/>
                      <w:kern w:val="0"/>
                      <w:sz w:val="21"/>
                      <w14:textFill>
                        <w14:solidFill>
                          <w14:schemeClr w14:val="tx1"/>
                        </w14:solidFill>
                      </w14:textFill>
                    </w:rPr>
                    <w:t>危险废物</w:t>
                  </w:r>
                </w:p>
              </w:tc>
              <w:tc>
                <w:tcPr>
                  <w:tcW w:w="865" w:type="pct"/>
                  <w:tcBorders>
                    <w:top w:val="single" w:color="auto" w:sz="4" w:space="0"/>
                    <w:left w:val="single" w:color="auto" w:sz="4" w:space="0"/>
                    <w:bottom w:val="single" w:color="auto" w:sz="4" w:space="0"/>
                    <w:right w:val="single" w:color="auto" w:sz="4" w:space="0"/>
                  </w:tcBorders>
                  <w:vAlign w:val="center"/>
                </w:tcPr>
                <w:p w14:paraId="7C0A449C">
                  <w:pPr>
                    <w:pStyle w:val="12"/>
                    <w:keepLines/>
                    <w:adjustRightInd w:val="0"/>
                    <w:snapToGrid w:val="0"/>
                    <w:spacing w:line="240" w:lineRule="auto"/>
                    <w:ind w:firstLine="0" w:firstLineChars="0"/>
                    <w:jc w:val="center"/>
                    <w:rPr>
                      <w:rFonts w:ascii="Times New Roman" w:hAnsi="Times New Roman"/>
                      <w:color w:val="000000" w:themeColor="text1"/>
                      <w:kern w:val="0"/>
                      <w:sz w:val="21"/>
                      <w14:textFill>
                        <w14:solidFill>
                          <w14:schemeClr w14:val="tx1"/>
                        </w14:solidFill>
                      </w14:textFill>
                    </w:rPr>
                  </w:pPr>
                  <w:r>
                    <w:rPr>
                      <w:rFonts w:hint="eastAsia" w:ascii="Times New Roman" w:hAnsi="Times New Roman"/>
                      <w:color w:val="000000" w:themeColor="text1"/>
                      <w:kern w:val="0"/>
                      <w:sz w:val="21"/>
                      <w14:textFill>
                        <w14:solidFill>
                          <w14:schemeClr w14:val="tx1"/>
                        </w14:solidFill>
                      </w14:textFill>
                    </w:rPr>
                    <w:t>309-001-11</w:t>
                  </w:r>
                </w:p>
              </w:tc>
              <w:tc>
                <w:tcPr>
                  <w:tcW w:w="573" w:type="pct"/>
                  <w:tcBorders>
                    <w:top w:val="single" w:color="auto" w:sz="4" w:space="0"/>
                    <w:left w:val="single" w:color="auto" w:sz="4" w:space="0"/>
                    <w:bottom w:val="single" w:color="auto" w:sz="4" w:space="0"/>
                    <w:right w:val="single" w:color="auto" w:sz="4" w:space="0"/>
                  </w:tcBorders>
                  <w:vAlign w:val="center"/>
                </w:tcPr>
                <w:p w14:paraId="65C8927B">
                  <w:pPr>
                    <w:pStyle w:val="12"/>
                    <w:keepLines/>
                    <w:adjustRightInd w:val="0"/>
                    <w:snapToGrid w:val="0"/>
                    <w:spacing w:line="240" w:lineRule="auto"/>
                    <w:ind w:firstLine="0" w:firstLineChars="0"/>
                    <w:jc w:val="center"/>
                    <w:rPr>
                      <w:rFonts w:ascii="Times New Roman" w:hAnsi="Times New Roman"/>
                      <w:color w:val="000000" w:themeColor="text1"/>
                      <w:kern w:val="0"/>
                      <w:sz w:val="21"/>
                      <w14:textFill>
                        <w14:solidFill>
                          <w14:schemeClr w14:val="tx1"/>
                        </w14:solidFill>
                      </w14:textFill>
                    </w:rPr>
                  </w:pPr>
                  <w:r>
                    <w:rPr>
                      <w:rFonts w:hint="eastAsia" w:ascii="Times New Roman" w:hAnsi="Times New Roman"/>
                      <w:color w:val="000000" w:themeColor="text1"/>
                      <w:kern w:val="0"/>
                      <w:sz w:val="21"/>
                      <w14:textFill>
                        <w14:solidFill>
                          <w14:schemeClr w14:val="tx1"/>
                        </w14:solidFill>
                      </w14:textFill>
                    </w:rPr>
                    <w:t>0.2759</w:t>
                  </w:r>
                </w:p>
              </w:tc>
              <w:tc>
                <w:tcPr>
                  <w:tcW w:w="1067" w:type="pct"/>
                  <w:vMerge w:val="restart"/>
                  <w:tcBorders>
                    <w:left w:val="single" w:color="auto" w:sz="4" w:space="0"/>
                    <w:right w:val="single" w:color="auto" w:sz="4" w:space="0"/>
                  </w:tcBorders>
                  <w:vAlign w:val="center"/>
                </w:tcPr>
                <w:p w14:paraId="2552ACE0">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分类使用闭口容器收集（除废油桶外）、分区（含废油桶）暂存于危废暂存间，其中废导热油由有资质的更换单位带走处理，其余危废委托有资质的单位清运处置</w:t>
                  </w:r>
                </w:p>
              </w:tc>
              <w:tc>
                <w:tcPr>
                  <w:tcW w:w="741" w:type="pct"/>
                  <w:vMerge w:val="restart"/>
                  <w:tcBorders>
                    <w:left w:val="single" w:color="auto" w:sz="4" w:space="0"/>
                    <w:right w:val="single" w:color="auto" w:sz="4" w:space="0"/>
                  </w:tcBorders>
                  <w:vAlign w:val="center"/>
                </w:tcPr>
                <w:p w14:paraId="16D125D0">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按种类建立产生台账、清运台账</w:t>
                  </w:r>
                </w:p>
              </w:tc>
            </w:tr>
            <w:tr w14:paraId="03110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600" w:type="pct"/>
                  <w:tcBorders>
                    <w:top w:val="single" w:color="auto" w:sz="4" w:space="0"/>
                    <w:left w:val="single" w:color="auto" w:sz="4" w:space="0"/>
                    <w:bottom w:val="single" w:color="auto" w:sz="4" w:space="0"/>
                    <w:right w:val="single" w:color="auto" w:sz="4" w:space="0"/>
                  </w:tcBorders>
                  <w:vAlign w:val="center"/>
                </w:tcPr>
                <w:p w14:paraId="0F153232">
                  <w:pPr>
                    <w:pStyle w:val="12"/>
                    <w:keepLines/>
                    <w:adjustRightInd w:val="0"/>
                    <w:snapToGrid w:val="0"/>
                    <w:spacing w:line="240" w:lineRule="auto"/>
                    <w:ind w:firstLine="0" w:firstLineChars="0"/>
                    <w:jc w:val="center"/>
                    <w:rPr>
                      <w:rFonts w:ascii="Times New Roman" w:hAnsi="Times New Roman"/>
                      <w:color w:val="000000" w:themeColor="text1"/>
                      <w:kern w:val="0"/>
                      <w:sz w:val="21"/>
                      <w14:textFill>
                        <w14:solidFill>
                          <w14:schemeClr w14:val="tx1"/>
                        </w14:solidFill>
                      </w14:textFill>
                    </w:rPr>
                  </w:pPr>
                  <w:r>
                    <w:rPr>
                      <w:rFonts w:hint="eastAsia" w:ascii="Times New Roman" w:hAnsi="Times New Roman"/>
                      <w:color w:val="000000" w:themeColor="text1"/>
                      <w:kern w:val="0"/>
                      <w:sz w:val="21"/>
                      <w14:textFill>
                        <w14:solidFill>
                          <w14:schemeClr w14:val="tx1"/>
                        </w14:solidFill>
                      </w14:textFill>
                    </w:rPr>
                    <w:t>废活性炭</w:t>
                  </w:r>
                </w:p>
              </w:tc>
              <w:tc>
                <w:tcPr>
                  <w:tcW w:w="618" w:type="pct"/>
                  <w:tcBorders>
                    <w:top w:val="single" w:color="auto" w:sz="4" w:space="0"/>
                    <w:left w:val="single" w:color="auto" w:sz="4" w:space="0"/>
                    <w:bottom w:val="single" w:color="auto" w:sz="4" w:space="0"/>
                    <w:right w:val="single" w:color="auto" w:sz="4" w:space="0"/>
                  </w:tcBorders>
                  <w:vAlign w:val="center"/>
                </w:tcPr>
                <w:p w14:paraId="28801D39">
                  <w:pPr>
                    <w:pStyle w:val="12"/>
                    <w:keepLines/>
                    <w:adjustRightInd w:val="0"/>
                    <w:snapToGrid w:val="0"/>
                    <w:spacing w:line="240" w:lineRule="auto"/>
                    <w:ind w:firstLine="0" w:firstLineChars="0"/>
                    <w:jc w:val="center"/>
                    <w:rPr>
                      <w:rFonts w:ascii="Times New Roman" w:hAnsi="Times New Roman"/>
                      <w:color w:val="000000" w:themeColor="text1"/>
                      <w:kern w:val="0"/>
                      <w:sz w:val="21"/>
                      <w14:textFill>
                        <w14:solidFill>
                          <w14:schemeClr w14:val="tx1"/>
                        </w14:solidFill>
                      </w14:textFill>
                    </w:rPr>
                  </w:pPr>
                  <w:r>
                    <w:rPr>
                      <w:rFonts w:hint="eastAsia" w:ascii="Times New Roman" w:hAnsi="Times New Roman"/>
                      <w:color w:val="000000" w:themeColor="text1"/>
                      <w:kern w:val="0"/>
                      <w:sz w:val="21"/>
                      <w14:textFill>
                        <w14:solidFill>
                          <w14:schemeClr w14:val="tx1"/>
                        </w14:solidFill>
                      </w14:textFill>
                    </w:rPr>
                    <w:t>废气处理</w:t>
                  </w:r>
                </w:p>
              </w:tc>
              <w:tc>
                <w:tcPr>
                  <w:tcW w:w="533" w:type="pct"/>
                  <w:tcBorders>
                    <w:left w:val="single" w:color="auto" w:sz="4" w:space="0"/>
                    <w:right w:val="single" w:color="auto" w:sz="4" w:space="0"/>
                  </w:tcBorders>
                  <w:vAlign w:val="center"/>
                </w:tcPr>
                <w:p w14:paraId="41C1F04F">
                  <w:pPr>
                    <w:pStyle w:val="12"/>
                    <w:keepLines/>
                    <w:adjustRightInd w:val="0"/>
                    <w:snapToGrid w:val="0"/>
                    <w:spacing w:line="240" w:lineRule="auto"/>
                    <w:ind w:firstLine="0" w:firstLineChars="0"/>
                    <w:jc w:val="center"/>
                    <w:rPr>
                      <w:rFonts w:ascii="Times New Roman" w:hAnsi="Times New Roman"/>
                      <w:color w:val="000000" w:themeColor="text1"/>
                      <w:kern w:val="0"/>
                      <w:sz w:val="21"/>
                      <w14:textFill>
                        <w14:solidFill>
                          <w14:schemeClr w14:val="tx1"/>
                        </w14:solidFill>
                      </w14:textFill>
                    </w:rPr>
                  </w:pPr>
                  <w:r>
                    <w:rPr>
                      <w:rFonts w:hint="eastAsia" w:ascii="Times New Roman" w:hAnsi="Times New Roman"/>
                      <w:color w:val="000000" w:themeColor="text1"/>
                      <w:kern w:val="0"/>
                      <w:sz w:val="21"/>
                      <w14:textFill>
                        <w14:solidFill>
                          <w14:schemeClr w14:val="tx1"/>
                        </w14:solidFill>
                      </w14:textFill>
                    </w:rPr>
                    <w:t>危险废物</w:t>
                  </w:r>
                </w:p>
              </w:tc>
              <w:tc>
                <w:tcPr>
                  <w:tcW w:w="865" w:type="pct"/>
                  <w:tcBorders>
                    <w:top w:val="single" w:color="auto" w:sz="4" w:space="0"/>
                    <w:left w:val="single" w:color="auto" w:sz="4" w:space="0"/>
                    <w:bottom w:val="single" w:color="auto" w:sz="4" w:space="0"/>
                    <w:right w:val="single" w:color="auto" w:sz="4" w:space="0"/>
                  </w:tcBorders>
                  <w:vAlign w:val="center"/>
                </w:tcPr>
                <w:p w14:paraId="6F142421">
                  <w:pPr>
                    <w:pStyle w:val="12"/>
                    <w:keepLines/>
                    <w:adjustRightInd w:val="0"/>
                    <w:snapToGrid w:val="0"/>
                    <w:spacing w:line="240" w:lineRule="auto"/>
                    <w:ind w:firstLine="0" w:firstLineChars="0"/>
                    <w:jc w:val="center"/>
                    <w:rPr>
                      <w:rFonts w:ascii="Times New Roman" w:hAnsi="Times New Roman"/>
                      <w:color w:val="000000" w:themeColor="text1"/>
                      <w:kern w:val="0"/>
                      <w:sz w:val="21"/>
                      <w14:textFill>
                        <w14:solidFill>
                          <w14:schemeClr w14:val="tx1"/>
                        </w14:solidFill>
                      </w14:textFill>
                    </w:rPr>
                  </w:pPr>
                  <w:r>
                    <w:rPr>
                      <w:rFonts w:hint="eastAsia" w:ascii="Times New Roman" w:hAnsi="Times New Roman"/>
                      <w:color w:val="000000" w:themeColor="text1"/>
                      <w:kern w:val="0"/>
                      <w:sz w:val="21"/>
                      <w14:textFill>
                        <w14:solidFill>
                          <w14:schemeClr w14:val="tx1"/>
                        </w14:solidFill>
                      </w14:textFill>
                    </w:rPr>
                    <w:t>900-039-49</w:t>
                  </w:r>
                </w:p>
              </w:tc>
              <w:tc>
                <w:tcPr>
                  <w:tcW w:w="573" w:type="pct"/>
                  <w:tcBorders>
                    <w:top w:val="single" w:color="auto" w:sz="4" w:space="0"/>
                    <w:left w:val="single" w:color="auto" w:sz="4" w:space="0"/>
                    <w:bottom w:val="single" w:color="auto" w:sz="4" w:space="0"/>
                    <w:right w:val="single" w:color="auto" w:sz="4" w:space="0"/>
                  </w:tcBorders>
                  <w:vAlign w:val="center"/>
                </w:tcPr>
                <w:p w14:paraId="6F0CEB62">
                  <w:pPr>
                    <w:pStyle w:val="12"/>
                    <w:keepLines/>
                    <w:adjustRightInd w:val="0"/>
                    <w:snapToGrid w:val="0"/>
                    <w:spacing w:line="240" w:lineRule="auto"/>
                    <w:ind w:firstLine="0" w:firstLineChars="0"/>
                    <w:jc w:val="center"/>
                    <w:rPr>
                      <w:rFonts w:ascii="Times New Roman" w:hAnsi="Times New Roman"/>
                      <w:color w:val="000000" w:themeColor="text1"/>
                      <w:kern w:val="0"/>
                      <w:sz w:val="21"/>
                      <w14:textFill>
                        <w14:solidFill>
                          <w14:schemeClr w14:val="tx1"/>
                        </w14:solidFill>
                      </w14:textFill>
                    </w:rPr>
                  </w:pPr>
                  <w:r>
                    <w:rPr>
                      <w:rFonts w:hint="eastAsia" w:ascii="Times New Roman" w:hAnsi="Times New Roman"/>
                      <w:color w:val="000000" w:themeColor="text1"/>
                      <w:kern w:val="0"/>
                      <w:sz w:val="21"/>
                      <w14:textFill>
                        <w14:solidFill>
                          <w14:schemeClr w14:val="tx1"/>
                        </w14:solidFill>
                      </w14:textFill>
                    </w:rPr>
                    <w:t>0.4223</w:t>
                  </w:r>
                </w:p>
              </w:tc>
              <w:tc>
                <w:tcPr>
                  <w:tcW w:w="1067" w:type="pct"/>
                  <w:vMerge w:val="continue"/>
                  <w:tcBorders>
                    <w:left w:val="single" w:color="auto" w:sz="4" w:space="0"/>
                    <w:right w:val="single" w:color="auto" w:sz="4" w:space="0"/>
                  </w:tcBorders>
                  <w:vAlign w:val="center"/>
                </w:tcPr>
                <w:p w14:paraId="65FFCB53">
                  <w:pPr>
                    <w:pStyle w:val="12"/>
                    <w:keepLines/>
                    <w:adjustRightInd w:val="0"/>
                    <w:snapToGrid w:val="0"/>
                    <w:spacing w:line="240" w:lineRule="auto"/>
                    <w:ind w:firstLine="0" w:firstLineChars="0"/>
                    <w:jc w:val="center"/>
                    <w:rPr>
                      <w:rFonts w:ascii="Times New Roman" w:hAnsi="Times New Roman"/>
                      <w:kern w:val="0"/>
                      <w:sz w:val="21"/>
                    </w:rPr>
                  </w:pPr>
                </w:p>
              </w:tc>
              <w:tc>
                <w:tcPr>
                  <w:tcW w:w="741" w:type="pct"/>
                  <w:vMerge w:val="continue"/>
                  <w:tcBorders>
                    <w:left w:val="single" w:color="auto" w:sz="4" w:space="0"/>
                    <w:right w:val="single" w:color="auto" w:sz="4" w:space="0"/>
                  </w:tcBorders>
                  <w:vAlign w:val="center"/>
                </w:tcPr>
                <w:p w14:paraId="32CE3E3E">
                  <w:pPr>
                    <w:ind w:firstLine="480"/>
                    <w:jc w:val="center"/>
                    <w:rPr>
                      <w:bCs/>
                      <w:color w:val="000000"/>
                      <w:szCs w:val="21"/>
                    </w:rPr>
                  </w:pPr>
                </w:p>
              </w:tc>
            </w:tr>
            <w:tr w14:paraId="6AC80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600" w:type="pct"/>
                  <w:tcBorders>
                    <w:top w:val="single" w:color="auto" w:sz="4" w:space="0"/>
                    <w:left w:val="single" w:color="auto" w:sz="4" w:space="0"/>
                    <w:bottom w:val="single" w:color="auto" w:sz="4" w:space="0"/>
                    <w:right w:val="single" w:color="auto" w:sz="4" w:space="0"/>
                  </w:tcBorders>
                  <w:vAlign w:val="center"/>
                </w:tcPr>
                <w:p w14:paraId="0E8F4BF2">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废导热油</w:t>
                  </w:r>
                </w:p>
              </w:tc>
              <w:tc>
                <w:tcPr>
                  <w:tcW w:w="618" w:type="pct"/>
                  <w:tcBorders>
                    <w:top w:val="single" w:color="auto" w:sz="4" w:space="0"/>
                    <w:left w:val="single" w:color="auto" w:sz="4" w:space="0"/>
                    <w:bottom w:val="single" w:color="auto" w:sz="4" w:space="0"/>
                    <w:right w:val="single" w:color="auto" w:sz="4" w:space="0"/>
                  </w:tcBorders>
                  <w:vAlign w:val="center"/>
                </w:tcPr>
                <w:p w14:paraId="2FA1C5F1">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更换导热油</w:t>
                  </w:r>
                </w:p>
              </w:tc>
              <w:tc>
                <w:tcPr>
                  <w:tcW w:w="533" w:type="pct"/>
                  <w:tcBorders>
                    <w:left w:val="single" w:color="auto" w:sz="4" w:space="0"/>
                    <w:right w:val="single" w:color="auto" w:sz="4" w:space="0"/>
                  </w:tcBorders>
                  <w:vAlign w:val="center"/>
                </w:tcPr>
                <w:p w14:paraId="5CD6DF34">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危险废物</w:t>
                  </w:r>
                </w:p>
              </w:tc>
              <w:tc>
                <w:tcPr>
                  <w:tcW w:w="865" w:type="pct"/>
                  <w:tcBorders>
                    <w:top w:val="single" w:color="auto" w:sz="4" w:space="0"/>
                    <w:left w:val="single" w:color="auto" w:sz="4" w:space="0"/>
                    <w:bottom w:val="single" w:color="auto" w:sz="4" w:space="0"/>
                    <w:right w:val="single" w:color="auto" w:sz="4" w:space="0"/>
                  </w:tcBorders>
                  <w:vAlign w:val="center"/>
                </w:tcPr>
                <w:p w14:paraId="4FF0CAF2">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900-249-08</w:t>
                  </w:r>
                </w:p>
              </w:tc>
              <w:tc>
                <w:tcPr>
                  <w:tcW w:w="573" w:type="pct"/>
                  <w:tcBorders>
                    <w:top w:val="single" w:color="auto" w:sz="4" w:space="0"/>
                    <w:left w:val="single" w:color="auto" w:sz="4" w:space="0"/>
                    <w:bottom w:val="single" w:color="auto" w:sz="4" w:space="0"/>
                    <w:right w:val="single" w:color="auto" w:sz="4" w:space="0"/>
                  </w:tcBorders>
                  <w:vAlign w:val="center"/>
                </w:tcPr>
                <w:p w14:paraId="663184A2">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1.0</w:t>
                  </w:r>
                </w:p>
              </w:tc>
              <w:tc>
                <w:tcPr>
                  <w:tcW w:w="1067" w:type="pct"/>
                  <w:vMerge w:val="continue"/>
                  <w:tcBorders>
                    <w:left w:val="single" w:color="auto" w:sz="4" w:space="0"/>
                    <w:right w:val="single" w:color="auto" w:sz="4" w:space="0"/>
                  </w:tcBorders>
                  <w:vAlign w:val="center"/>
                </w:tcPr>
                <w:p w14:paraId="4CFD00D6">
                  <w:pPr>
                    <w:pStyle w:val="12"/>
                    <w:keepLines/>
                    <w:adjustRightInd w:val="0"/>
                    <w:snapToGrid w:val="0"/>
                    <w:spacing w:line="240" w:lineRule="auto"/>
                    <w:ind w:firstLine="0" w:firstLineChars="0"/>
                    <w:jc w:val="center"/>
                    <w:rPr>
                      <w:rFonts w:ascii="Times New Roman" w:hAnsi="Times New Roman"/>
                      <w:kern w:val="0"/>
                      <w:sz w:val="21"/>
                    </w:rPr>
                  </w:pPr>
                </w:p>
              </w:tc>
              <w:tc>
                <w:tcPr>
                  <w:tcW w:w="741" w:type="pct"/>
                  <w:vMerge w:val="continue"/>
                  <w:tcBorders>
                    <w:left w:val="single" w:color="auto" w:sz="4" w:space="0"/>
                    <w:right w:val="single" w:color="auto" w:sz="4" w:space="0"/>
                  </w:tcBorders>
                  <w:vAlign w:val="center"/>
                </w:tcPr>
                <w:p w14:paraId="5C6D5B1F">
                  <w:pPr>
                    <w:ind w:firstLine="480"/>
                    <w:jc w:val="center"/>
                    <w:rPr>
                      <w:color w:val="000000"/>
                    </w:rPr>
                  </w:pPr>
                </w:p>
              </w:tc>
            </w:tr>
            <w:tr w14:paraId="5926B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600" w:type="pct"/>
                  <w:tcBorders>
                    <w:top w:val="single" w:color="auto" w:sz="4" w:space="0"/>
                    <w:left w:val="single" w:color="auto" w:sz="4" w:space="0"/>
                    <w:bottom w:val="single" w:color="auto" w:sz="4" w:space="0"/>
                    <w:right w:val="single" w:color="auto" w:sz="4" w:space="0"/>
                  </w:tcBorders>
                  <w:vAlign w:val="center"/>
                </w:tcPr>
                <w:p w14:paraId="46F8E1A9">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废矿物油</w:t>
                  </w:r>
                </w:p>
              </w:tc>
              <w:tc>
                <w:tcPr>
                  <w:tcW w:w="618" w:type="pct"/>
                  <w:tcBorders>
                    <w:top w:val="single" w:color="auto" w:sz="4" w:space="0"/>
                    <w:left w:val="single" w:color="auto" w:sz="4" w:space="0"/>
                    <w:bottom w:val="single" w:color="auto" w:sz="4" w:space="0"/>
                    <w:right w:val="single" w:color="auto" w:sz="4" w:space="0"/>
                  </w:tcBorders>
                  <w:vAlign w:val="center"/>
                </w:tcPr>
                <w:p w14:paraId="24441428">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机修保养</w:t>
                  </w:r>
                </w:p>
              </w:tc>
              <w:tc>
                <w:tcPr>
                  <w:tcW w:w="533" w:type="pct"/>
                  <w:tcBorders>
                    <w:left w:val="single" w:color="auto" w:sz="4" w:space="0"/>
                    <w:right w:val="single" w:color="auto" w:sz="4" w:space="0"/>
                  </w:tcBorders>
                  <w:vAlign w:val="center"/>
                </w:tcPr>
                <w:p w14:paraId="267A01BC">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危险废物</w:t>
                  </w:r>
                </w:p>
              </w:tc>
              <w:tc>
                <w:tcPr>
                  <w:tcW w:w="865" w:type="pct"/>
                  <w:tcBorders>
                    <w:top w:val="single" w:color="auto" w:sz="4" w:space="0"/>
                    <w:left w:val="single" w:color="auto" w:sz="4" w:space="0"/>
                    <w:bottom w:val="single" w:color="auto" w:sz="4" w:space="0"/>
                    <w:right w:val="single" w:color="auto" w:sz="4" w:space="0"/>
                  </w:tcBorders>
                  <w:vAlign w:val="center"/>
                </w:tcPr>
                <w:p w14:paraId="24E06A15">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900-214-08</w:t>
                  </w:r>
                </w:p>
              </w:tc>
              <w:tc>
                <w:tcPr>
                  <w:tcW w:w="573" w:type="pct"/>
                  <w:tcBorders>
                    <w:top w:val="single" w:color="auto" w:sz="4" w:space="0"/>
                    <w:left w:val="single" w:color="auto" w:sz="4" w:space="0"/>
                    <w:bottom w:val="single" w:color="auto" w:sz="4" w:space="0"/>
                    <w:right w:val="single" w:color="auto" w:sz="4" w:space="0"/>
                  </w:tcBorders>
                  <w:vAlign w:val="center"/>
                </w:tcPr>
                <w:p w14:paraId="3BEAEE84">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0.05</w:t>
                  </w:r>
                </w:p>
              </w:tc>
              <w:tc>
                <w:tcPr>
                  <w:tcW w:w="1067" w:type="pct"/>
                  <w:vMerge w:val="continue"/>
                  <w:tcBorders>
                    <w:left w:val="single" w:color="auto" w:sz="4" w:space="0"/>
                    <w:right w:val="single" w:color="auto" w:sz="4" w:space="0"/>
                  </w:tcBorders>
                  <w:vAlign w:val="center"/>
                </w:tcPr>
                <w:p w14:paraId="36A94434">
                  <w:pPr>
                    <w:pStyle w:val="12"/>
                    <w:keepLines/>
                    <w:adjustRightInd w:val="0"/>
                    <w:snapToGrid w:val="0"/>
                    <w:spacing w:line="240" w:lineRule="auto"/>
                    <w:ind w:firstLine="0" w:firstLineChars="0"/>
                    <w:jc w:val="center"/>
                    <w:rPr>
                      <w:rFonts w:ascii="Times New Roman" w:hAnsi="Times New Roman"/>
                      <w:kern w:val="0"/>
                      <w:sz w:val="21"/>
                    </w:rPr>
                  </w:pPr>
                </w:p>
              </w:tc>
              <w:tc>
                <w:tcPr>
                  <w:tcW w:w="741" w:type="pct"/>
                  <w:vMerge w:val="continue"/>
                  <w:tcBorders>
                    <w:left w:val="single" w:color="auto" w:sz="4" w:space="0"/>
                    <w:right w:val="single" w:color="auto" w:sz="4" w:space="0"/>
                  </w:tcBorders>
                  <w:vAlign w:val="center"/>
                </w:tcPr>
                <w:p w14:paraId="237EE60E">
                  <w:pPr>
                    <w:ind w:firstLine="480"/>
                    <w:jc w:val="center"/>
                    <w:rPr>
                      <w:color w:val="000000"/>
                    </w:rPr>
                  </w:pPr>
                </w:p>
              </w:tc>
            </w:tr>
            <w:tr w14:paraId="65790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600" w:type="pct"/>
                  <w:tcBorders>
                    <w:top w:val="single" w:color="auto" w:sz="4" w:space="0"/>
                    <w:left w:val="single" w:color="auto" w:sz="4" w:space="0"/>
                    <w:bottom w:val="single" w:color="auto" w:sz="4" w:space="0"/>
                    <w:right w:val="single" w:color="auto" w:sz="4" w:space="0"/>
                  </w:tcBorders>
                  <w:vAlign w:val="center"/>
                </w:tcPr>
                <w:p w14:paraId="0E8EED19">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废油桶</w:t>
                  </w:r>
                </w:p>
              </w:tc>
              <w:tc>
                <w:tcPr>
                  <w:tcW w:w="618" w:type="pct"/>
                  <w:tcBorders>
                    <w:top w:val="single" w:color="auto" w:sz="4" w:space="0"/>
                    <w:left w:val="single" w:color="auto" w:sz="4" w:space="0"/>
                    <w:bottom w:val="single" w:color="auto" w:sz="4" w:space="0"/>
                    <w:right w:val="single" w:color="auto" w:sz="4" w:space="0"/>
                  </w:tcBorders>
                  <w:vAlign w:val="center"/>
                </w:tcPr>
                <w:p w14:paraId="74C954E1">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机修保养</w:t>
                  </w:r>
                </w:p>
              </w:tc>
              <w:tc>
                <w:tcPr>
                  <w:tcW w:w="533" w:type="pct"/>
                  <w:tcBorders>
                    <w:left w:val="single" w:color="auto" w:sz="4" w:space="0"/>
                    <w:right w:val="single" w:color="auto" w:sz="4" w:space="0"/>
                  </w:tcBorders>
                  <w:vAlign w:val="center"/>
                </w:tcPr>
                <w:p w14:paraId="436E0F33">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危险废物</w:t>
                  </w:r>
                </w:p>
              </w:tc>
              <w:tc>
                <w:tcPr>
                  <w:tcW w:w="865" w:type="pct"/>
                  <w:tcBorders>
                    <w:top w:val="single" w:color="auto" w:sz="4" w:space="0"/>
                    <w:left w:val="single" w:color="auto" w:sz="4" w:space="0"/>
                    <w:bottom w:val="single" w:color="auto" w:sz="4" w:space="0"/>
                    <w:right w:val="single" w:color="auto" w:sz="4" w:space="0"/>
                  </w:tcBorders>
                  <w:vAlign w:val="center"/>
                </w:tcPr>
                <w:p w14:paraId="27EDBBFA">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900-249-08</w:t>
                  </w:r>
                </w:p>
              </w:tc>
              <w:tc>
                <w:tcPr>
                  <w:tcW w:w="573" w:type="pct"/>
                  <w:tcBorders>
                    <w:top w:val="single" w:color="auto" w:sz="4" w:space="0"/>
                    <w:left w:val="single" w:color="auto" w:sz="4" w:space="0"/>
                    <w:bottom w:val="single" w:color="auto" w:sz="4" w:space="0"/>
                    <w:right w:val="single" w:color="auto" w:sz="4" w:space="0"/>
                  </w:tcBorders>
                  <w:vAlign w:val="center"/>
                </w:tcPr>
                <w:p w14:paraId="31D96167">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0.03</w:t>
                  </w:r>
                </w:p>
              </w:tc>
              <w:tc>
                <w:tcPr>
                  <w:tcW w:w="1067" w:type="pct"/>
                  <w:vMerge w:val="continue"/>
                  <w:tcBorders>
                    <w:left w:val="single" w:color="auto" w:sz="4" w:space="0"/>
                    <w:right w:val="single" w:color="auto" w:sz="4" w:space="0"/>
                  </w:tcBorders>
                  <w:vAlign w:val="center"/>
                </w:tcPr>
                <w:p w14:paraId="25520322">
                  <w:pPr>
                    <w:pStyle w:val="12"/>
                    <w:keepLines/>
                    <w:adjustRightInd w:val="0"/>
                    <w:snapToGrid w:val="0"/>
                    <w:spacing w:line="240" w:lineRule="auto"/>
                    <w:ind w:firstLine="0" w:firstLineChars="0"/>
                    <w:jc w:val="center"/>
                    <w:rPr>
                      <w:rFonts w:ascii="Times New Roman" w:hAnsi="Times New Roman"/>
                      <w:kern w:val="0"/>
                      <w:sz w:val="21"/>
                    </w:rPr>
                  </w:pPr>
                </w:p>
              </w:tc>
              <w:tc>
                <w:tcPr>
                  <w:tcW w:w="741" w:type="pct"/>
                  <w:vMerge w:val="continue"/>
                  <w:tcBorders>
                    <w:left w:val="single" w:color="auto" w:sz="4" w:space="0"/>
                    <w:right w:val="single" w:color="auto" w:sz="4" w:space="0"/>
                  </w:tcBorders>
                  <w:vAlign w:val="center"/>
                </w:tcPr>
                <w:p w14:paraId="5284192C">
                  <w:pPr>
                    <w:ind w:firstLine="480"/>
                    <w:jc w:val="center"/>
                    <w:rPr>
                      <w:color w:val="000000"/>
                    </w:rPr>
                  </w:pPr>
                </w:p>
              </w:tc>
            </w:tr>
            <w:tr w14:paraId="78A01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600" w:type="pct"/>
                  <w:tcBorders>
                    <w:top w:val="single" w:color="auto" w:sz="4" w:space="0"/>
                    <w:left w:val="single" w:color="auto" w:sz="4" w:space="0"/>
                    <w:bottom w:val="single" w:color="auto" w:sz="4" w:space="0"/>
                    <w:right w:val="single" w:color="auto" w:sz="4" w:space="0"/>
                  </w:tcBorders>
                  <w:vAlign w:val="center"/>
                </w:tcPr>
                <w:p w14:paraId="501C232D">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废含油抹布、劳保用品</w:t>
                  </w:r>
                </w:p>
              </w:tc>
              <w:tc>
                <w:tcPr>
                  <w:tcW w:w="618" w:type="pct"/>
                  <w:tcBorders>
                    <w:top w:val="single" w:color="auto" w:sz="4" w:space="0"/>
                    <w:left w:val="single" w:color="auto" w:sz="4" w:space="0"/>
                    <w:bottom w:val="single" w:color="auto" w:sz="4" w:space="0"/>
                    <w:right w:val="single" w:color="auto" w:sz="4" w:space="0"/>
                  </w:tcBorders>
                  <w:vAlign w:val="center"/>
                </w:tcPr>
                <w:p w14:paraId="66E3A7FD">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机修保养</w:t>
                  </w:r>
                </w:p>
              </w:tc>
              <w:tc>
                <w:tcPr>
                  <w:tcW w:w="533" w:type="pct"/>
                  <w:tcBorders>
                    <w:left w:val="single" w:color="auto" w:sz="4" w:space="0"/>
                    <w:right w:val="single" w:color="auto" w:sz="4" w:space="0"/>
                  </w:tcBorders>
                  <w:vAlign w:val="center"/>
                </w:tcPr>
                <w:p w14:paraId="44EDA4FD">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危险废物</w:t>
                  </w:r>
                </w:p>
              </w:tc>
              <w:tc>
                <w:tcPr>
                  <w:tcW w:w="865" w:type="pct"/>
                  <w:tcBorders>
                    <w:top w:val="single" w:color="auto" w:sz="4" w:space="0"/>
                    <w:left w:val="single" w:color="auto" w:sz="4" w:space="0"/>
                    <w:bottom w:val="single" w:color="auto" w:sz="4" w:space="0"/>
                    <w:right w:val="single" w:color="auto" w:sz="4" w:space="0"/>
                  </w:tcBorders>
                  <w:vAlign w:val="center"/>
                </w:tcPr>
                <w:p w14:paraId="45F20323">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900-041-49</w:t>
                  </w:r>
                </w:p>
              </w:tc>
              <w:tc>
                <w:tcPr>
                  <w:tcW w:w="573" w:type="pct"/>
                  <w:tcBorders>
                    <w:top w:val="single" w:color="auto" w:sz="4" w:space="0"/>
                    <w:left w:val="single" w:color="auto" w:sz="4" w:space="0"/>
                    <w:bottom w:val="single" w:color="auto" w:sz="4" w:space="0"/>
                    <w:right w:val="single" w:color="auto" w:sz="4" w:space="0"/>
                  </w:tcBorders>
                  <w:vAlign w:val="center"/>
                </w:tcPr>
                <w:p w14:paraId="47B654AE">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0.01</w:t>
                  </w:r>
                </w:p>
              </w:tc>
              <w:tc>
                <w:tcPr>
                  <w:tcW w:w="1067" w:type="pct"/>
                  <w:vMerge w:val="continue"/>
                  <w:tcBorders>
                    <w:left w:val="single" w:color="auto" w:sz="4" w:space="0"/>
                    <w:right w:val="single" w:color="auto" w:sz="4" w:space="0"/>
                  </w:tcBorders>
                  <w:vAlign w:val="center"/>
                </w:tcPr>
                <w:p w14:paraId="033BF29C">
                  <w:pPr>
                    <w:pStyle w:val="12"/>
                    <w:keepLines/>
                    <w:adjustRightInd w:val="0"/>
                    <w:snapToGrid w:val="0"/>
                    <w:spacing w:line="240" w:lineRule="auto"/>
                    <w:ind w:firstLine="0" w:firstLineChars="0"/>
                    <w:jc w:val="center"/>
                    <w:rPr>
                      <w:rFonts w:ascii="Times New Roman" w:hAnsi="Times New Roman"/>
                      <w:kern w:val="0"/>
                      <w:sz w:val="21"/>
                    </w:rPr>
                  </w:pPr>
                </w:p>
              </w:tc>
              <w:tc>
                <w:tcPr>
                  <w:tcW w:w="741" w:type="pct"/>
                  <w:vMerge w:val="continue"/>
                  <w:tcBorders>
                    <w:left w:val="single" w:color="auto" w:sz="4" w:space="0"/>
                    <w:right w:val="single" w:color="auto" w:sz="4" w:space="0"/>
                  </w:tcBorders>
                  <w:vAlign w:val="center"/>
                </w:tcPr>
                <w:p w14:paraId="56E1F03D">
                  <w:pPr>
                    <w:ind w:firstLine="480"/>
                    <w:jc w:val="center"/>
                    <w:rPr>
                      <w:color w:val="000000"/>
                    </w:rPr>
                  </w:pPr>
                </w:p>
              </w:tc>
            </w:tr>
            <w:tr w14:paraId="35699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600" w:type="pct"/>
                  <w:tcBorders>
                    <w:top w:val="single" w:color="auto" w:sz="4" w:space="0"/>
                    <w:left w:val="single" w:color="auto" w:sz="4" w:space="0"/>
                    <w:bottom w:val="single" w:color="auto" w:sz="4" w:space="0"/>
                    <w:right w:val="single" w:color="auto" w:sz="4" w:space="0"/>
                  </w:tcBorders>
                  <w:vAlign w:val="center"/>
                </w:tcPr>
                <w:p w14:paraId="15A4C6C9">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储油罐油泥</w:t>
                  </w:r>
                </w:p>
              </w:tc>
              <w:tc>
                <w:tcPr>
                  <w:tcW w:w="618" w:type="pct"/>
                  <w:tcBorders>
                    <w:top w:val="single" w:color="auto" w:sz="4" w:space="0"/>
                    <w:left w:val="single" w:color="auto" w:sz="4" w:space="0"/>
                    <w:bottom w:val="single" w:color="auto" w:sz="4" w:space="0"/>
                    <w:right w:val="single" w:color="auto" w:sz="4" w:space="0"/>
                  </w:tcBorders>
                  <w:vAlign w:val="center"/>
                </w:tcPr>
                <w:p w14:paraId="14F6FCAD">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柴油存储罐</w:t>
                  </w:r>
                </w:p>
              </w:tc>
              <w:tc>
                <w:tcPr>
                  <w:tcW w:w="533" w:type="pct"/>
                  <w:tcBorders>
                    <w:left w:val="single" w:color="auto" w:sz="4" w:space="0"/>
                    <w:bottom w:val="single" w:color="auto" w:sz="4" w:space="0"/>
                    <w:right w:val="single" w:color="auto" w:sz="4" w:space="0"/>
                  </w:tcBorders>
                  <w:vAlign w:val="center"/>
                </w:tcPr>
                <w:p w14:paraId="22BD101D">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危险废物</w:t>
                  </w:r>
                </w:p>
              </w:tc>
              <w:tc>
                <w:tcPr>
                  <w:tcW w:w="865" w:type="pct"/>
                  <w:tcBorders>
                    <w:top w:val="single" w:color="auto" w:sz="4" w:space="0"/>
                    <w:left w:val="single" w:color="auto" w:sz="4" w:space="0"/>
                    <w:bottom w:val="single" w:color="auto" w:sz="4" w:space="0"/>
                    <w:right w:val="single" w:color="auto" w:sz="4" w:space="0"/>
                  </w:tcBorders>
                  <w:vAlign w:val="center"/>
                </w:tcPr>
                <w:p w14:paraId="058D989C">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900-221-08</w:t>
                  </w:r>
                </w:p>
              </w:tc>
              <w:tc>
                <w:tcPr>
                  <w:tcW w:w="573" w:type="pct"/>
                  <w:tcBorders>
                    <w:top w:val="single" w:color="auto" w:sz="4" w:space="0"/>
                    <w:left w:val="single" w:color="auto" w:sz="4" w:space="0"/>
                    <w:bottom w:val="single" w:color="auto" w:sz="4" w:space="0"/>
                    <w:right w:val="single" w:color="auto" w:sz="4" w:space="0"/>
                  </w:tcBorders>
                  <w:vAlign w:val="center"/>
                </w:tcPr>
                <w:p w14:paraId="5F6C2C87">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0.05</w:t>
                  </w:r>
                </w:p>
              </w:tc>
              <w:tc>
                <w:tcPr>
                  <w:tcW w:w="1067" w:type="pct"/>
                  <w:vMerge w:val="continue"/>
                  <w:tcBorders>
                    <w:left w:val="single" w:color="auto" w:sz="4" w:space="0"/>
                    <w:right w:val="single" w:color="auto" w:sz="4" w:space="0"/>
                  </w:tcBorders>
                  <w:vAlign w:val="center"/>
                </w:tcPr>
                <w:p w14:paraId="6CF88401">
                  <w:pPr>
                    <w:pStyle w:val="12"/>
                    <w:keepLines/>
                    <w:adjustRightInd w:val="0"/>
                    <w:snapToGrid w:val="0"/>
                    <w:spacing w:line="240" w:lineRule="auto"/>
                    <w:ind w:firstLine="0" w:firstLineChars="0"/>
                    <w:jc w:val="center"/>
                    <w:rPr>
                      <w:rFonts w:ascii="Times New Roman" w:hAnsi="Times New Roman"/>
                      <w:kern w:val="0"/>
                      <w:sz w:val="21"/>
                    </w:rPr>
                  </w:pPr>
                </w:p>
              </w:tc>
              <w:tc>
                <w:tcPr>
                  <w:tcW w:w="741" w:type="pct"/>
                  <w:vMerge w:val="continue"/>
                  <w:tcBorders>
                    <w:left w:val="single" w:color="auto" w:sz="4" w:space="0"/>
                    <w:right w:val="single" w:color="auto" w:sz="4" w:space="0"/>
                  </w:tcBorders>
                  <w:vAlign w:val="center"/>
                </w:tcPr>
                <w:p w14:paraId="715575D1">
                  <w:pPr>
                    <w:ind w:firstLine="480"/>
                    <w:jc w:val="center"/>
                    <w:rPr>
                      <w:color w:val="000000"/>
                    </w:rPr>
                  </w:pPr>
                </w:p>
              </w:tc>
            </w:tr>
          </w:tbl>
          <w:p w14:paraId="4781680A">
            <w:pPr>
              <w:ind w:firstLine="482"/>
            </w:pPr>
            <w:r>
              <w:rPr>
                <w:rFonts w:hint="eastAsia"/>
                <w:b/>
                <w:bCs/>
              </w:rPr>
              <w:t>2、固废管理要求</w:t>
            </w:r>
          </w:p>
          <w:p w14:paraId="62FB5782">
            <w:pPr>
              <w:ind w:firstLine="482"/>
              <w:rPr>
                <w:b/>
                <w:bCs/>
              </w:rPr>
            </w:pPr>
            <w:r>
              <w:rPr>
                <w:rFonts w:hint="eastAsia"/>
                <w:b/>
                <w:bCs/>
              </w:rPr>
              <w:t>（1）一般固废</w:t>
            </w:r>
          </w:p>
          <w:p w14:paraId="3FF2ECF9">
            <w:pPr>
              <w:ind w:firstLine="480"/>
            </w:pPr>
            <w:r>
              <w:rPr>
                <w:rFonts w:hint="eastAsia"/>
              </w:rPr>
              <w:t>项目产生的布袋除尘器收尘灰回用于生产，废布袋由更换上带走处理，生活垃圾委托环卫部门清运，污泥委托环卫部门清掏、清运，建设单位在回用、更换和清掏清运过程中做好台账记录。</w:t>
            </w:r>
          </w:p>
          <w:p w14:paraId="70122E18">
            <w:pPr>
              <w:ind w:firstLine="482"/>
              <w:rPr>
                <w:b/>
                <w:bCs/>
              </w:rPr>
            </w:pPr>
            <w:r>
              <w:rPr>
                <w:rFonts w:hint="eastAsia"/>
                <w:b/>
                <w:bCs/>
              </w:rPr>
              <w:t>（2）危险废物</w:t>
            </w:r>
          </w:p>
          <w:p w14:paraId="69E09A39">
            <w:pPr>
              <w:ind w:firstLine="480"/>
              <w:rPr>
                <w:bCs/>
                <w:color w:val="000000"/>
              </w:rPr>
            </w:pPr>
            <w:r>
              <w:rPr>
                <w:rFonts w:hint="eastAsia"/>
                <w:color w:val="000000"/>
                <w:kern w:val="0"/>
              </w:rPr>
              <w:t>项目拟建一间危废暂存间，面积约10m</w:t>
            </w:r>
            <w:r>
              <w:rPr>
                <w:rFonts w:hint="eastAsia"/>
                <w:color w:val="000000"/>
                <w:kern w:val="0"/>
                <w:vertAlign w:val="superscript"/>
              </w:rPr>
              <w:t>2</w:t>
            </w:r>
            <w:r>
              <w:rPr>
                <w:rFonts w:hint="eastAsia"/>
                <w:color w:val="000000"/>
                <w:kern w:val="0"/>
              </w:rPr>
              <w:t>。</w:t>
            </w:r>
            <w:r>
              <w:rPr>
                <w:rFonts w:hint="eastAsia"/>
                <w:bCs/>
                <w:color w:val="000000"/>
              </w:rPr>
              <w:t>根据《危险废物贮存污染控制标准》（GB18597-2023）中有关规定，并结合本项目危险废物的特点，对危废间要求如下：</w:t>
            </w:r>
          </w:p>
          <w:p w14:paraId="74DE5598">
            <w:pPr>
              <w:pStyle w:val="72"/>
              <w:adjustRightInd w:val="0"/>
              <w:snapToGrid w:val="0"/>
              <w:ind w:firstLine="482"/>
              <w:rPr>
                <w:b/>
                <w:color w:val="000000"/>
              </w:rPr>
            </w:pPr>
            <w:r>
              <w:rPr>
                <w:rFonts w:hint="eastAsia"/>
                <w:b/>
                <w:color w:val="000000"/>
              </w:rPr>
              <w:t>1）建设要求：</w:t>
            </w:r>
          </w:p>
          <w:p w14:paraId="0D20C340">
            <w:pPr>
              <w:pStyle w:val="72"/>
              <w:adjustRightInd w:val="0"/>
              <w:snapToGrid w:val="0"/>
              <w:ind w:firstLine="480"/>
              <w:rPr>
                <w:bCs/>
                <w:color w:val="000000"/>
              </w:rPr>
            </w:pPr>
            <w:r>
              <w:rPr>
                <w:rFonts w:hint="eastAsia"/>
                <w:bCs/>
                <w:color w:val="000000"/>
              </w:rPr>
              <w:t>①危废暂存间应根据危险废物的形态、物理化学性质、包装形式和污染物迁移途径，采取必要的防风、防晒、防雨、防漏、防渗、防腐以及其他环境污染防治措施，不应露天堆放危险废物。</w:t>
            </w:r>
          </w:p>
          <w:p w14:paraId="0FA3B135">
            <w:pPr>
              <w:pStyle w:val="72"/>
              <w:adjustRightInd w:val="0"/>
              <w:snapToGrid w:val="0"/>
              <w:ind w:firstLine="480"/>
              <w:rPr>
                <w:bCs/>
                <w:color w:val="000000"/>
              </w:rPr>
            </w:pPr>
            <w:r>
              <w:rPr>
                <w:rFonts w:hint="eastAsia"/>
                <w:bCs/>
                <w:color w:val="000000"/>
              </w:rPr>
              <w:t>②危废暂存间应根据危险废物的类别、数量、形态、物理化学性质和污染防治等要求设置必要的贮存分区，避免不相容的危险废物接触、混合。</w:t>
            </w:r>
          </w:p>
          <w:p w14:paraId="051CF284">
            <w:pPr>
              <w:pStyle w:val="72"/>
              <w:adjustRightInd w:val="0"/>
              <w:snapToGrid w:val="0"/>
              <w:ind w:firstLine="480"/>
              <w:rPr>
                <w:bCs/>
                <w:color w:val="000000"/>
              </w:rPr>
            </w:pPr>
            <w:r>
              <w:rPr>
                <w:rFonts w:hint="eastAsia"/>
                <w:bCs/>
                <w:color w:val="000000"/>
              </w:rPr>
              <w:t>③危废暂存间或贮存分区内地面、墙面裙脚、堵截泄漏的围堰、接触危险废物的隔板和墙体等应采用坚固的材料建造，表面无裂缝。</w:t>
            </w:r>
          </w:p>
          <w:p w14:paraId="695EF74A">
            <w:pPr>
              <w:pStyle w:val="72"/>
              <w:adjustRightInd w:val="0"/>
              <w:snapToGrid w:val="0"/>
              <w:ind w:firstLine="480"/>
              <w:rPr>
                <w:bCs/>
                <w:color w:val="000000"/>
              </w:rPr>
            </w:pPr>
            <w:r>
              <w:rPr>
                <w:rFonts w:hint="eastAsia"/>
                <w:bCs/>
                <w:color w:val="000000"/>
              </w:rPr>
              <w:t>④危废暂存间地面与裙脚应采取表面防渗措施；表面防渗材料应与所接触的物料或污染物相容，可采用抗渗混凝土、高密度聚乙烯膜、钠基膨润土防水毯或其他防渗性能等效的材料。贮存的危险废物直接接触地面的，还应进行基础防渗，防渗层为至少1m厚黏土层（渗透系数不大于10</w:t>
            </w:r>
            <w:r>
              <w:rPr>
                <w:rFonts w:hint="eastAsia"/>
                <w:bCs/>
                <w:color w:val="000000"/>
                <w:vertAlign w:val="superscript"/>
              </w:rPr>
              <w:t>-7</w:t>
            </w:r>
            <w:r>
              <w:rPr>
                <w:rFonts w:hint="eastAsia"/>
                <w:bCs/>
                <w:color w:val="000000"/>
              </w:rPr>
              <w:t>cm/s），或至少2mm 厚高密度聚乙烯膜等人工防渗材料（渗透系数不大于10</w:t>
            </w:r>
            <w:r>
              <w:rPr>
                <w:rFonts w:hint="eastAsia"/>
                <w:bCs/>
                <w:color w:val="000000"/>
                <w:vertAlign w:val="superscript"/>
              </w:rPr>
              <w:t>-10</w:t>
            </w:r>
            <w:r>
              <w:rPr>
                <w:rFonts w:hint="eastAsia"/>
                <w:bCs/>
                <w:color w:val="000000"/>
              </w:rPr>
              <w:t>cm/s），或其他防渗性能等效的材料。</w:t>
            </w:r>
          </w:p>
          <w:p w14:paraId="0AE68E67">
            <w:pPr>
              <w:pStyle w:val="72"/>
              <w:adjustRightInd w:val="0"/>
              <w:snapToGrid w:val="0"/>
              <w:ind w:firstLine="480"/>
              <w:rPr>
                <w:bCs/>
                <w:color w:val="000000"/>
              </w:rPr>
            </w:pPr>
            <w:r>
              <w:rPr>
                <w:rFonts w:hint="eastAsia"/>
                <w:bCs/>
                <w:color w:val="000000"/>
              </w:rPr>
              <w:t>⑤同一危废暂存间宜采用相同的防渗、防腐工艺（包括防渗、防腐结构或材料），防渗、防腐材料应覆盖所有可能与废物及其渗滤液、渗漏液等接触的构筑物表面；采用不同防渗、防腐工艺应分别建设贮存分区。</w:t>
            </w:r>
          </w:p>
          <w:p w14:paraId="0ACA008A">
            <w:pPr>
              <w:pStyle w:val="72"/>
              <w:adjustRightInd w:val="0"/>
              <w:snapToGrid w:val="0"/>
              <w:ind w:firstLine="482"/>
              <w:rPr>
                <w:b/>
                <w:color w:val="000000"/>
              </w:rPr>
            </w:pPr>
            <w:r>
              <w:rPr>
                <w:rFonts w:hint="eastAsia"/>
                <w:b/>
                <w:color w:val="000000"/>
              </w:rPr>
              <w:t>2）贮存设施运行环境管理要求：</w:t>
            </w:r>
          </w:p>
          <w:p w14:paraId="3C00CCEE">
            <w:pPr>
              <w:pStyle w:val="72"/>
              <w:adjustRightInd w:val="0"/>
              <w:snapToGrid w:val="0"/>
              <w:ind w:firstLine="480"/>
              <w:rPr>
                <w:bCs/>
                <w:color w:val="000000"/>
              </w:rPr>
            </w:pPr>
            <w:r>
              <w:rPr>
                <w:rFonts w:hint="eastAsia"/>
                <w:bCs/>
                <w:color w:val="000000"/>
              </w:rPr>
              <w:t>①危险废物存入危废暂存间前应对危险废物类别和特性与危险废物标签等危险废物识别标志的一致性进行核验，不一致的或类别、特性不明的不应存入。</w:t>
            </w:r>
          </w:p>
          <w:p w14:paraId="24ABBDDD">
            <w:pPr>
              <w:pStyle w:val="72"/>
              <w:adjustRightInd w:val="0"/>
              <w:snapToGrid w:val="0"/>
              <w:ind w:firstLine="480"/>
              <w:rPr>
                <w:bCs/>
                <w:color w:val="000000"/>
              </w:rPr>
            </w:pPr>
            <w:r>
              <w:rPr>
                <w:rFonts w:hint="eastAsia"/>
                <w:bCs/>
                <w:color w:val="000000"/>
              </w:rPr>
              <w:t>②应定期检查危险废物的贮存状况，及时清理贮存设施地面，更换破损泄漏的危险废物贮存容器和包装物，保证堆存危险废物的防雨、防风、防扬尘等设施功能完好。</w:t>
            </w:r>
          </w:p>
          <w:p w14:paraId="0467A7DD">
            <w:pPr>
              <w:pStyle w:val="72"/>
              <w:adjustRightInd w:val="0"/>
              <w:snapToGrid w:val="0"/>
              <w:ind w:firstLine="480"/>
              <w:rPr>
                <w:color w:val="000000"/>
              </w:rPr>
            </w:pPr>
            <w:r>
              <w:rPr>
                <w:rFonts w:hint="eastAsia"/>
                <w:bCs/>
                <w:color w:val="000000"/>
              </w:rPr>
              <w:t>③</w:t>
            </w:r>
            <w:r>
              <w:rPr>
                <w:rFonts w:hint="eastAsia"/>
                <w:color w:val="000000"/>
              </w:rPr>
              <w:t>危废暂存间</w:t>
            </w:r>
            <w:r>
              <w:rPr>
                <w:rFonts w:hint="eastAsia"/>
                <w:bCs/>
                <w:color w:val="000000"/>
              </w:rPr>
              <w:t>运行期间，应按国家有关标准和规定建立危险废物管理台账并保存。</w:t>
            </w:r>
          </w:p>
          <w:p w14:paraId="228B9D0E">
            <w:pPr>
              <w:pStyle w:val="72"/>
              <w:adjustRightInd w:val="0"/>
              <w:snapToGrid w:val="0"/>
              <w:ind w:firstLine="480"/>
              <w:rPr>
                <w:bCs/>
                <w:color w:val="000000"/>
              </w:rPr>
            </w:pPr>
            <w:r>
              <w:rPr>
                <w:rFonts w:hint="eastAsia"/>
                <w:bCs/>
                <w:color w:val="000000"/>
              </w:rPr>
              <w:t>④</w:t>
            </w:r>
            <w:r>
              <w:rPr>
                <w:rFonts w:hint="eastAsia"/>
                <w:color w:val="000000"/>
              </w:rPr>
              <w:t>危废暂存间</w:t>
            </w:r>
            <w:r>
              <w:rPr>
                <w:rFonts w:hint="eastAsia"/>
                <w:bCs/>
                <w:color w:val="000000"/>
              </w:rPr>
              <w:t>所有者或运营者应建立贮存设施环境管理制度、管理人员岗位职责制度、设施运行操作制度、人员岗位培训制度等。</w:t>
            </w:r>
          </w:p>
          <w:p w14:paraId="4CDF1CB4">
            <w:pPr>
              <w:pStyle w:val="72"/>
              <w:adjustRightInd w:val="0"/>
              <w:snapToGrid w:val="0"/>
              <w:ind w:firstLine="480"/>
              <w:rPr>
                <w:bCs/>
                <w:color w:val="000000"/>
              </w:rPr>
            </w:pPr>
            <w:r>
              <w:rPr>
                <w:rFonts w:hint="eastAsia"/>
                <w:bCs/>
                <w:color w:val="000000"/>
              </w:rPr>
              <w:t>⑤</w:t>
            </w:r>
            <w:r>
              <w:rPr>
                <w:rFonts w:hint="eastAsia"/>
                <w:color w:val="000000"/>
              </w:rPr>
              <w:t>危废暂存间</w:t>
            </w:r>
            <w:r>
              <w:rPr>
                <w:rFonts w:hint="eastAsia"/>
                <w:bCs/>
                <w:color w:val="000000"/>
              </w:rPr>
              <w:t>所有者或运营者应依据国家土壤和地下水污染防治的有关规定，结合</w:t>
            </w:r>
            <w:r>
              <w:rPr>
                <w:rFonts w:hint="eastAsia"/>
                <w:color w:val="000000"/>
              </w:rPr>
              <w:t>危废暂存间</w:t>
            </w:r>
            <w:r>
              <w:rPr>
                <w:rFonts w:hint="eastAsia"/>
                <w:bCs/>
                <w:color w:val="000000"/>
              </w:rPr>
              <w:t>特点建立土壤和地下水污染隐患排查制度，并定期开展隐患排查；发现隐患应及时采取措施消除隐患，并建立档案。</w:t>
            </w:r>
          </w:p>
          <w:p w14:paraId="38DF9BF0">
            <w:pPr>
              <w:pStyle w:val="72"/>
              <w:adjustRightInd w:val="0"/>
              <w:snapToGrid w:val="0"/>
              <w:ind w:firstLine="480"/>
              <w:rPr>
                <w:bCs/>
                <w:color w:val="000000"/>
              </w:rPr>
            </w:pPr>
            <w:r>
              <w:rPr>
                <w:rFonts w:hint="eastAsia"/>
                <w:bCs/>
                <w:color w:val="000000"/>
              </w:rPr>
              <w:t>⑥</w:t>
            </w:r>
            <w:r>
              <w:rPr>
                <w:rFonts w:hint="eastAsia"/>
                <w:color w:val="000000"/>
              </w:rPr>
              <w:t>危废暂存间</w:t>
            </w:r>
            <w:r>
              <w:rPr>
                <w:rFonts w:hint="eastAsia"/>
                <w:bCs/>
                <w:color w:val="000000"/>
              </w:rPr>
              <w:t>所有者或运营者应建立</w:t>
            </w:r>
            <w:r>
              <w:rPr>
                <w:rFonts w:hint="eastAsia"/>
                <w:color w:val="000000"/>
              </w:rPr>
              <w:t>危废暂存间</w:t>
            </w:r>
            <w:r>
              <w:rPr>
                <w:rFonts w:hint="eastAsia"/>
                <w:bCs/>
                <w:color w:val="000000"/>
              </w:rPr>
              <w:t>全部档案，包括设计、施工、验收、运行、监测和环境应急等，应按国家有关档案管理的法律法规进行整理和归档。</w:t>
            </w:r>
          </w:p>
          <w:p w14:paraId="4D344FC4">
            <w:pPr>
              <w:ind w:firstLine="482"/>
              <w:rPr>
                <w:b/>
                <w:color w:val="000000"/>
                <w:kern w:val="0"/>
              </w:rPr>
            </w:pPr>
            <w:r>
              <w:rPr>
                <w:rFonts w:hint="eastAsia"/>
                <w:b/>
                <w:color w:val="000000"/>
                <w:kern w:val="0"/>
              </w:rPr>
              <w:t>3）其他要求</w:t>
            </w:r>
          </w:p>
          <w:p w14:paraId="428C9D7F">
            <w:pPr>
              <w:ind w:firstLine="480"/>
              <w:rPr>
                <w:color w:val="000000"/>
                <w:kern w:val="0"/>
              </w:rPr>
            </w:pPr>
            <w:r>
              <w:rPr>
                <w:rFonts w:hint="eastAsia"/>
                <w:bCs/>
                <w:color w:val="000000"/>
              </w:rPr>
              <w:t>①</w:t>
            </w:r>
            <w:r>
              <w:rPr>
                <w:rFonts w:hint="eastAsia"/>
                <w:color w:val="000000"/>
                <w:kern w:val="0"/>
              </w:rPr>
              <w:t>贮存设施或场所、容器和包装物应按《危险废物识别标志设置技术规范》（HJ 1276-2022）要求设置危险废物贮存设施或场所标志、危险废物贮存分区标志和危险废物标签等危险废物识别标志。</w:t>
            </w:r>
          </w:p>
          <w:p w14:paraId="0906006F">
            <w:pPr>
              <w:ind w:firstLine="480"/>
              <w:rPr>
                <w:color w:val="000000"/>
                <w:kern w:val="0"/>
              </w:rPr>
            </w:pPr>
            <w:r>
              <w:rPr>
                <w:rFonts w:hint="eastAsia"/>
                <w:bCs/>
                <w:color w:val="000000"/>
              </w:rPr>
              <w:t>②</w:t>
            </w:r>
            <w:r>
              <w:rPr>
                <w:rFonts w:hint="eastAsia"/>
                <w:color w:val="000000"/>
                <w:kern w:val="0"/>
              </w:rPr>
              <w:t>危险废物的转移、运输，必须严格按照《中华人民共和国固体废物污染</w:t>
            </w:r>
          </w:p>
          <w:p w14:paraId="4E67A722">
            <w:pPr>
              <w:ind w:firstLine="480"/>
              <w:rPr>
                <w:color w:val="000000"/>
                <w:kern w:val="0"/>
              </w:rPr>
            </w:pPr>
            <w:r>
              <w:rPr>
                <w:rFonts w:hint="eastAsia"/>
                <w:color w:val="000000"/>
                <w:kern w:val="0"/>
              </w:rPr>
              <w:t>环境防治法》和《危险废物转移管理办法》（部令第23号）的规定，执行危险废物转移联单制度；任何单位和个人不得接受无转移联单的危险废物。危险废物的转移必须到环保部门办理交换转移审批手续，批准后方可实施，转进转出危险废物均应按照《危险废物转移管理办法》（部令第23号）要求填写转移联单。</w:t>
            </w:r>
          </w:p>
          <w:p w14:paraId="0C99B7D8">
            <w:pPr>
              <w:ind w:firstLine="480"/>
              <w:rPr>
                <w:color w:val="000000"/>
                <w:kern w:val="0"/>
              </w:rPr>
            </w:pPr>
            <w:r>
              <w:rPr>
                <w:rFonts w:hint="eastAsia"/>
                <w:bCs/>
                <w:color w:val="000000"/>
              </w:rPr>
              <w:t>③</w:t>
            </w:r>
            <w:r>
              <w:rPr>
                <w:rFonts w:hint="eastAsia"/>
                <w:color w:val="000000"/>
                <w:kern w:val="0"/>
              </w:rPr>
              <w:t>选择具有资质处置利用能力和《危险废物经营许可证》的单位，确保不造成新的环境污染。对危险废物必须分类收集处置，禁止将危险废物混入一般废物收集、贮存、运输和处置。</w:t>
            </w:r>
          </w:p>
          <w:p w14:paraId="4F39AC87">
            <w:pPr>
              <w:ind w:firstLine="480"/>
            </w:pPr>
            <w:r>
              <w:rPr>
                <w:color w:val="000000"/>
              </w:rPr>
              <w:t>综上，通过加强管理，固废处置率</w:t>
            </w:r>
            <w:r>
              <w:rPr>
                <w:rFonts w:hint="eastAsia"/>
                <w:color w:val="000000"/>
              </w:rPr>
              <w:t>100%</w:t>
            </w:r>
            <w:r>
              <w:rPr>
                <w:color w:val="000000"/>
              </w:rPr>
              <w:t>，对周边环境影响不大。</w:t>
            </w:r>
          </w:p>
          <w:p w14:paraId="76E7EB7E">
            <w:pPr>
              <w:ind w:firstLine="0" w:firstLineChars="0"/>
              <w:rPr>
                <w:b/>
                <w:bCs/>
              </w:rPr>
            </w:pPr>
            <w:r>
              <w:rPr>
                <w:rFonts w:hint="eastAsia"/>
                <w:b/>
                <w:bCs/>
              </w:rPr>
              <w:t>五、地下水环境</w:t>
            </w:r>
          </w:p>
          <w:p w14:paraId="1799D5F6">
            <w:pPr>
              <w:ind w:firstLine="482"/>
              <w:rPr>
                <w:b/>
                <w:bCs/>
              </w:rPr>
            </w:pPr>
            <w:r>
              <w:rPr>
                <w:rFonts w:hint="eastAsia"/>
                <w:b/>
                <w:bCs/>
              </w:rPr>
              <w:t>1、污染物类型及污染途径</w:t>
            </w:r>
          </w:p>
          <w:p w14:paraId="07C3088F">
            <w:pPr>
              <w:ind w:firstLine="480"/>
            </w:pPr>
            <w:r>
              <w:rPr>
                <w:rFonts w:hint="eastAsia"/>
              </w:rPr>
              <w:t>本项目为沥青混凝土生产，运行过程中设备维护、检修等过程中会产生少量废机油，生产过程设有沥青储罐和柴油储罐，如油品及沥青泄漏会对地下水造成环境影响。</w:t>
            </w:r>
          </w:p>
          <w:p w14:paraId="676DF9ED">
            <w:pPr>
              <w:ind w:firstLine="482"/>
              <w:rPr>
                <w:b/>
                <w:bCs/>
              </w:rPr>
            </w:pPr>
            <w:r>
              <w:rPr>
                <w:rFonts w:hint="eastAsia"/>
                <w:b/>
                <w:bCs/>
              </w:rPr>
              <w:t>2、防控措施</w:t>
            </w:r>
          </w:p>
          <w:p w14:paraId="78A90386">
            <w:pPr>
              <w:ind w:firstLine="480"/>
            </w:pPr>
            <w:r>
              <w:rPr>
                <w:rFonts w:hint="eastAsia"/>
              </w:rPr>
              <w:t>根据《环境影响评价技术导则 地下水环境》（HJ610-2016），根据项目装置、单元特点及污染控制难易程度，项目区可划分为重点防渗区、一般防渗区和简单防渗区，危险废物贮存设施、沥青储罐区、导热油炉和柴油储罐区进行重点防渗，渗透系数≤1.0×10</w:t>
            </w:r>
            <w:r>
              <w:rPr>
                <w:rFonts w:hint="eastAsia"/>
                <w:vertAlign w:val="superscript"/>
              </w:rPr>
              <w:t>-10</w:t>
            </w:r>
            <w:r>
              <w:rPr>
                <w:rFonts w:hint="eastAsia"/>
              </w:rPr>
              <w:t>cm/s；化粪池、车轮清洗池、初期雨水收集池、污水处理区为一般防渗，渗透系数≤1.0×10</w:t>
            </w:r>
            <w:r>
              <w:rPr>
                <w:rFonts w:hint="eastAsia"/>
                <w:vertAlign w:val="superscript"/>
              </w:rPr>
              <w:t>-7</w:t>
            </w:r>
            <w:r>
              <w:rPr>
                <w:rFonts w:hint="eastAsia"/>
              </w:rPr>
              <w:t>cm/s，其他区域作为简单防渗区进行地面硬化处理。分区防治要求如下：</w:t>
            </w:r>
          </w:p>
          <w:p w14:paraId="12F0E404">
            <w:pPr>
              <w:ind w:firstLine="422"/>
              <w:jc w:val="center"/>
              <w:rPr>
                <w:b/>
                <w:bCs/>
                <w:sz w:val="21"/>
                <w:szCs w:val="21"/>
              </w:rPr>
            </w:pPr>
            <w:r>
              <w:rPr>
                <w:rFonts w:hint="eastAsia"/>
                <w:b/>
                <w:bCs/>
                <w:sz w:val="21"/>
                <w:szCs w:val="21"/>
              </w:rPr>
              <w:t>表4-9  项目分区防渗表</w:t>
            </w:r>
          </w:p>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0"/>
              <w:gridCol w:w="2146"/>
              <w:gridCol w:w="5094"/>
            </w:tblGrid>
            <w:tr w14:paraId="0E336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685" w:type="pct"/>
                  <w:noWrap/>
                  <w:vAlign w:val="center"/>
                </w:tcPr>
                <w:p w14:paraId="7B42385D">
                  <w:pPr>
                    <w:pStyle w:val="12"/>
                    <w:keepLines/>
                    <w:adjustRightInd w:val="0"/>
                    <w:snapToGrid w:val="0"/>
                    <w:spacing w:line="240" w:lineRule="auto"/>
                    <w:ind w:firstLine="0" w:firstLineChars="0"/>
                    <w:jc w:val="center"/>
                    <w:rPr>
                      <w:rFonts w:ascii="Times New Roman" w:hAnsi="Times New Roman"/>
                      <w:b/>
                      <w:bCs/>
                      <w:kern w:val="0"/>
                      <w:sz w:val="21"/>
                    </w:rPr>
                  </w:pPr>
                  <w:r>
                    <w:rPr>
                      <w:rFonts w:ascii="Times New Roman" w:hAnsi="Times New Roman"/>
                      <w:b/>
                      <w:bCs/>
                      <w:kern w:val="0"/>
                      <w:sz w:val="21"/>
                    </w:rPr>
                    <w:t>防渗分区</w:t>
                  </w:r>
                </w:p>
              </w:tc>
              <w:tc>
                <w:tcPr>
                  <w:tcW w:w="1278" w:type="pct"/>
                  <w:noWrap/>
                  <w:vAlign w:val="center"/>
                </w:tcPr>
                <w:p w14:paraId="5DC0A63F">
                  <w:pPr>
                    <w:pStyle w:val="12"/>
                    <w:keepLines/>
                    <w:adjustRightInd w:val="0"/>
                    <w:snapToGrid w:val="0"/>
                    <w:spacing w:line="240" w:lineRule="auto"/>
                    <w:ind w:firstLine="0" w:firstLineChars="0"/>
                    <w:jc w:val="center"/>
                    <w:rPr>
                      <w:rFonts w:ascii="Times New Roman" w:hAnsi="Times New Roman"/>
                      <w:b/>
                      <w:bCs/>
                      <w:kern w:val="0"/>
                      <w:sz w:val="21"/>
                    </w:rPr>
                  </w:pPr>
                  <w:r>
                    <w:rPr>
                      <w:rFonts w:ascii="Times New Roman" w:hAnsi="Times New Roman"/>
                      <w:b/>
                      <w:bCs/>
                      <w:kern w:val="0"/>
                      <w:sz w:val="21"/>
                    </w:rPr>
                    <w:t>厂内分区</w:t>
                  </w:r>
                </w:p>
              </w:tc>
              <w:tc>
                <w:tcPr>
                  <w:tcW w:w="3035" w:type="pct"/>
                  <w:noWrap/>
                  <w:vAlign w:val="center"/>
                </w:tcPr>
                <w:p w14:paraId="0832457C">
                  <w:pPr>
                    <w:pStyle w:val="12"/>
                    <w:keepLines/>
                    <w:adjustRightInd w:val="0"/>
                    <w:snapToGrid w:val="0"/>
                    <w:spacing w:line="240" w:lineRule="auto"/>
                    <w:ind w:firstLine="0" w:firstLineChars="0"/>
                    <w:jc w:val="center"/>
                    <w:rPr>
                      <w:rFonts w:ascii="Times New Roman" w:hAnsi="Times New Roman"/>
                      <w:b/>
                      <w:bCs/>
                      <w:kern w:val="0"/>
                      <w:sz w:val="21"/>
                    </w:rPr>
                  </w:pPr>
                  <w:r>
                    <w:rPr>
                      <w:rFonts w:ascii="Times New Roman" w:hAnsi="Times New Roman"/>
                      <w:b/>
                      <w:bCs/>
                      <w:kern w:val="0"/>
                      <w:sz w:val="21"/>
                    </w:rPr>
                    <w:t>防渗技术要求</w:t>
                  </w:r>
                </w:p>
              </w:tc>
            </w:tr>
            <w:tr w14:paraId="73116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6" w:hRule="atLeast"/>
              </w:trPr>
              <w:tc>
                <w:tcPr>
                  <w:tcW w:w="685" w:type="pct"/>
                  <w:noWrap/>
                  <w:vAlign w:val="center"/>
                </w:tcPr>
                <w:p w14:paraId="5D3D4DFC">
                  <w:pPr>
                    <w:pStyle w:val="12"/>
                    <w:keepLines/>
                    <w:adjustRightInd w:val="0"/>
                    <w:snapToGrid w:val="0"/>
                    <w:spacing w:line="240" w:lineRule="auto"/>
                    <w:ind w:firstLine="0" w:firstLineChars="0"/>
                    <w:jc w:val="center"/>
                    <w:rPr>
                      <w:rFonts w:ascii="Times New Roman" w:hAnsi="Times New Roman"/>
                      <w:kern w:val="0"/>
                      <w:sz w:val="21"/>
                    </w:rPr>
                  </w:pPr>
                  <w:r>
                    <w:rPr>
                      <w:rFonts w:ascii="Times New Roman" w:hAnsi="Times New Roman"/>
                      <w:kern w:val="0"/>
                      <w:sz w:val="21"/>
                    </w:rPr>
                    <w:t>重点防渗区</w:t>
                  </w:r>
                </w:p>
              </w:tc>
              <w:tc>
                <w:tcPr>
                  <w:tcW w:w="1278" w:type="pct"/>
                  <w:noWrap/>
                  <w:vAlign w:val="center"/>
                </w:tcPr>
                <w:p w14:paraId="1F58C151">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危险废物暂存间、储罐区</w:t>
                  </w:r>
                </w:p>
              </w:tc>
              <w:tc>
                <w:tcPr>
                  <w:tcW w:w="3035" w:type="pct"/>
                  <w:noWrap/>
                  <w:vAlign w:val="center"/>
                </w:tcPr>
                <w:p w14:paraId="41E981E3">
                  <w:pPr>
                    <w:pStyle w:val="12"/>
                    <w:keepLines/>
                    <w:adjustRightInd w:val="0"/>
                    <w:snapToGrid w:val="0"/>
                    <w:spacing w:line="240" w:lineRule="auto"/>
                    <w:ind w:firstLine="0" w:firstLineChars="0"/>
                    <w:jc w:val="center"/>
                    <w:rPr>
                      <w:rFonts w:ascii="Times New Roman" w:hAnsi="Times New Roman"/>
                      <w:kern w:val="0"/>
                      <w:sz w:val="21"/>
                    </w:rPr>
                  </w:pPr>
                  <w:r>
                    <w:rPr>
                      <w:rFonts w:ascii="Times New Roman" w:hAnsi="Times New Roman"/>
                      <w:kern w:val="0"/>
                      <w:sz w:val="21"/>
                    </w:rPr>
                    <w:t>危险废物暂存间按照《危险废物贮存污染控制标准》（GB18597-2023）要求防渗，</w:t>
                  </w:r>
                  <w:r>
                    <w:rPr>
                      <w:rFonts w:hint="eastAsia" w:ascii="Times New Roman" w:hAnsi="Times New Roman"/>
                      <w:kern w:val="0"/>
                      <w:sz w:val="21"/>
                    </w:rPr>
                    <w:t>防渗要求为</w:t>
                  </w:r>
                  <w:r>
                    <w:rPr>
                      <w:rFonts w:ascii="Times New Roman" w:hAnsi="Times New Roman"/>
                      <w:kern w:val="0"/>
                      <w:sz w:val="21"/>
                    </w:rPr>
                    <w:t>地面与裙脚应采取表面防渗措施，表面防渗材料应与所接触的物料或污染物相容，可采用抗渗混凝土、高密度聚乙烯膜、钠基膨润土防水毯或其他防渗性能等效的材料进行防渗处理</w:t>
                  </w:r>
                  <w:r>
                    <w:rPr>
                      <w:rFonts w:hint="eastAsia" w:ascii="Times New Roman" w:hAnsi="Times New Roman"/>
                      <w:kern w:val="0"/>
                      <w:sz w:val="21"/>
                    </w:rPr>
                    <w:t>，贮存的危险废物直接接触地面的，还应进行基础防渗，防渗层为至少1m厚黏土层(渗透系数不大于10</w:t>
                  </w:r>
                  <w:r>
                    <w:rPr>
                      <w:rFonts w:hint="eastAsia" w:ascii="Times New Roman" w:hAnsi="Times New Roman"/>
                      <w:kern w:val="0"/>
                      <w:sz w:val="21"/>
                      <w:vertAlign w:val="superscript"/>
                    </w:rPr>
                    <w:t>-7</w:t>
                  </w:r>
                  <w:r>
                    <w:rPr>
                      <w:rFonts w:hint="eastAsia" w:ascii="Times New Roman" w:hAnsi="Times New Roman"/>
                      <w:kern w:val="0"/>
                      <w:sz w:val="21"/>
                    </w:rPr>
                    <w:t>cm/s)，或至少2mm厚高密度聚乙烯膜等人工防渗材料(渗透系数不大于10</w:t>
                  </w:r>
                  <w:r>
                    <w:rPr>
                      <w:rFonts w:hint="eastAsia" w:ascii="Times New Roman" w:hAnsi="Times New Roman"/>
                      <w:kern w:val="0"/>
                      <w:sz w:val="21"/>
                      <w:vertAlign w:val="superscript"/>
                    </w:rPr>
                    <w:t>-10</w:t>
                  </w:r>
                  <w:r>
                    <w:rPr>
                      <w:rFonts w:hint="eastAsia" w:ascii="Times New Roman" w:hAnsi="Times New Roman"/>
                      <w:kern w:val="0"/>
                      <w:sz w:val="21"/>
                    </w:rPr>
                    <w:t>cm/s)，或其他防渗性能等效的材料。</w:t>
                  </w:r>
                  <w:r>
                    <w:rPr>
                      <w:rFonts w:ascii="Times New Roman" w:hAnsi="Times New Roman"/>
                      <w:kern w:val="0"/>
                      <w:sz w:val="21"/>
                    </w:rPr>
                    <w:t>事故池和储罐区按照《环境影响评价技术导则 地下水环境》（HJ610-2016）中重点防渗区要求进行防渗，防渗要求为等效黏土防渗层Mb</w:t>
                  </w:r>
                  <w:r>
                    <w:rPr>
                      <w:rFonts w:hint="eastAsia" w:asciiTheme="majorEastAsia" w:hAnsiTheme="majorEastAsia" w:eastAsiaTheme="majorEastAsia" w:cstheme="majorEastAsia"/>
                      <w:kern w:val="0"/>
                      <w:sz w:val="21"/>
                    </w:rPr>
                    <w:t>≥</w:t>
                  </w:r>
                  <w:r>
                    <w:rPr>
                      <w:rFonts w:ascii="Times New Roman" w:hAnsi="Times New Roman"/>
                      <w:kern w:val="0"/>
                      <w:sz w:val="21"/>
                    </w:rPr>
                    <w:t>6.0m，K</w:t>
                  </w:r>
                  <w:r>
                    <w:rPr>
                      <w:rFonts w:hint="eastAsia" w:asciiTheme="minorEastAsia" w:hAnsiTheme="minorEastAsia" w:eastAsiaTheme="minorEastAsia" w:cstheme="minorEastAsia"/>
                      <w:kern w:val="0"/>
                      <w:sz w:val="21"/>
                    </w:rPr>
                    <w:t>≤</w:t>
                  </w:r>
                  <w:r>
                    <w:rPr>
                      <w:rFonts w:ascii="Times New Roman" w:hAnsi="Times New Roman"/>
                      <w:kern w:val="0"/>
                      <w:sz w:val="21"/>
                    </w:rPr>
                    <w:t>1×10</w:t>
                  </w:r>
                  <w:r>
                    <w:rPr>
                      <w:rFonts w:ascii="Times New Roman" w:hAnsi="Times New Roman"/>
                      <w:kern w:val="0"/>
                      <w:sz w:val="21"/>
                      <w:vertAlign w:val="superscript"/>
                    </w:rPr>
                    <w:t>-7</w:t>
                  </w:r>
                  <w:r>
                    <w:rPr>
                      <w:rFonts w:ascii="Times New Roman" w:hAnsi="Times New Roman"/>
                      <w:kern w:val="0"/>
                      <w:sz w:val="21"/>
                    </w:rPr>
                    <w:t>cm/s或参照GB18598执行。</w:t>
                  </w:r>
                </w:p>
              </w:tc>
            </w:tr>
            <w:tr w14:paraId="5D295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trPr>
              <w:tc>
                <w:tcPr>
                  <w:tcW w:w="685" w:type="pct"/>
                  <w:noWrap/>
                  <w:vAlign w:val="center"/>
                </w:tcPr>
                <w:p w14:paraId="184CB9D6">
                  <w:pPr>
                    <w:pStyle w:val="12"/>
                    <w:keepLines/>
                    <w:adjustRightInd w:val="0"/>
                    <w:snapToGrid w:val="0"/>
                    <w:spacing w:line="240" w:lineRule="auto"/>
                    <w:ind w:firstLine="0" w:firstLineChars="0"/>
                    <w:jc w:val="center"/>
                    <w:rPr>
                      <w:rFonts w:ascii="Times New Roman" w:hAnsi="Times New Roman"/>
                      <w:kern w:val="0"/>
                      <w:sz w:val="21"/>
                    </w:rPr>
                  </w:pPr>
                  <w:r>
                    <w:rPr>
                      <w:rFonts w:ascii="Times New Roman" w:hAnsi="Times New Roman"/>
                      <w:kern w:val="0"/>
                      <w:sz w:val="21"/>
                    </w:rPr>
                    <w:t>一般防渗区</w:t>
                  </w:r>
                </w:p>
              </w:tc>
              <w:tc>
                <w:tcPr>
                  <w:tcW w:w="1278" w:type="pct"/>
                  <w:vAlign w:val="center"/>
                </w:tcPr>
                <w:p w14:paraId="4605FD16">
                  <w:pPr>
                    <w:pStyle w:val="12"/>
                    <w:keepLines/>
                    <w:adjustRightInd w:val="0"/>
                    <w:snapToGrid w:val="0"/>
                    <w:spacing w:line="240" w:lineRule="auto"/>
                    <w:ind w:firstLine="0" w:firstLineChars="0"/>
                    <w:jc w:val="center"/>
                    <w:rPr>
                      <w:rFonts w:ascii="Times New Roman" w:hAnsi="Times New Roman"/>
                      <w:kern w:val="0"/>
                      <w:sz w:val="21"/>
                    </w:rPr>
                  </w:pPr>
                  <w:r>
                    <w:rPr>
                      <w:rFonts w:hint="eastAsia"/>
                      <w:sz w:val="21"/>
                    </w:rPr>
                    <w:t>化粪池、车轮清洗池、初期雨水收集池、污水处理区</w:t>
                  </w:r>
                </w:p>
              </w:tc>
              <w:tc>
                <w:tcPr>
                  <w:tcW w:w="3035" w:type="pct"/>
                  <w:vAlign w:val="center"/>
                </w:tcPr>
                <w:p w14:paraId="2F28FFC6">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按照</w:t>
                  </w:r>
                  <w:r>
                    <w:rPr>
                      <w:rFonts w:ascii="Times New Roman" w:hAnsi="Times New Roman"/>
                      <w:kern w:val="0"/>
                      <w:sz w:val="21"/>
                    </w:rPr>
                    <w:t>《环境影响评价技术导则 地下水环境》（HJ610-2016）中一般防渗区要求，</w:t>
                  </w:r>
                  <w:r>
                    <w:rPr>
                      <w:rFonts w:hint="eastAsia" w:ascii="Times New Roman" w:hAnsi="Times New Roman"/>
                      <w:kern w:val="0"/>
                      <w:sz w:val="21"/>
                    </w:rPr>
                    <w:t>防渗要求为</w:t>
                  </w:r>
                  <w:r>
                    <w:rPr>
                      <w:rFonts w:ascii="Times New Roman" w:hAnsi="Times New Roman"/>
                      <w:kern w:val="0"/>
                      <w:sz w:val="21"/>
                    </w:rPr>
                    <w:t>等效黏土防渗层Mb</w:t>
                  </w:r>
                  <w:r>
                    <w:rPr>
                      <w:rFonts w:hint="eastAsia" w:asciiTheme="majorEastAsia" w:hAnsiTheme="majorEastAsia" w:eastAsiaTheme="majorEastAsia" w:cstheme="majorEastAsia"/>
                      <w:kern w:val="0"/>
                      <w:sz w:val="21"/>
                    </w:rPr>
                    <w:t>≥</w:t>
                  </w:r>
                  <w:r>
                    <w:rPr>
                      <w:rFonts w:ascii="Times New Roman" w:hAnsi="Times New Roman"/>
                      <w:kern w:val="0"/>
                      <w:sz w:val="21"/>
                    </w:rPr>
                    <w:t>1.5m，K</w:t>
                  </w:r>
                  <w:r>
                    <w:rPr>
                      <w:rFonts w:hint="eastAsia" w:asciiTheme="majorEastAsia" w:hAnsiTheme="majorEastAsia" w:eastAsiaTheme="majorEastAsia" w:cstheme="majorEastAsia"/>
                      <w:kern w:val="0"/>
                      <w:sz w:val="21"/>
                    </w:rPr>
                    <w:t>≤</w:t>
                  </w:r>
                  <w:r>
                    <w:rPr>
                      <w:rFonts w:ascii="Times New Roman" w:hAnsi="Times New Roman"/>
                      <w:kern w:val="0"/>
                      <w:sz w:val="21"/>
                    </w:rPr>
                    <w:t>1×10</w:t>
                  </w:r>
                  <w:r>
                    <w:rPr>
                      <w:rFonts w:hint="eastAsia" w:ascii="Times New Roman" w:hAnsi="Times New Roman"/>
                      <w:kern w:val="0"/>
                      <w:sz w:val="21"/>
                      <w:vertAlign w:val="superscript"/>
                    </w:rPr>
                    <w:t>-</w:t>
                  </w:r>
                  <w:r>
                    <w:rPr>
                      <w:rFonts w:ascii="Times New Roman" w:hAnsi="Times New Roman"/>
                      <w:kern w:val="0"/>
                      <w:sz w:val="21"/>
                      <w:vertAlign w:val="superscript"/>
                    </w:rPr>
                    <w:t>7</w:t>
                  </w:r>
                  <w:r>
                    <w:rPr>
                      <w:rFonts w:ascii="Times New Roman" w:hAnsi="Times New Roman"/>
                      <w:kern w:val="0"/>
                      <w:sz w:val="21"/>
                    </w:rPr>
                    <w:t>cm/s</w:t>
                  </w:r>
                  <w:r>
                    <w:rPr>
                      <w:rFonts w:hint="eastAsia" w:ascii="Times New Roman" w:hAnsi="Times New Roman"/>
                      <w:kern w:val="0"/>
                      <w:sz w:val="21"/>
                    </w:rPr>
                    <w:t>或参照GB16889执行。</w:t>
                  </w:r>
                </w:p>
              </w:tc>
            </w:tr>
            <w:tr w14:paraId="0E4EF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685" w:type="pct"/>
                  <w:noWrap/>
                  <w:vAlign w:val="center"/>
                </w:tcPr>
                <w:p w14:paraId="182403B7">
                  <w:pPr>
                    <w:pStyle w:val="12"/>
                    <w:keepLines/>
                    <w:adjustRightInd w:val="0"/>
                    <w:snapToGrid w:val="0"/>
                    <w:spacing w:line="240" w:lineRule="auto"/>
                    <w:ind w:firstLine="0" w:firstLineChars="0"/>
                    <w:jc w:val="center"/>
                    <w:rPr>
                      <w:rFonts w:ascii="Times New Roman" w:hAnsi="Times New Roman"/>
                      <w:kern w:val="0"/>
                      <w:sz w:val="21"/>
                    </w:rPr>
                  </w:pPr>
                  <w:r>
                    <w:rPr>
                      <w:rFonts w:ascii="Times New Roman" w:hAnsi="Times New Roman"/>
                      <w:kern w:val="0"/>
                      <w:sz w:val="21"/>
                    </w:rPr>
                    <w:t>简单防渗区</w:t>
                  </w:r>
                </w:p>
              </w:tc>
              <w:tc>
                <w:tcPr>
                  <w:tcW w:w="1278" w:type="pct"/>
                  <w:noWrap/>
                  <w:vAlign w:val="center"/>
                </w:tcPr>
                <w:p w14:paraId="4CCF6FF6">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其他区域</w:t>
                  </w:r>
                </w:p>
              </w:tc>
              <w:tc>
                <w:tcPr>
                  <w:tcW w:w="3035" w:type="pct"/>
                  <w:noWrap/>
                  <w:vAlign w:val="center"/>
                </w:tcPr>
                <w:p w14:paraId="31D1DA87">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地面采用混凝土硬化防渗。</w:t>
                  </w:r>
                </w:p>
              </w:tc>
            </w:tr>
          </w:tbl>
          <w:p w14:paraId="1910722D">
            <w:pPr>
              <w:adjustRightInd w:val="0"/>
              <w:snapToGrid w:val="0"/>
              <w:ind w:firstLine="482"/>
            </w:pPr>
            <w:r>
              <w:rPr>
                <w:rFonts w:hint="eastAsia"/>
                <w:b/>
                <w:bCs/>
              </w:rPr>
              <w:t>3、应急响应</w:t>
            </w:r>
          </w:p>
          <w:p w14:paraId="6247EA5E">
            <w:pPr>
              <w:adjustRightInd w:val="0"/>
              <w:snapToGrid w:val="0"/>
              <w:ind w:firstLine="480"/>
            </w:pPr>
            <w:r>
              <w:rPr>
                <w:rFonts w:hint="eastAsia"/>
              </w:rPr>
              <w:t>项目运营期建设单位需加强管理，定期巡视，一旦发现危险废物暂存间暂存设施、沥青罐和柴油储罐等破损引起储存物渗漏，应及时进行检修或更换储存设施。</w:t>
            </w:r>
          </w:p>
          <w:p w14:paraId="40B21BCF">
            <w:pPr>
              <w:ind w:firstLine="482"/>
              <w:rPr>
                <w:b/>
                <w:bCs/>
              </w:rPr>
            </w:pPr>
            <w:r>
              <w:rPr>
                <w:rFonts w:hint="eastAsia"/>
                <w:b/>
                <w:bCs/>
              </w:rPr>
              <w:t>4、监测计划</w:t>
            </w:r>
          </w:p>
          <w:p w14:paraId="68479A19">
            <w:pPr>
              <w:ind w:firstLine="480"/>
            </w:pPr>
            <w:r>
              <w:rPr>
                <w:rFonts w:hint="eastAsia"/>
              </w:rPr>
              <w:t>根据《排污许可证申请与核发技术规范 石墨及其他非金属矿物制品制造》（HJ1119-2020），对沥青混合料生产项目无地下水要求，故项目不设地下水监测计划。</w:t>
            </w:r>
          </w:p>
          <w:p w14:paraId="094E2FD7">
            <w:pPr>
              <w:ind w:firstLine="480"/>
              <w:rPr>
                <w:b/>
                <w:bCs/>
              </w:rPr>
            </w:pPr>
            <w:r>
              <w:rPr>
                <w:rFonts w:hint="eastAsia"/>
              </w:rPr>
              <w:t>综上所述，项目厂界</w:t>
            </w:r>
            <w:r>
              <w:rPr>
                <w:kern w:val="0"/>
              </w:rPr>
              <w:t>外</w:t>
            </w:r>
            <w:r>
              <w:rPr>
                <w:rFonts w:hint="eastAsia"/>
                <w:kern w:val="0"/>
              </w:rPr>
              <w:t>500米范围内无地下水集中式饮用水水源和热水、矿泉水、温泉等特殊地下水资源，</w:t>
            </w:r>
            <w:r>
              <w:t>采取本环评提出的分区防</w:t>
            </w:r>
            <w:r>
              <w:rPr>
                <w:rFonts w:hint="eastAsia"/>
              </w:rPr>
              <w:t>渗</w:t>
            </w:r>
            <w:r>
              <w:t>、污染监控、应急响应</w:t>
            </w:r>
            <w:r>
              <w:rPr>
                <w:rFonts w:hint="eastAsia"/>
              </w:rPr>
              <w:t>等</w:t>
            </w:r>
            <w:r>
              <w:t>控制措施</w:t>
            </w:r>
            <w:r>
              <w:rPr>
                <w:rFonts w:hint="eastAsia"/>
              </w:rPr>
              <w:t>后，</w:t>
            </w:r>
            <w:r>
              <w:t>项目</w:t>
            </w:r>
            <w:r>
              <w:rPr>
                <w:rFonts w:hint="eastAsia"/>
              </w:rPr>
              <w:t>建设</w:t>
            </w:r>
            <w:r>
              <w:t>对地下水影响较小。</w:t>
            </w:r>
          </w:p>
          <w:p w14:paraId="662681C6">
            <w:pPr>
              <w:ind w:firstLine="0" w:firstLineChars="0"/>
              <w:rPr>
                <w:b/>
                <w:bCs/>
              </w:rPr>
            </w:pPr>
            <w:r>
              <w:rPr>
                <w:rFonts w:hint="eastAsia"/>
                <w:b/>
                <w:bCs/>
              </w:rPr>
              <w:t>六、土壤环境</w:t>
            </w:r>
          </w:p>
          <w:p w14:paraId="55038732">
            <w:pPr>
              <w:pStyle w:val="2"/>
              <w:autoSpaceDE/>
              <w:autoSpaceDN/>
              <w:ind w:firstLine="480"/>
              <w:rPr>
                <w:szCs w:val="24"/>
              </w:rPr>
            </w:pPr>
            <w:r>
              <w:rPr>
                <w:szCs w:val="24"/>
              </w:rPr>
              <w:t>根据 《环境影响评价技术导则 土壤环境（试行）》</w:t>
            </w:r>
            <w:r>
              <w:rPr>
                <w:rFonts w:hint="eastAsia"/>
                <w:szCs w:val="24"/>
              </w:rPr>
              <w:t>（</w:t>
            </w:r>
            <w:r>
              <w:rPr>
                <w:rFonts w:eastAsia="Times New Roman"/>
                <w:szCs w:val="24"/>
              </w:rPr>
              <w:t>HJ964-2018</w:t>
            </w:r>
            <w:r>
              <w:rPr>
                <w:rFonts w:hint="eastAsia"/>
                <w:szCs w:val="24"/>
              </w:rPr>
              <w:t>）</w:t>
            </w:r>
            <w:r>
              <w:rPr>
                <w:szCs w:val="24"/>
              </w:rPr>
              <w:t>附录</w:t>
            </w:r>
            <w:r>
              <w:rPr>
                <w:rFonts w:eastAsia="Times New Roman"/>
                <w:szCs w:val="24"/>
              </w:rPr>
              <w:t>A</w:t>
            </w:r>
            <w:r>
              <w:rPr>
                <w:szCs w:val="24"/>
              </w:rPr>
              <w:t>，本项目行业类别属于制造业（金属冶炼和压延加工及非金属矿物制品）中的其他行业，土壤环境影响评价项目类别属于Ⅲ类。根据《建设项目环境影响报告表编制技术指南（污染影响类）（试行）》相关规定，</w:t>
            </w:r>
            <w:r>
              <w:rPr>
                <w:rFonts w:hint="eastAsia"/>
                <w:szCs w:val="24"/>
              </w:rPr>
              <w:t>土壤环境不开展专项评价、</w:t>
            </w:r>
            <w:r>
              <w:rPr>
                <w:szCs w:val="24"/>
              </w:rPr>
              <w:t>原则上不开展土壤环境质量现状调查。</w:t>
            </w:r>
            <w:r>
              <w:rPr>
                <w:rFonts w:hint="eastAsia"/>
                <w:szCs w:val="24"/>
              </w:rPr>
              <w:t>项目运营期对土壤环境影响途径主要是大气沉降、垂直入渗。</w:t>
            </w:r>
          </w:p>
          <w:p w14:paraId="7480B1F7">
            <w:pPr>
              <w:pStyle w:val="2"/>
              <w:autoSpaceDE/>
              <w:autoSpaceDN/>
              <w:ind w:firstLine="480"/>
              <w:rPr>
                <w:szCs w:val="24"/>
              </w:rPr>
            </w:pPr>
            <w:r>
              <w:rPr>
                <w:rFonts w:hint="eastAsia"/>
                <w:szCs w:val="24"/>
              </w:rPr>
              <w:t>1、</w:t>
            </w:r>
            <w:r>
              <w:rPr>
                <w:szCs w:val="24"/>
              </w:rPr>
              <w:t>大气沉降影响分析</w:t>
            </w:r>
          </w:p>
          <w:p w14:paraId="0CAD3558">
            <w:pPr>
              <w:pStyle w:val="2"/>
              <w:autoSpaceDE/>
              <w:autoSpaceDN/>
              <w:ind w:firstLine="480"/>
              <w:rPr>
                <w:szCs w:val="24"/>
              </w:rPr>
            </w:pPr>
            <w:r>
              <w:rPr>
                <w:szCs w:val="24"/>
              </w:rPr>
              <w:t>项目运营期外排废气污染物</w:t>
            </w:r>
            <w:r>
              <w:rPr>
                <w:rFonts w:hint="eastAsia"/>
                <w:szCs w:val="24"/>
              </w:rPr>
              <w:t>主要有</w:t>
            </w:r>
            <w:r>
              <w:rPr>
                <w:szCs w:val="24"/>
              </w:rPr>
              <w:t>非甲烷总烃、苯并[a]芘、沥青烟、颗粒物、二氧化硫、氮氧化物</w:t>
            </w:r>
            <w:r>
              <w:rPr>
                <w:rFonts w:hint="eastAsia"/>
                <w:szCs w:val="24"/>
              </w:rPr>
              <w:t>，</w:t>
            </w:r>
            <w:r>
              <w:rPr>
                <w:szCs w:val="24"/>
              </w:rPr>
              <w:t>废气污染物通过大气沉降，会有一部分进入土壤中。</w:t>
            </w:r>
            <w:r>
              <w:rPr>
                <w:rFonts w:hint="eastAsia"/>
                <w:szCs w:val="24"/>
              </w:rPr>
              <w:t>项目运营期对沥青混凝土生产</w:t>
            </w:r>
            <w:r>
              <w:rPr>
                <w:szCs w:val="24"/>
              </w:rPr>
              <w:t>废气</w:t>
            </w:r>
            <w:r>
              <w:rPr>
                <w:rFonts w:hint="eastAsia"/>
                <w:szCs w:val="24"/>
              </w:rPr>
              <w:t>污染物</w:t>
            </w:r>
            <w:r>
              <w:rPr>
                <w:szCs w:val="24"/>
              </w:rPr>
              <w:t>收集处理达标后经排气筒排放。运营过程中采取加强环保设备运行情况的检查，加强设备维修和保养，确保环保设备正常</w:t>
            </w:r>
            <w:r>
              <w:rPr>
                <w:rFonts w:hint="eastAsia"/>
                <w:szCs w:val="24"/>
              </w:rPr>
              <w:t>稳定</w:t>
            </w:r>
            <w:r>
              <w:rPr>
                <w:szCs w:val="24"/>
              </w:rPr>
              <w:t>运行；定期进行事故隐患的检查，并及时排除隐患。项目周边50m范围内无居民点、学校、医院、园地、耕地、牧草地等土壤环境保护目标。采取保护措施后大气沉降的污染物对厂区周边土壤环境产生的污染影响较小，影响可以接受。</w:t>
            </w:r>
          </w:p>
          <w:p w14:paraId="2938C0FC">
            <w:pPr>
              <w:adjustRightInd w:val="0"/>
              <w:snapToGrid w:val="0"/>
              <w:ind w:firstLine="480"/>
              <w:rPr>
                <w:bCs/>
              </w:rPr>
            </w:pPr>
            <w:r>
              <w:rPr>
                <w:rFonts w:hint="eastAsia"/>
                <w:bCs/>
              </w:rPr>
              <w:t>2、</w:t>
            </w:r>
            <w:r>
              <w:rPr>
                <w:bCs/>
              </w:rPr>
              <w:t>垂直入渗分析</w:t>
            </w:r>
          </w:p>
          <w:p w14:paraId="01AE5D2E">
            <w:pPr>
              <w:adjustRightInd w:val="0"/>
              <w:snapToGrid w:val="0"/>
              <w:ind w:firstLine="480"/>
            </w:pPr>
            <w:r>
              <w:t>项目</w:t>
            </w:r>
            <w:r>
              <w:rPr>
                <w:rFonts w:hint="eastAsia"/>
              </w:rPr>
              <w:t>土壤垂直入渗影响源与影响途径与地下水影响一致，经采取前述要求的源头控制、分区防渗等措施后，垂直入渗影响可接受</w:t>
            </w:r>
            <w:r>
              <w:t>。</w:t>
            </w:r>
          </w:p>
          <w:p w14:paraId="1A381D0E">
            <w:pPr>
              <w:adjustRightInd w:val="0"/>
              <w:snapToGrid w:val="0"/>
              <w:ind w:firstLine="480"/>
            </w:pPr>
            <w:r>
              <w:rPr>
                <w:rFonts w:hint="eastAsia"/>
              </w:rPr>
              <w:t>综上所述，项目厂界</w:t>
            </w:r>
            <w:r>
              <w:rPr>
                <w:kern w:val="0"/>
              </w:rPr>
              <w:t>外</w:t>
            </w:r>
            <w:r>
              <w:rPr>
                <w:rFonts w:hint="eastAsia"/>
                <w:kern w:val="0"/>
              </w:rPr>
              <w:t>500米范围内</w:t>
            </w:r>
            <w:r>
              <w:rPr>
                <w:kern w:val="0"/>
              </w:rPr>
              <w:t>无居民点、学校、医院、园地、耕地、牧草地等土壤环境保护目标</w:t>
            </w:r>
            <w:r>
              <w:rPr>
                <w:rFonts w:hint="eastAsia"/>
                <w:kern w:val="0"/>
              </w:rPr>
              <w:t>，</w:t>
            </w:r>
            <w:r>
              <w:t>采取本环评提出的分区防</w:t>
            </w:r>
            <w:r>
              <w:rPr>
                <w:rFonts w:hint="eastAsia"/>
              </w:rPr>
              <w:t>渗等</w:t>
            </w:r>
            <w:r>
              <w:t>控制措施</w:t>
            </w:r>
            <w:r>
              <w:rPr>
                <w:rFonts w:hint="eastAsia"/>
              </w:rPr>
              <w:t>后，</w:t>
            </w:r>
            <w:r>
              <w:t>项目</w:t>
            </w:r>
            <w:r>
              <w:rPr>
                <w:rFonts w:hint="eastAsia"/>
              </w:rPr>
              <w:t>建设</w:t>
            </w:r>
            <w:r>
              <w:t>对</w:t>
            </w:r>
            <w:r>
              <w:rPr>
                <w:rFonts w:hint="eastAsia"/>
              </w:rPr>
              <w:t>土壤</w:t>
            </w:r>
            <w:r>
              <w:t>影响较小。</w:t>
            </w:r>
          </w:p>
          <w:p w14:paraId="266AC3C0">
            <w:pPr>
              <w:ind w:firstLine="0" w:firstLineChars="0"/>
              <w:rPr>
                <w:b/>
                <w:bCs/>
              </w:rPr>
            </w:pPr>
            <w:r>
              <w:rPr>
                <w:rFonts w:hint="eastAsia"/>
                <w:b/>
                <w:bCs/>
              </w:rPr>
              <w:t>七、环境风险</w:t>
            </w:r>
          </w:p>
          <w:p w14:paraId="4FB61125">
            <w:pPr>
              <w:ind w:firstLine="482"/>
              <w:rPr>
                <w:b/>
                <w:bCs/>
              </w:rPr>
            </w:pPr>
            <w:r>
              <w:rPr>
                <w:rFonts w:hint="eastAsia"/>
                <w:b/>
                <w:bCs/>
              </w:rPr>
              <w:t>1、风险物质识别</w:t>
            </w:r>
          </w:p>
          <w:p w14:paraId="180ED8CE">
            <w:pPr>
              <w:ind w:firstLine="480"/>
              <w:rPr>
                <w:b/>
                <w:szCs w:val="21"/>
              </w:rPr>
            </w:pPr>
            <w:r>
              <w:rPr>
                <w:rFonts w:hint="eastAsia"/>
              </w:rPr>
              <w:t>根据《建设项目环境风险评价技术导则》（HJ169-2018）附录B，本项目涉及的危险性物质为柴油、导热油及危险废物等。</w:t>
            </w:r>
            <w:r>
              <w:t>根据建设单位提供</w:t>
            </w:r>
            <w:r>
              <w:rPr>
                <w:rFonts w:hint="eastAsia"/>
              </w:rPr>
              <w:t>的</w:t>
            </w:r>
            <w:r>
              <w:t>资料，</w:t>
            </w:r>
            <w:r>
              <w:rPr>
                <w:rFonts w:hint="eastAsia"/>
              </w:rPr>
              <w:t>危险物质</w:t>
            </w:r>
            <w:r>
              <w:t>数量及分布情况见下表所示。</w:t>
            </w:r>
          </w:p>
          <w:p w14:paraId="03A0081D">
            <w:pPr>
              <w:pageBreakBefore/>
              <w:adjustRightInd w:val="0"/>
              <w:snapToGrid w:val="0"/>
              <w:ind w:firstLine="422"/>
              <w:jc w:val="center"/>
              <w:rPr>
                <w:b/>
                <w:sz w:val="21"/>
                <w:szCs w:val="21"/>
              </w:rPr>
            </w:pPr>
            <w:r>
              <w:rPr>
                <w:b/>
                <w:sz w:val="21"/>
                <w:szCs w:val="21"/>
              </w:rPr>
              <w:t>表4-</w:t>
            </w:r>
            <w:r>
              <w:rPr>
                <w:rFonts w:hint="eastAsia"/>
                <w:b/>
                <w:sz w:val="21"/>
                <w:szCs w:val="21"/>
              </w:rPr>
              <w:t>10</w:t>
            </w:r>
            <w:r>
              <w:rPr>
                <w:b/>
                <w:sz w:val="21"/>
                <w:szCs w:val="21"/>
              </w:rPr>
              <w:t xml:space="preserve">  项目风险物质数量及分布情况一览表</w:t>
            </w:r>
          </w:p>
          <w:tbl>
            <w:tblPr>
              <w:tblStyle w:val="26"/>
              <w:tblW w:w="4941" w:type="pct"/>
              <w:jc w:val="center"/>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fixed"/>
              <w:tblCellMar>
                <w:top w:w="0" w:type="dxa"/>
                <w:left w:w="108" w:type="dxa"/>
                <w:bottom w:w="0" w:type="dxa"/>
                <w:right w:w="108" w:type="dxa"/>
              </w:tblCellMar>
            </w:tblPr>
            <w:tblGrid>
              <w:gridCol w:w="1175"/>
              <w:gridCol w:w="1889"/>
              <w:gridCol w:w="1179"/>
              <w:gridCol w:w="1700"/>
              <w:gridCol w:w="1273"/>
              <w:gridCol w:w="1075"/>
            </w:tblGrid>
            <w:tr w14:paraId="1C0898E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PrEx>
              <w:trPr>
                <w:trHeight w:val="397" w:hRule="exact"/>
                <w:jc w:val="center"/>
              </w:trPr>
              <w:tc>
                <w:tcPr>
                  <w:tcW w:w="709" w:type="pct"/>
                  <w:vAlign w:val="center"/>
                </w:tcPr>
                <w:p w14:paraId="45724196">
                  <w:pPr>
                    <w:pStyle w:val="12"/>
                    <w:keepLines/>
                    <w:adjustRightInd w:val="0"/>
                    <w:snapToGrid w:val="0"/>
                    <w:spacing w:line="240" w:lineRule="auto"/>
                    <w:ind w:firstLine="0" w:firstLineChars="0"/>
                    <w:jc w:val="center"/>
                    <w:rPr>
                      <w:rFonts w:ascii="Times New Roman" w:hAnsi="Times New Roman"/>
                      <w:b/>
                      <w:bCs/>
                      <w:kern w:val="0"/>
                      <w:sz w:val="21"/>
                    </w:rPr>
                  </w:pPr>
                  <w:r>
                    <w:rPr>
                      <w:rFonts w:ascii="Times New Roman" w:hAnsi="Times New Roman"/>
                      <w:b/>
                      <w:bCs/>
                      <w:kern w:val="0"/>
                      <w:sz w:val="21"/>
                    </w:rPr>
                    <w:t>名称</w:t>
                  </w:r>
                </w:p>
              </w:tc>
              <w:tc>
                <w:tcPr>
                  <w:tcW w:w="1139" w:type="pct"/>
                  <w:vAlign w:val="center"/>
                </w:tcPr>
                <w:p w14:paraId="4E965A1E">
                  <w:pPr>
                    <w:pStyle w:val="12"/>
                    <w:keepLines/>
                    <w:adjustRightInd w:val="0"/>
                    <w:snapToGrid w:val="0"/>
                    <w:spacing w:line="240" w:lineRule="auto"/>
                    <w:ind w:firstLine="0" w:firstLineChars="0"/>
                    <w:jc w:val="center"/>
                    <w:rPr>
                      <w:rFonts w:ascii="Times New Roman" w:hAnsi="Times New Roman"/>
                      <w:b/>
                      <w:bCs/>
                      <w:kern w:val="0"/>
                      <w:sz w:val="21"/>
                    </w:rPr>
                  </w:pPr>
                  <w:r>
                    <w:rPr>
                      <w:rFonts w:ascii="Times New Roman" w:hAnsi="Times New Roman"/>
                      <w:b/>
                      <w:bCs/>
                      <w:kern w:val="0"/>
                      <w:sz w:val="21"/>
                    </w:rPr>
                    <w:t>存储位置</w:t>
                  </w:r>
                </w:p>
              </w:tc>
              <w:tc>
                <w:tcPr>
                  <w:tcW w:w="711" w:type="pct"/>
                  <w:shd w:val="clear" w:color="auto" w:fill="auto"/>
                  <w:vAlign w:val="center"/>
                </w:tcPr>
                <w:p w14:paraId="7ECDC21C">
                  <w:pPr>
                    <w:pStyle w:val="12"/>
                    <w:keepLines/>
                    <w:adjustRightInd w:val="0"/>
                    <w:snapToGrid w:val="0"/>
                    <w:spacing w:line="240" w:lineRule="auto"/>
                    <w:ind w:firstLine="0" w:firstLineChars="0"/>
                    <w:jc w:val="center"/>
                    <w:rPr>
                      <w:rFonts w:ascii="Times New Roman" w:hAnsi="Times New Roman"/>
                      <w:b/>
                      <w:bCs/>
                      <w:kern w:val="0"/>
                      <w:sz w:val="21"/>
                    </w:rPr>
                  </w:pPr>
                  <w:r>
                    <w:rPr>
                      <w:rFonts w:ascii="Times New Roman" w:hAnsi="Times New Roman"/>
                      <w:b/>
                      <w:bCs/>
                      <w:kern w:val="0"/>
                      <w:sz w:val="21"/>
                    </w:rPr>
                    <w:t>状态</w:t>
                  </w:r>
                </w:p>
              </w:tc>
              <w:tc>
                <w:tcPr>
                  <w:tcW w:w="1025" w:type="pct"/>
                  <w:vAlign w:val="center"/>
                </w:tcPr>
                <w:p w14:paraId="37A843A9">
                  <w:pPr>
                    <w:pStyle w:val="12"/>
                    <w:keepLines/>
                    <w:adjustRightInd w:val="0"/>
                    <w:snapToGrid w:val="0"/>
                    <w:spacing w:line="240" w:lineRule="auto"/>
                    <w:ind w:firstLine="0" w:firstLineChars="0"/>
                    <w:jc w:val="center"/>
                    <w:rPr>
                      <w:rFonts w:ascii="Times New Roman" w:hAnsi="Times New Roman"/>
                      <w:b/>
                      <w:bCs/>
                      <w:kern w:val="0"/>
                      <w:sz w:val="21"/>
                    </w:rPr>
                  </w:pPr>
                  <w:r>
                    <w:rPr>
                      <w:rFonts w:ascii="Times New Roman" w:hAnsi="Times New Roman"/>
                      <w:b/>
                      <w:bCs/>
                      <w:kern w:val="0"/>
                      <w:sz w:val="21"/>
                    </w:rPr>
                    <w:t>最大储存量</w:t>
                  </w:r>
                  <w:r>
                    <w:rPr>
                      <w:rFonts w:hint="eastAsia" w:ascii="Times New Roman" w:hAnsi="Times New Roman"/>
                      <w:b/>
                      <w:bCs/>
                      <w:kern w:val="0"/>
                      <w:sz w:val="21"/>
                    </w:rPr>
                    <w:t>（t）</w:t>
                  </w:r>
                </w:p>
              </w:tc>
              <w:tc>
                <w:tcPr>
                  <w:tcW w:w="765" w:type="pct"/>
                  <w:vAlign w:val="center"/>
                </w:tcPr>
                <w:p w14:paraId="703BF328">
                  <w:pPr>
                    <w:pStyle w:val="12"/>
                    <w:keepLines/>
                    <w:adjustRightInd w:val="0"/>
                    <w:snapToGrid w:val="0"/>
                    <w:spacing w:line="240" w:lineRule="auto"/>
                    <w:ind w:firstLine="0" w:firstLineChars="0"/>
                    <w:jc w:val="center"/>
                    <w:rPr>
                      <w:rFonts w:ascii="Times New Roman" w:hAnsi="Times New Roman"/>
                      <w:b/>
                      <w:bCs/>
                      <w:kern w:val="0"/>
                      <w:sz w:val="21"/>
                    </w:rPr>
                  </w:pPr>
                  <w:r>
                    <w:rPr>
                      <w:rFonts w:ascii="Times New Roman" w:hAnsi="Times New Roman"/>
                      <w:b/>
                      <w:bCs/>
                      <w:kern w:val="0"/>
                      <w:sz w:val="21"/>
                    </w:rPr>
                    <w:t>临界量</w:t>
                  </w:r>
                  <w:r>
                    <w:rPr>
                      <w:rFonts w:hint="eastAsia" w:ascii="Times New Roman" w:hAnsi="Times New Roman"/>
                      <w:b/>
                      <w:bCs/>
                      <w:kern w:val="0"/>
                      <w:sz w:val="21"/>
                    </w:rPr>
                    <w:t>（t）</w:t>
                  </w:r>
                </w:p>
              </w:tc>
              <w:tc>
                <w:tcPr>
                  <w:tcW w:w="647" w:type="pct"/>
                  <w:vAlign w:val="center"/>
                </w:tcPr>
                <w:p w14:paraId="11B5AEFD">
                  <w:pPr>
                    <w:pStyle w:val="12"/>
                    <w:keepLines/>
                    <w:adjustRightInd w:val="0"/>
                    <w:snapToGrid w:val="0"/>
                    <w:spacing w:line="240" w:lineRule="auto"/>
                    <w:ind w:firstLine="0" w:firstLineChars="0"/>
                    <w:jc w:val="center"/>
                    <w:rPr>
                      <w:rFonts w:ascii="Times New Roman" w:hAnsi="Times New Roman"/>
                      <w:b/>
                      <w:bCs/>
                      <w:kern w:val="0"/>
                      <w:sz w:val="21"/>
                    </w:rPr>
                  </w:pPr>
                  <w:r>
                    <w:rPr>
                      <w:rFonts w:ascii="Times New Roman" w:hAnsi="Times New Roman"/>
                      <w:b/>
                      <w:bCs/>
                      <w:kern w:val="0"/>
                      <w:sz w:val="21"/>
                    </w:rPr>
                    <w:t>Q值</w:t>
                  </w:r>
                </w:p>
              </w:tc>
            </w:tr>
            <w:tr w14:paraId="0819317E">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97" w:hRule="exact"/>
                <w:jc w:val="center"/>
              </w:trPr>
              <w:tc>
                <w:tcPr>
                  <w:tcW w:w="709" w:type="pct"/>
                  <w:shd w:val="clear" w:color="auto" w:fill="auto"/>
                  <w:vAlign w:val="center"/>
                </w:tcPr>
                <w:p w14:paraId="634B6F76">
                  <w:pPr>
                    <w:pStyle w:val="12"/>
                    <w:keepLines/>
                    <w:adjustRightInd w:val="0"/>
                    <w:snapToGrid w:val="0"/>
                    <w:spacing w:line="240" w:lineRule="auto"/>
                    <w:ind w:firstLine="0" w:firstLineChars="0"/>
                    <w:jc w:val="center"/>
                    <w:rPr>
                      <w:rFonts w:ascii="Times New Roman" w:hAnsi="Times New Roman"/>
                      <w:kern w:val="0"/>
                      <w:sz w:val="21"/>
                    </w:rPr>
                  </w:pPr>
                  <w:r>
                    <w:rPr>
                      <w:rFonts w:ascii="Times New Roman" w:hAnsi="Times New Roman"/>
                      <w:kern w:val="0"/>
                      <w:sz w:val="21"/>
                    </w:rPr>
                    <w:t>柴油</w:t>
                  </w:r>
                </w:p>
              </w:tc>
              <w:tc>
                <w:tcPr>
                  <w:tcW w:w="1139" w:type="pct"/>
                  <w:vAlign w:val="center"/>
                </w:tcPr>
                <w:p w14:paraId="05DA8DDE">
                  <w:pPr>
                    <w:pStyle w:val="12"/>
                    <w:keepLines/>
                    <w:adjustRightInd w:val="0"/>
                    <w:snapToGrid w:val="0"/>
                    <w:spacing w:line="240" w:lineRule="auto"/>
                    <w:ind w:firstLine="0" w:firstLineChars="0"/>
                    <w:jc w:val="center"/>
                    <w:rPr>
                      <w:rFonts w:ascii="Times New Roman" w:hAnsi="Times New Roman"/>
                      <w:kern w:val="0"/>
                      <w:sz w:val="21"/>
                    </w:rPr>
                  </w:pPr>
                  <w:r>
                    <w:rPr>
                      <w:rFonts w:ascii="Times New Roman" w:hAnsi="Times New Roman"/>
                      <w:kern w:val="0"/>
                      <w:sz w:val="21"/>
                    </w:rPr>
                    <w:t>柴油储罐</w:t>
                  </w:r>
                </w:p>
              </w:tc>
              <w:tc>
                <w:tcPr>
                  <w:tcW w:w="711" w:type="pct"/>
                  <w:shd w:val="clear" w:color="auto" w:fill="auto"/>
                  <w:vAlign w:val="center"/>
                </w:tcPr>
                <w:p w14:paraId="23893AC2">
                  <w:pPr>
                    <w:pStyle w:val="12"/>
                    <w:keepLines/>
                    <w:adjustRightInd w:val="0"/>
                    <w:snapToGrid w:val="0"/>
                    <w:spacing w:line="240" w:lineRule="auto"/>
                    <w:ind w:firstLine="0" w:firstLineChars="0"/>
                    <w:jc w:val="center"/>
                    <w:rPr>
                      <w:rFonts w:ascii="Times New Roman" w:hAnsi="Times New Roman"/>
                      <w:kern w:val="0"/>
                      <w:sz w:val="21"/>
                    </w:rPr>
                  </w:pPr>
                  <w:r>
                    <w:rPr>
                      <w:rFonts w:ascii="Times New Roman" w:hAnsi="Times New Roman"/>
                      <w:kern w:val="0"/>
                      <w:sz w:val="21"/>
                    </w:rPr>
                    <w:t>液体</w:t>
                  </w:r>
                </w:p>
              </w:tc>
              <w:tc>
                <w:tcPr>
                  <w:tcW w:w="1025" w:type="pct"/>
                  <w:vAlign w:val="center"/>
                </w:tcPr>
                <w:p w14:paraId="13EB4983">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38.7</w:t>
                  </w:r>
                </w:p>
              </w:tc>
              <w:tc>
                <w:tcPr>
                  <w:tcW w:w="765" w:type="pct"/>
                  <w:vAlign w:val="center"/>
                </w:tcPr>
                <w:p w14:paraId="343F87A1">
                  <w:pPr>
                    <w:pStyle w:val="12"/>
                    <w:keepLines/>
                    <w:adjustRightInd w:val="0"/>
                    <w:snapToGrid w:val="0"/>
                    <w:spacing w:line="240" w:lineRule="auto"/>
                    <w:ind w:firstLine="0" w:firstLineChars="0"/>
                    <w:jc w:val="center"/>
                    <w:rPr>
                      <w:rFonts w:ascii="Times New Roman" w:hAnsi="Times New Roman"/>
                      <w:kern w:val="0"/>
                      <w:sz w:val="21"/>
                    </w:rPr>
                  </w:pPr>
                  <w:r>
                    <w:rPr>
                      <w:rFonts w:ascii="Times New Roman" w:hAnsi="Times New Roman"/>
                      <w:kern w:val="0"/>
                      <w:sz w:val="21"/>
                    </w:rPr>
                    <w:t>2500</w:t>
                  </w:r>
                </w:p>
              </w:tc>
              <w:tc>
                <w:tcPr>
                  <w:tcW w:w="647" w:type="pct"/>
                  <w:shd w:val="clear" w:color="auto" w:fill="auto"/>
                  <w:vAlign w:val="center"/>
                </w:tcPr>
                <w:p w14:paraId="71385E61">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0.01548</w:t>
                  </w:r>
                </w:p>
              </w:tc>
            </w:tr>
            <w:tr w14:paraId="41E926E3">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97" w:hRule="exact"/>
                <w:jc w:val="center"/>
              </w:trPr>
              <w:tc>
                <w:tcPr>
                  <w:tcW w:w="709" w:type="pct"/>
                  <w:shd w:val="clear" w:color="auto" w:fill="auto"/>
                  <w:vAlign w:val="center"/>
                </w:tcPr>
                <w:p w14:paraId="1D45D9D9">
                  <w:pPr>
                    <w:pStyle w:val="12"/>
                    <w:keepLines/>
                    <w:adjustRightInd w:val="0"/>
                    <w:snapToGrid w:val="0"/>
                    <w:spacing w:line="240" w:lineRule="auto"/>
                    <w:ind w:firstLine="0" w:firstLineChars="0"/>
                    <w:jc w:val="center"/>
                    <w:rPr>
                      <w:rFonts w:ascii="Times New Roman" w:hAnsi="Times New Roman"/>
                      <w:kern w:val="0"/>
                      <w:sz w:val="21"/>
                    </w:rPr>
                  </w:pPr>
                  <w:r>
                    <w:rPr>
                      <w:rFonts w:ascii="Times New Roman" w:hAnsi="Times New Roman"/>
                      <w:kern w:val="0"/>
                      <w:sz w:val="21"/>
                    </w:rPr>
                    <w:t>导热油</w:t>
                  </w:r>
                </w:p>
              </w:tc>
              <w:tc>
                <w:tcPr>
                  <w:tcW w:w="1139" w:type="pct"/>
                  <w:vAlign w:val="center"/>
                </w:tcPr>
                <w:p w14:paraId="7B62DD83">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导热油炉</w:t>
                  </w:r>
                </w:p>
              </w:tc>
              <w:tc>
                <w:tcPr>
                  <w:tcW w:w="711" w:type="pct"/>
                  <w:shd w:val="clear" w:color="auto" w:fill="auto"/>
                  <w:vAlign w:val="center"/>
                </w:tcPr>
                <w:p w14:paraId="4AFFB0BA">
                  <w:pPr>
                    <w:pStyle w:val="12"/>
                    <w:keepLines/>
                    <w:adjustRightInd w:val="0"/>
                    <w:snapToGrid w:val="0"/>
                    <w:spacing w:line="240" w:lineRule="auto"/>
                    <w:ind w:firstLine="0" w:firstLineChars="0"/>
                    <w:jc w:val="center"/>
                    <w:rPr>
                      <w:rFonts w:ascii="Times New Roman" w:hAnsi="Times New Roman"/>
                      <w:kern w:val="0"/>
                      <w:sz w:val="21"/>
                    </w:rPr>
                  </w:pPr>
                  <w:r>
                    <w:rPr>
                      <w:rFonts w:ascii="Times New Roman" w:hAnsi="Times New Roman"/>
                      <w:kern w:val="0"/>
                      <w:sz w:val="21"/>
                    </w:rPr>
                    <w:t>液体</w:t>
                  </w:r>
                </w:p>
              </w:tc>
              <w:tc>
                <w:tcPr>
                  <w:tcW w:w="1025" w:type="pct"/>
                  <w:vAlign w:val="center"/>
                </w:tcPr>
                <w:p w14:paraId="3ADD7EFE">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3</w:t>
                  </w:r>
                </w:p>
              </w:tc>
              <w:tc>
                <w:tcPr>
                  <w:tcW w:w="765" w:type="pct"/>
                  <w:vAlign w:val="center"/>
                </w:tcPr>
                <w:p w14:paraId="445AA116">
                  <w:pPr>
                    <w:pStyle w:val="12"/>
                    <w:keepLines/>
                    <w:adjustRightInd w:val="0"/>
                    <w:snapToGrid w:val="0"/>
                    <w:spacing w:line="240" w:lineRule="auto"/>
                    <w:ind w:firstLine="0" w:firstLineChars="0"/>
                    <w:jc w:val="center"/>
                    <w:rPr>
                      <w:rFonts w:ascii="Times New Roman" w:hAnsi="Times New Roman"/>
                      <w:kern w:val="0"/>
                      <w:sz w:val="21"/>
                    </w:rPr>
                  </w:pPr>
                  <w:r>
                    <w:rPr>
                      <w:rFonts w:ascii="Times New Roman" w:hAnsi="Times New Roman"/>
                      <w:kern w:val="0"/>
                      <w:sz w:val="21"/>
                    </w:rPr>
                    <w:t>2500</w:t>
                  </w:r>
                </w:p>
              </w:tc>
              <w:tc>
                <w:tcPr>
                  <w:tcW w:w="647" w:type="pct"/>
                  <w:shd w:val="clear" w:color="auto" w:fill="auto"/>
                  <w:vAlign w:val="center"/>
                </w:tcPr>
                <w:p w14:paraId="117B49EB">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0.0012</w:t>
                  </w:r>
                </w:p>
              </w:tc>
            </w:tr>
            <w:tr w14:paraId="1EFA01AB">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97" w:hRule="exact"/>
                <w:jc w:val="center"/>
              </w:trPr>
              <w:tc>
                <w:tcPr>
                  <w:tcW w:w="709" w:type="pct"/>
                  <w:shd w:val="clear" w:color="auto" w:fill="auto"/>
                  <w:vAlign w:val="center"/>
                </w:tcPr>
                <w:p w14:paraId="5A833D8A">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危险废物</w:t>
                  </w:r>
                </w:p>
              </w:tc>
              <w:tc>
                <w:tcPr>
                  <w:tcW w:w="1139" w:type="pct"/>
                  <w:vAlign w:val="center"/>
                </w:tcPr>
                <w:p w14:paraId="11606578">
                  <w:pPr>
                    <w:pStyle w:val="12"/>
                    <w:keepLines/>
                    <w:adjustRightInd w:val="0"/>
                    <w:snapToGrid w:val="0"/>
                    <w:spacing w:line="240" w:lineRule="auto"/>
                    <w:ind w:firstLine="0" w:firstLineChars="0"/>
                    <w:jc w:val="center"/>
                    <w:rPr>
                      <w:rFonts w:ascii="Times New Roman" w:hAnsi="Times New Roman"/>
                      <w:kern w:val="0"/>
                      <w:sz w:val="21"/>
                    </w:rPr>
                  </w:pPr>
                  <w:r>
                    <w:rPr>
                      <w:rFonts w:ascii="Times New Roman" w:hAnsi="Times New Roman"/>
                      <w:kern w:val="0"/>
                      <w:sz w:val="21"/>
                    </w:rPr>
                    <w:t>危险废物暂存间</w:t>
                  </w:r>
                </w:p>
              </w:tc>
              <w:tc>
                <w:tcPr>
                  <w:tcW w:w="711" w:type="pct"/>
                  <w:shd w:val="clear" w:color="auto" w:fill="auto"/>
                  <w:vAlign w:val="center"/>
                </w:tcPr>
                <w:p w14:paraId="73945621">
                  <w:pPr>
                    <w:pStyle w:val="12"/>
                    <w:keepLines/>
                    <w:adjustRightInd w:val="0"/>
                    <w:snapToGrid w:val="0"/>
                    <w:spacing w:line="240" w:lineRule="auto"/>
                    <w:ind w:firstLine="0" w:firstLineChars="0"/>
                    <w:jc w:val="center"/>
                    <w:rPr>
                      <w:rFonts w:ascii="Times New Roman" w:hAnsi="Times New Roman"/>
                      <w:kern w:val="0"/>
                      <w:sz w:val="21"/>
                    </w:rPr>
                  </w:pPr>
                  <w:r>
                    <w:rPr>
                      <w:rFonts w:ascii="Times New Roman" w:hAnsi="Times New Roman"/>
                      <w:kern w:val="0"/>
                      <w:sz w:val="21"/>
                    </w:rPr>
                    <w:t>液体</w:t>
                  </w:r>
                  <w:r>
                    <w:rPr>
                      <w:rFonts w:hint="eastAsia" w:ascii="Times New Roman" w:hAnsi="Times New Roman"/>
                      <w:kern w:val="0"/>
                      <w:sz w:val="21"/>
                    </w:rPr>
                    <w:t>、固体</w:t>
                  </w:r>
                </w:p>
              </w:tc>
              <w:tc>
                <w:tcPr>
                  <w:tcW w:w="1025" w:type="pct"/>
                  <w:vAlign w:val="center"/>
                </w:tcPr>
                <w:p w14:paraId="1F0C7EDB">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color w:val="000000" w:themeColor="text1"/>
                      <w:kern w:val="0"/>
                      <w:sz w:val="21"/>
                      <w14:textFill>
                        <w14:solidFill>
                          <w14:schemeClr w14:val="tx1"/>
                        </w14:solidFill>
                      </w14:textFill>
                    </w:rPr>
                    <w:t>0.8382</w:t>
                  </w:r>
                </w:p>
              </w:tc>
              <w:tc>
                <w:tcPr>
                  <w:tcW w:w="765" w:type="pct"/>
                  <w:vAlign w:val="center"/>
                </w:tcPr>
                <w:p w14:paraId="682BE250">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50</w:t>
                  </w:r>
                </w:p>
              </w:tc>
              <w:tc>
                <w:tcPr>
                  <w:tcW w:w="647" w:type="pct"/>
                  <w:shd w:val="clear" w:color="auto" w:fill="auto"/>
                  <w:vAlign w:val="center"/>
                </w:tcPr>
                <w:p w14:paraId="0750DF66">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0.01676</w:t>
                  </w:r>
                </w:p>
              </w:tc>
            </w:tr>
            <w:tr w14:paraId="0B9F661A">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97" w:hRule="exact"/>
                <w:jc w:val="center"/>
              </w:trPr>
              <w:tc>
                <w:tcPr>
                  <w:tcW w:w="4352" w:type="pct"/>
                  <w:gridSpan w:val="5"/>
                  <w:shd w:val="clear" w:color="auto" w:fill="auto"/>
                  <w:vAlign w:val="center"/>
                </w:tcPr>
                <w:p w14:paraId="71A7CDC5">
                  <w:pPr>
                    <w:pStyle w:val="12"/>
                    <w:keepLines/>
                    <w:adjustRightInd w:val="0"/>
                    <w:snapToGrid w:val="0"/>
                    <w:spacing w:line="240" w:lineRule="auto"/>
                    <w:ind w:firstLine="0" w:firstLineChars="0"/>
                    <w:jc w:val="center"/>
                    <w:rPr>
                      <w:rFonts w:ascii="Times New Roman" w:hAnsi="Times New Roman"/>
                      <w:kern w:val="0"/>
                      <w:sz w:val="21"/>
                    </w:rPr>
                  </w:pPr>
                  <w:r>
                    <w:rPr>
                      <w:rFonts w:ascii="Times New Roman" w:hAnsi="Times New Roman"/>
                      <w:kern w:val="0"/>
                      <w:sz w:val="21"/>
                    </w:rPr>
                    <w:t>合计</w:t>
                  </w:r>
                </w:p>
              </w:tc>
              <w:tc>
                <w:tcPr>
                  <w:tcW w:w="647" w:type="pct"/>
                  <w:shd w:val="clear" w:color="auto" w:fill="auto"/>
                  <w:vAlign w:val="center"/>
                </w:tcPr>
                <w:p w14:paraId="1452C88E">
                  <w:pPr>
                    <w:pStyle w:val="12"/>
                    <w:keepLines/>
                    <w:adjustRightInd w:val="0"/>
                    <w:snapToGrid w:val="0"/>
                    <w:spacing w:line="240" w:lineRule="auto"/>
                    <w:ind w:firstLine="0" w:firstLineChars="0"/>
                    <w:jc w:val="center"/>
                    <w:rPr>
                      <w:rFonts w:ascii="Times New Roman" w:hAnsi="Times New Roman"/>
                      <w:kern w:val="0"/>
                      <w:sz w:val="21"/>
                    </w:rPr>
                  </w:pPr>
                  <w:r>
                    <w:rPr>
                      <w:rFonts w:hint="eastAsia" w:ascii="Times New Roman" w:hAnsi="Times New Roman"/>
                      <w:kern w:val="0"/>
                      <w:sz w:val="21"/>
                    </w:rPr>
                    <w:t>0.03344</w:t>
                  </w:r>
                </w:p>
              </w:tc>
            </w:tr>
            <w:tr w14:paraId="7A313F66">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559" w:hRule="atLeast"/>
                <w:jc w:val="center"/>
              </w:trPr>
              <w:tc>
                <w:tcPr>
                  <w:tcW w:w="5000" w:type="pct"/>
                  <w:gridSpan w:val="6"/>
                  <w:shd w:val="clear" w:color="auto" w:fill="auto"/>
                  <w:vAlign w:val="center"/>
                </w:tcPr>
                <w:p w14:paraId="4B9FA964">
                  <w:pPr>
                    <w:adjustRightInd w:val="0"/>
                    <w:snapToGrid w:val="0"/>
                    <w:spacing w:line="240" w:lineRule="auto"/>
                    <w:ind w:firstLine="0" w:firstLineChars="0"/>
                    <w:jc w:val="left"/>
                    <w:rPr>
                      <w:bCs/>
                      <w:kern w:val="0"/>
                      <w:sz w:val="21"/>
                      <w:szCs w:val="21"/>
                    </w:rPr>
                  </w:pPr>
                  <w:r>
                    <w:rPr>
                      <w:bCs/>
                      <w:kern w:val="0"/>
                      <w:sz w:val="21"/>
                      <w:szCs w:val="21"/>
                    </w:rPr>
                    <w:t>注：柴油最大储存量按照柴油储罐</w:t>
                  </w:r>
                  <w:r>
                    <w:rPr>
                      <w:rFonts w:hint="eastAsia"/>
                      <w:bCs/>
                      <w:kern w:val="0"/>
                      <w:sz w:val="21"/>
                      <w:szCs w:val="21"/>
                    </w:rPr>
                    <w:t>总</w:t>
                  </w:r>
                  <w:r>
                    <w:rPr>
                      <w:bCs/>
                      <w:kern w:val="0"/>
                      <w:sz w:val="21"/>
                      <w:szCs w:val="21"/>
                    </w:rPr>
                    <w:t>容积</w:t>
                  </w:r>
                  <w:r>
                    <w:rPr>
                      <w:rFonts w:hint="eastAsia"/>
                      <w:bCs/>
                      <w:kern w:val="0"/>
                      <w:sz w:val="21"/>
                      <w:szCs w:val="21"/>
                    </w:rPr>
                    <w:t>50</w:t>
                  </w:r>
                  <w:r>
                    <w:rPr>
                      <w:bCs/>
                      <w:kern w:val="0"/>
                      <w:sz w:val="21"/>
                      <w:szCs w:val="21"/>
                    </w:rPr>
                    <w:t>m</w:t>
                  </w:r>
                  <w:r>
                    <w:rPr>
                      <w:bCs/>
                      <w:kern w:val="0"/>
                      <w:sz w:val="21"/>
                      <w:szCs w:val="21"/>
                      <w:vertAlign w:val="superscript"/>
                    </w:rPr>
                    <w:t>3</w:t>
                  </w:r>
                  <w:r>
                    <w:rPr>
                      <w:rFonts w:hint="eastAsia"/>
                      <w:bCs/>
                      <w:kern w:val="0"/>
                      <w:sz w:val="21"/>
                      <w:szCs w:val="21"/>
                    </w:rPr>
                    <w:t>计</w:t>
                  </w:r>
                  <w:r>
                    <w:rPr>
                      <w:bCs/>
                      <w:kern w:val="0"/>
                      <w:sz w:val="21"/>
                      <w:szCs w:val="21"/>
                    </w:rPr>
                    <w:t>，充装系数0.9，柴油密度0.8</w:t>
                  </w:r>
                  <w:r>
                    <w:rPr>
                      <w:rFonts w:hint="eastAsia"/>
                      <w:bCs/>
                      <w:kern w:val="0"/>
                      <w:sz w:val="21"/>
                      <w:szCs w:val="21"/>
                    </w:rPr>
                    <w:t>6</w:t>
                  </w:r>
                  <w:r>
                    <w:rPr>
                      <w:bCs/>
                      <w:kern w:val="0"/>
                      <w:sz w:val="21"/>
                      <w:szCs w:val="21"/>
                    </w:rPr>
                    <w:t>g/</w:t>
                  </w:r>
                  <w:r>
                    <w:rPr>
                      <w:rFonts w:hint="eastAsia"/>
                      <w:bCs/>
                      <w:kern w:val="0"/>
                      <w:sz w:val="21"/>
                      <w:szCs w:val="21"/>
                    </w:rPr>
                    <w:t>c</w:t>
                  </w:r>
                  <w:r>
                    <w:rPr>
                      <w:bCs/>
                      <w:kern w:val="0"/>
                      <w:sz w:val="21"/>
                      <w:szCs w:val="21"/>
                    </w:rPr>
                    <w:t>m</w:t>
                  </w:r>
                  <w:r>
                    <w:rPr>
                      <w:bCs/>
                      <w:kern w:val="0"/>
                      <w:sz w:val="21"/>
                      <w:szCs w:val="21"/>
                      <w:vertAlign w:val="superscript"/>
                    </w:rPr>
                    <w:t>3</w:t>
                  </w:r>
                  <w:r>
                    <w:rPr>
                      <w:bCs/>
                      <w:kern w:val="0"/>
                      <w:sz w:val="21"/>
                      <w:szCs w:val="21"/>
                    </w:rPr>
                    <w:t>计算得到</w:t>
                  </w:r>
                  <w:r>
                    <w:rPr>
                      <w:rFonts w:hint="eastAsia"/>
                      <w:bCs/>
                      <w:kern w:val="0"/>
                      <w:sz w:val="21"/>
                      <w:szCs w:val="21"/>
                    </w:rPr>
                    <w:t>。</w:t>
                  </w:r>
                </w:p>
              </w:tc>
            </w:tr>
          </w:tbl>
          <w:p w14:paraId="199D7724">
            <w:pPr>
              <w:ind w:firstLine="480"/>
            </w:pPr>
            <w:r>
              <w:rPr>
                <w:rFonts w:hint="eastAsia"/>
              </w:rPr>
              <w:t>由上表可知，项目Q为0.03344&lt;1，环境风险潜势为</w:t>
            </w:r>
            <w:r>
              <w:rPr>
                <w:rFonts w:hint="eastAsia"/>
              </w:rPr>
              <w:fldChar w:fldCharType="begin"/>
            </w:r>
            <w:r>
              <w:rPr>
                <w:rFonts w:hint="eastAsia"/>
              </w:rPr>
              <w:instrText xml:space="preserve"> = 1 \* ROMAN \* MERGEFORMAT </w:instrText>
            </w:r>
            <w:r>
              <w:rPr>
                <w:rFonts w:hint="eastAsia"/>
              </w:rPr>
              <w:fldChar w:fldCharType="separate"/>
            </w:r>
            <w:r>
              <w:rPr>
                <w:rFonts w:hint="eastAsia"/>
              </w:rPr>
              <w:t>I</w:t>
            </w:r>
            <w:r>
              <w:rPr>
                <w:rFonts w:hint="eastAsia"/>
              </w:rPr>
              <w:fldChar w:fldCharType="end"/>
            </w:r>
            <w:r>
              <w:rPr>
                <w:rFonts w:hint="eastAsia"/>
              </w:rPr>
              <w:t>，根据《建设项目环境风险评价技术导则》（HJ169-2018）中环境风险评价工作等级划分，项目环境风险开展简单分析。</w:t>
            </w:r>
          </w:p>
          <w:p w14:paraId="4F942848">
            <w:pPr>
              <w:ind w:firstLine="482"/>
              <w:rPr>
                <w:b/>
                <w:bCs/>
              </w:rPr>
            </w:pPr>
            <w:r>
              <w:rPr>
                <w:rFonts w:hint="eastAsia"/>
                <w:b/>
                <w:bCs/>
              </w:rPr>
              <w:t>2、风险物质理化性质</w:t>
            </w:r>
          </w:p>
          <w:p w14:paraId="0D2471B4">
            <w:pPr>
              <w:ind w:firstLine="480"/>
            </w:pPr>
            <w:r>
              <w:rPr>
                <w:rFonts w:hint="eastAsia"/>
              </w:rPr>
              <w:t>（1）柴油</w:t>
            </w:r>
          </w:p>
          <w:p w14:paraId="2BFF075D">
            <w:pPr>
              <w:ind w:firstLine="422"/>
              <w:jc w:val="center"/>
              <w:rPr>
                <w:b/>
                <w:bCs/>
                <w:sz w:val="21"/>
                <w:szCs w:val="21"/>
              </w:rPr>
            </w:pPr>
            <w:r>
              <w:rPr>
                <w:rFonts w:hint="eastAsia"/>
                <w:b/>
                <w:bCs/>
                <w:sz w:val="21"/>
                <w:szCs w:val="21"/>
              </w:rPr>
              <w:t>表4-11  柴油理化性质表</w:t>
            </w:r>
          </w:p>
          <w:tbl>
            <w:tblPr>
              <w:tblStyle w:val="26"/>
              <w:tblW w:w="498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905"/>
              <w:gridCol w:w="916"/>
              <w:gridCol w:w="755"/>
              <w:gridCol w:w="723"/>
              <w:gridCol w:w="979"/>
              <w:gridCol w:w="270"/>
              <w:gridCol w:w="365"/>
              <w:gridCol w:w="634"/>
              <w:gridCol w:w="2280"/>
            </w:tblGrid>
            <w:tr w14:paraId="0977E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324" w:type="pct"/>
                  <w:vMerge w:val="restart"/>
                  <w:tcMar>
                    <w:left w:w="0" w:type="dxa"/>
                    <w:right w:w="0" w:type="dxa"/>
                  </w:tcMar>
                  <w:vAlign w:val="center"/>
                </w:tcPr>
                <w:p w14:paraId="25B5166E">
                  <w:pPr>
                    <w:spacing w:line="240" w:lineRule="auto"/>
                    <w:ind w:firstLine="0" w:firstLineChars="0"/>
                    <w:jc w:val="center"/>
                    <w:rPr>
                      <w:b/>
                      <w:bCs/>
                      <w:sz w:val="21"/>
                      <w:szCs w:val="21"/>
                    </w:rPr>
                  </w:pPr>
                  <w:r>
                    <w:rPr>
                      <w:rFonts w:hint="eastAsia"/>
                      <w:b/>
                      <w:bCs/>
                      <w:sz w:val="21"/>
                      <w:szCs w:val="21"/>
                    </w:rPr>
                    <w:t>标识信息</w:t>
                  </w:r>
                </w:p>
              </w:tc>
              <w:tc>
                <w:tcPr>
                  <w:tcW w:w="540" w:type="pct"/>
                  <w:vAlign w:val="center"/>
                </w:tcPr>
                <w:p w14:paraId="428F2022">
                  <w:pPr>
                    <w:spacing w:line="240" w:lineRule="auto"/>
                    <w:ind w:firstLine="0" w:firstLineChars="0"/>
                    <w:jc w:val="center"/>
                    <w:rPr>
                      <w:sz w:val="21"/>
                      <w:szCs w:val="21"/>
                    </w:rPr>
                  </w:pPr>
                  <w:r>
                    <w:rPr>
                      <w:rFonts w:hint="eastAsia"/>
                      <w:sz w:val="21"/>
                      <w:szCs w:val="21"/>
                    </w:rPr>
                    <w:t>中文名</w:t>
                  </w:r>
                </w:p>
              </w:tc>
              <w:tc>
                <w:tcPr>
                  <w:tcW w:w="998" w:type="pct"/>
                  <w:gridSpan w:val="2"/>
                  <w:vAlign w:val="center"/>
                </w:tcPr>
                <w:p w14:paraId="26C251EC">
                  <w:pPr>
                    <w:spacing w:line="240" w:lineRule="auto"/>
                    <w:ind w:firstLine="0" w:firstLineChars="0"/>
                    <w:jc w:val="center"/>
                    <w:rPr>
                      <w:sz w:val="21"/>
                      <w:szCs w:val="21"/>
                    </w:rPr>
                  </w:pPr>
                  <w:r>
                    <w:rPr>
                      <w:rFonts w:hint="eastAsia"/>
                      <w:sz w:val="21"/>
                      <w:szCs w:val="21"/>
                    </w:rPr>
                    <w:t>柴油</w:t>
                  </w:r>
                </w:p>
              </w:tc>
              <w:tc>
                <w:tcPr>
                  <w:tcW w:w="1396" w:type="pct"/>
                  <w:gridSpan w:val="4"/>
                  <w:vAlign w:val="center"/>
                </w:tcPr>
                <w:p w14:paraId="63C7BA69">
                  <w:pPr>
                    <w:spacing w:line="240" w:lineRule="auto"/>
                    <w:ind w:firstLine="0" w:firstLineChars="0"/>
                    <w:jc w:val="center"/>
                    <w:rPr>
                      <w:sz w:val="21"/>
                      <w:szCs w:val="21"/>
                    </w:rPr>
                  </w:pPr>
                  <w:r>
                    <w:rPr>
                      <w:rFonts w:hint="eastAsia"/>
                      <w:sz w:val="21"/>
                      <w:szCs w:val="21"/>
                    </w:rPr>
                    <w:t>英文名</w:t>
                  </w:r>
                </w:p>
              </w:tc>
              <w:tc>
                <w:tcPr>
                  <w:tcW w:w="1740" w:type="pct"/>
                  <w:gridSpan w:val="2"/>
                  <w:vAlign w:val="center"/>
                </w:tcPr>
                <w:p w14:paraId="454571F3">
                  <w:pPr>
                    <w:spacing w:line="240" w:lineRule="auto"/>
                    <w:ind w:firstLine="0" w:firstLineChars="0"/>
                    <w:jc w:val="center"/>
                    <w:rPr>
                      <w:sz w:val="21"/>
                      <w:szCs w:val="21"/>
                    </w:rPr>
                  </w:pPr>
                  <w:r>
                    <w:rPr>
                      <w:rFonts w:hint="eastAsia"/>
                      <w:sz w:val="21"/>
                      <w:szCs w:val="21"/>
                    </w:rPr>
                    <w:t>Diesel oil</w:t>
                  </w:r>
                </w:p>
              </w:tc>
            </w:tr>
            <w:tr w14:paraId="25398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324" w:type="pct"/>
                  <w:vMerge w:val="continue"/>
                  <w:tcMar>
                    <w:left w:w="0" w:type="dxa"/>
                    <w:right w:w="0" w:type="dxa"/>
                  </w:tcMar>
                  <w:vAlign w:val="center"/>
                </w:tcPr>
                <w:p w14:paraId="419A0D21">
                  <w:pPr>
                    <w:spacing w:line="240" w:lineRule="auto"/>
                    <w:ind w:firstLine="0" w:firstLineChars="0"/>
                    <w:jc w:val="center"/>
                    <w:rPr>
                      <w:b/>
                      <w:bCs/>
                      <w:sz w:val="21"/>
                      <w:szCs w:val="21"/>
                    </w:rPr>
                  </w:pPr>
                </w:p>
              </w:tc>
              <w:tc>
                <w:tcPr>
                  <w:tcW w:w="540" w:type="pct"/>
                  <w:shd w:val="clear" w:color="auto" w:fill="auto"/>
                  <w:vAlign w:val="center"/>
                </w:tcPr>
                <w:p w14:paraId="186A74D8">
                  <w:pPr>
                    <w:spacing w:line="240" w:lineRule="auto"/>
                    <w:ind w:firstLine="0" w:firstLineChars="0"/>
                    <w:jc w:val="center"/>
                    <w:rPr>
                      <w:sz w:val="21"/>
                      <w:szCs w:val="21"/>
                    </w:rPr>
                  </w:pPr>
                  <w:r>
                    <w:rPr>
                      <w:rFonts w:hint="eastAsia"/>
                      <w:sz w:val="21"/>
                      <w:szCs w:val="21"/>
                    </w:rPr>
                    <w:t>CAS号</w:t>
                  </w:r>
                </w:p>
              </w:tc>
              <w:tc>
                <w:tcPr>
                  <w:tcW w:w="998" w:type="pct"/>
                  <w:gridSpan w:val="2"/>
                  <w:shd w:val="clear" w:color="auto" w:fill="auto"/>
                  <w:vAlign w:val="center"/>
                </w:tcPr>
                <w:p w14:paraId="2CE6B632">
                  <w:pPr>
                    <w:spacing w:line="240" w:lineRule="auto"/>
                    <w:ind w:firstLine="0" w:firstLineChars="0"/>
                    <w:jc w:val="center"/>
                    <w:rPr>
                      <w:sz w:val="21"/>
                      <w:szCs w:val="21"/>
                    </w:rPr>
                  </w:pPr>
                  <w:r>
                    <w:rPr>
                      <w:rFonts w:hint="eastAsia"/>
                      <w:sz w:val="21"/>
                      <w:szCs w:val="21"/>
                    </w:rPr>
                    <w:t>68334-30-5</w:t>
                  </w:r>
                </w:p>
              </w:tc>
              <w:tc>
                <w:tcPr>
                  <w:tcW w:w="1396" w:type="pct"/>
                  <w:gridSpan w:val="4"/>
                  <w:shd w:val="clear" w:color="auto" w:fill="auto"/>
                  <w:vAlign w:val="center"/>
                </w:tcPr>
                <w:p w14:paraId="7B014796">
                  <w:pPr>
                    <w:spacing w:line="240" w:lineRule="auto"/>
                    <w:ind w:firstLine="0" w:firstLineChars="0"/>
                    <w:jc w:val="center"/>
                    <w:rPr>
                      <w:sz w:val="21"/>
                      <w:szCs w:val="21"/>
                    </w:rPr>
                  </w:pPr>
                  <w:r>
                    <w:rPr>
                      <w:rFonts w:hint="eastAsia"/>
                      <w:sz w:val="21"/>
                      <w:szCs w:val="21"/>
                    </w:rPr>
                    <w:t>危险性类别</w:t>
                  </w:r>
                </w:p>
              </w:tc>
              <w:tc>
                <w:tcPr>
                  <w:tcW w:w="1740" w:type="pct"/>
                  <w:gridSpan w:val="2"/>
                  <w:shd w:val="clear" w:color="auto" w:fill="auto"/>
                  <w:vAlign w:val="center"/>
                </w:tcPr>
                <w:p w14:paraId="641D5953">
                  <w:pPr>
                    <w:spacing w:line="240" w:lineRule="auto"/>
                    <w:ind w:firstLine="0" w:firstLineChars="0"/>
                    <w:jc w:val="center"/>
                    <w:rPr>
                      <w:sz w:val="21"/>
                      <w:szCs w:val="21"/>
                    </w:rPr>
                  </w:pPr>
                  <w:r>
                    <w:rPr>
                      <w:rFonts w:hint="eastAsia"/>
                      <w:sz w:val="21"/>
                      <w:szCs w:val="21"/>
                    </w:rPr>
                    <w:t>易燃液体，类别3</w:t>
                  </w:r>
                </w:p>
              </w:tc>
            </w:tr>
            <w:tr w14:paraId="60065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324" w:type="pct"/>
                  <w:vMerge w:val="continue"/>
                  <w:tcMar>
                    <w:left w:w="0" w:type="dxa"/>
                    <w:right w:w="0" w:type="dxa"/>
                  </w:tcMar>
                  <w:vAlign w:val="center"/>
                </w:tcPr>
                <w:p w14:paraId="651F8ADF">
                  <w:pPr>
                    <w:spacing w:line="240" w:lineRule="auto"/>
                    <w:ind w:firstLine="0" w:firstLineChars="0"/>
                    <w:jc w:val="center"/>
                    <w:rPr>
                      <w:b/>
                      <w:bCs/>
                      <w:sz w:val="21"/>
                      <w:szCs w:val="21"/>
                    </w:rPr>
                  </w:pPr>
                </w:p>
              </w:tc>
              <w:tc>
                <w:tcPr>
                  <w:tcW w:w="540" w:type="pct"/>
                  <w:vAlign w:val="center"/>
                </w:tcPr>
                <w:p w14:paraId="49EA5476">
                  <w:pPr>
                    <w:spacing w:line="240" w:lineRule="auto"/>
                    <w:ind w:firstLine="0" w:firstLineChars="0"/>
                    <w:jc w:val="center"/>
                    <w:rPr>
                      <w:sz w:val="21"/>
                      <w:szCs w:val="21"/>
                    </w:rPr>
                  </w:pPr>
                  <w:r>
                    <w:rPr>
                      <w:rFonts w:hint="eastAsia"/>
                      <w:sz w:val="21"/>
                      <w:szCs w:val="21"/>
                    </w:rPr>
                    <w:t>UN号</w:t>
                  </w:r>
                </w:p>
              </w:tc>
              <w:tc>
                <w:tcPr>
                  <w:tcW w:w="998" w:type="pct"/>
                  <w:gridSpan w:val="2"/>
                  <w:vAlign w:val="center"/>
                </w:tcPr>
                <w:p w14:paraId="6092D0C4">
                  <w:pPr>
                    <w:spacing w:line="240" w:lineRule="auto"/>
                    <w:ind w:firstLine="0" w:firstLineChars="0"/>
                    <w:jc w:val="center"/>
                    <w:rPr>
                      <w:sz w:val="21"/>
                      <w:szCs w:val="21"/>
                    </w:rPr>
                  </w:pPr>
                  <w:r>
                    <w:rPr>
                      <w:rFonts w:hint="eastAsia"/>
                      <w:sz w:val="21"/>
                      <w:szCs w:val="21"/>
                    </w:rPr>
                    <w:t>无资料</w:t>
                  </w:r>
                </w:p>
              </w:tc>
              <w:tc>
                <w:tcPr>
                  <w:tcW w:w="1396" w:type="pct"/>
                  <w:gridSpan w:val="4"/>
                  <w:vAlign w:val="center"/>
                </w:tcPr>
                <w:p w14:paraId="214B4EEE">
                  <w:pPr>
                    <w:spacing w:line="240" w:lineRule="auto"/>
                    <w:ind w:firstLine="0" w:firstLineChars="0"/>
                    <w:jc w:val="center"/>
                    <w:rPr>
                      <w:sz w:val="21"/>
                      <w:szCs w:val="21"/>
                    </w:rPr>
                  </w:pPr>
                  <w:r>
                    <w:rPr>
                      <w:rFonts w:hint="eastAsia"/>
                      <w:sz w:val="21"/>
                      <w:szCs w:val="21"/>
                    </w:rPr>
                    <w:t>危险货物编号（CN号）</w:t>
                  </w:r>
                </w:p>
              </w:tc>
              <w:tc>
                <w:tcPr>
                  <w:tcW w:w="1740" w:type="pct"/>
                  <w:gridSpan w:val="2"/>
                  <w:vAlign w:val="center"/>
                </w:tcPr>
                <w:p w14:paraId="047BE9E2">
                  <w:pPr>
                    <w:spacing w:line="240" w:lineRule="auto"/>
                    <w:ind w:firstLine="0" w:firstLineChars="0"/>
                    <w:jc w:val="center"/>
                    <w:rPr>
                      <w:sz w:val="21"/>
                      <w:szCs w:val="21"/>
                    </w:rPr>
                  </w:pPr>
                  <w:r>
                    <w:rPr>
                      <w:rFonts w:hint="eastAsia"/>
                      <w:sz w:val="21"/>
                      <w:szCs w:val="21"/>
                    </w:rPr>
                    <w:t>无资料</w:t>
                  </w:r>
                </w:p>
              </w:tc>
            </w:tr>
            <w:tr w14:paraId="0A24F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324" w:type="pct"/>
                  <w:vMerge w:val="restart"/>
                  <w:tcMar>
                    <w:left w:w="0" w:type="dxa"/>
                    <w:right w:w="0" w:type="dxa"/>
                  </w:tcMar>
                  <w:vAlign w:val="center"/>
                </w:tcPr>
                <w:p w14:paraId="1186067A">
                  <w:pPr>
                    <w:spacing w:line="240" w:lineRule="auto"/>
                    <w:ind w:firstLine="0" w:firstLineChars="0"/>
                    <w:jc w:val="center"/>
                    <w:rPr>
                      <w:b/>
                      <w:bCs/>
                      <w:sz w:val="21"/>
                      <w:szCs w:val="21"/>
                    </w:rPr>
                  </w:pPr>
                  <w:r>
                    <w:rPr>
                      <w:rFonts w:hint="eastAsia"/>
                      <w:b/>
                      <w:bCs/>
                      <w:sz w:val="21"/>
                      <w:szCs w:val="21"/>
                    </w:rPr>
                    <w:t>理化性质</w:t>
                  </w:r>
                </w:p>
              </w:tc>
              <w:tc>
                <w:tcPr>
                  <w:tcW w:w="540" w:type="pct"/>
                  <w:tcMar>
                    <w:left w:w="0" w:type="dxa"/>
                    <w:right w:w="0" w:type="dxa"/>
                  </w:tcMar>
                  <w:vAlign w:val="center"/>
                </w:tcPr>
                <w:p w14:paraId="58BC2818">
                  <w:pPr>
                    <w:spacing w:line="240" w:lineRule="auto"/>
                    <w:ind w:firstLine="0" w:firstLineChars="0"/>
                    <w:jc w:val="center"/>
                    <w:rPr>
                      <w:sz w:val="21"/>
                      <w:szCs w:val="21"/>
                    </w:rPr>
                  </w:pPr>
                  <w:r>
                    <w:rPr>
                      <w:rFonts w:hint="eastAsia"/>
                      <w:sz w:val="21"/>
                      <w:szCs w:val="21"/>
                    </w:rPr>
                    <w:t>外观性状</w:t>
                  </w:r>
                </w:p>
              </w:tc>
              <w:tc>
                <w:tcPr>
                  <w:tcW w:w="4135" w:type="pct"/>
                  <w:gridSpan w:val="8"/>
                  <w:vAlign w:val="center"/>
                </w:tcPr>
                <w:p w14:paraId="5F4CB87D">
                  <w:pPr>
                    <w:spacing w:line="240" w:lineRule="auto"/>
                    <w:ind w:firstLine="0" w:firstLineChars="0"/>
                    <w:jc w:val="center"/>
                    <w:rPr>
                      <w:sz w:val="21"/>
                      <w:szCs w:val="21"/>
                    </w:rPr>
                  </w:pPr>
                  <w:r>
                    <w:rPr>
                      <w:rFonts w:hint="eastAsia"/>
                      <w:sz w:val="21"/>
                      <w:szCs w:val="21"/>
                    </w:rPr>
                    <w:t>稍有黏性的棕色液体</w:t>
                  </w:r>
                </w:p>
              </w:tc>
            </w:tr>
            <w:tr w14:paraId="239D4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324" w:type="pct"/>
                  <w:vMerge w:val="continue"/>
                  <w:tcMar>
                    <w:left w:w="0" w:type="dxa"/>
                    <w:right w:w="0" w:type="dxa"/>
                  </w:tcMar>
                  <w:vAlign w:val="center"/>
                </w:tcPr>
                <w:p w14:paraId="1F4FBBE4">
                  <w:pPr>
                    <w:spacing w:line="240" w:lineRule="auto"/>
                    <w:ind w:firstLine="0" w:firstLineChars="0"/>
                    <w:jc w:val="center"/>
                    <w:rPr>
                      <w:b/>
                      <w:bCs/>
                      <w:sz w:val="21"/>
                      <w:szCs w:val="21"/>
                    </w:rPr>
                  </w:pPr>
                </w:p>
              </w:tc>
              <w:tc>
                <w:tcPr>
                  <w:tcW w:w="540" w:type="pct"/>
                  <w:vAlign w:val="center"/>
                </w:tcPr>
                <w:p w14:paraId="21D9C18E">
                  <w:pPr>
                    <w:spacing w:line="240" w:lineRule="auto"/>
                    <w:ind w:firstLine="0" w:firstLineChars="0"/>
                    <w:jc w:val="center"/>
                    <w:rPr>
                      <w:sz w:val="21"/>
                      <w:szCs w:val="21"/>
                    </w:rPr>
                  </w:pPr>
                  <w:r>
                    <w:rPr>
                      <w:rFonts w:hint="eastAsia"/>
                      <w:sz w:val="21"/>
                      <w:szCs w:val="21"/>
                    </w:rPr>
                    <w:t>熔点</w:t>
                  </w:r>
                </w:p>
              </w:tc>
              <w:tc>
                <w:tcPr>
                  <w:tcW w:w="547" w:type="pct"/>
                  <w:vAlign w:val="center"/>
                </w:tcPr>
                <w:p w14:paraId="43FF173D">
                  <w:pPr>
                    <w:spacing w:line="240" w:lineRule="auto"/>
                    <w:ind w:firstLine="0" w:firstLineChars="0"/>
                    <w:jc w:val="center"/>
                    <w:rPr>
                      <w:sz w:val="21"/>
                      <w:szCs w:val="21"/>
                    </w:rPr>
                  </w:pPr>
                  <w:r>
                    <w:rPr>
                      <w:rFonts w:hint="eastAsia"/>
                      <w:sz w:val="21"/>
                      <w:szCs w:val="21"/>
                    </w:rPr>
                    <w:t>-18℃</w:t>
                  </w:r>
                </w:p>
              </w:tc>
              <w:tc>
                <w:tcPr>
                  <w:tcW w:w="882" w:type="pct"/>
                  <w:gridSpan w:val="2"/>
                  <w:vAlign w:val="center"/>
                </w:tcPr>
                <w:p w14:paraId="3F18D8CD">
                  <w:pPr>
                    <w:spacing w:line="240" w:lineRule="auto"/>
                    <w:ind w:firstLine="0" w:firstLineChars="0"/>
                    <w:jc w:val="center"/>
                    <w:rPr>
                      <w:sz w:val="21"/>
                      <w:szCs w:val="21"/>
                    </w:rPr>
                  </w:pPr>
                  <w:r>
                    <w:rPr>
                      <w:rFonts w:hint="eastAsia"/>
                      <w:sz w:val="21"/>
                      <w:szCs w:val="21"/>
                    </w:rPr>
                    <w:t>临界温度</w:t>
                  </w:r>
                </w:p>
              </w:tc>
              <w:tc>
                <w:tcPr>
                  <w:tcW w:w="585" w:type="pct"/>
                  <w:vAlign w:val="center"/>
                </w:tcPr>
                <w:p w14:paraId="1B5723E9">
                  <w:pPr>
                    <w:spacing w:line="240" w:lineRule="auto"/>
                    <w:ind w:firstLine="0" w:firstLineChars="0"/>
                    <w:jc w:val="center"/>
                    <w:rPr>
                      <w:sz w:val="21"/>
                      <w:szCs w:val="21"/>
                    </w:rPr>
                  </w:pPr>
                  <w:r>
                    <w:rPr>
                      <w:rFonts w:hint="eastAsia"/>
                      <w:sz w:val="21"/>
                      <w:szCs w:val="21"/>
                    </w:rPr>
                    <w:t>无资料</w:t>
                  </w:r>
                </w:p>
              </w:tc>
              <w:tc>
                <w:tcPr>
                  <w:tcW w:w="758" w:type="pct"/>
                  <w:gridSpan w:val="3"/>
                  <w:vAlign w:val="center"/>
                </w:tcPr>
                <w:p w14:paraId="038AB7B4">
                  <w:pPr>
                    <w:spacing w:line="240" w:lineRule="auto"/>
                    <w:ind w:firstLine="0" w:firstLineChars="0"/>
                    <w:jc w:val="center"/>
                    <w:rPr>
                      <w:sz w:val="21"/>
                      <w:szCs w:val="21"/>
                    </w:rPr>
                  </w:pPr>
                  <w:r>
                    <w:rPr>
                      <w:rFonts w:hint="eastAsia"/>
                      <w:sz w:val="21"/>
                      <w:szCs w:val="21"/>
                    </w:rPr>
                    <w:t>相对密度</w:t>
                  </w:r>
                </w:p>
              </w:tc>
              <w:tc>
                <w:tcPr>
                  <w:tcW w:w="1361" w:type="pct"/>
                  <w:vAlign w:val="center"/>
                </w:tcPr>
                <w:p w14:paraId="1E81736A">
                  <w:pPr>
                    <w:spacing w:line="240" w:lineRule="auto"/>
                    <w:ind w:firstLine="0" w:firstLineChars="0"/>
                    <w:jc w:val="center"/>
                    <w:rPr>
                      <w:sz w:val="21"/>
                      <w:szCs w:val="21"/>
                    </w:rPr>
                  </w:pPr>
                  <w:r>
                    <w:rPr>
                      <w:rFonts w:hint="eastAsia"/>
                      <w:sz w:val="21"/>
                      <w:szCs w:val="21"/>
                    </w:rPr>
                    <w:t>（水=1)0.81～0.85</w:t>
                  </w:r>
                </w:p>
              </w:tc>
            </w:tr>
            <w:tr w14:paraId="08A2F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324" w:type="pct"/>
                  <w:vMerge w:val="continue"/>
                  <w:tcMar>
                    <w:left w:w="0" w:type="dxa"/>
                    <w:right w:w="0" w:type="dxa"/>
                  </w:tcMar>
                  <w:vAlign w:val="center"/>
                </w:tcPr>
                <w:p w14:paraId="1A6D1D55">
                  <w:pPr>
                    <w:spacing w:line="240" w:lineRule="auto"/>
                    <w:ind w:firstLine="0" w:firstLineChars="0"/>
                    <w:jc w:val="center"/>
                    <w:rPr>
                      <w:b/>
                      <w:bCs/>
                      <w:sz w:val="21"/>
                      <w:szCs w:val="21"/>
                    </w:rPr>
                  </w:pPr>
                </w:p>
              </w:tc>
              <w:tc>
                <w:tcPr>
                  <w:tcW w:w="540" w:type="pct"/>
                  <w:vAlign w:val="center"/>
                </w:tcPr>
                <w:p w14:paraId="11D31385">
                  <w:pPr>
                    <w:spacing w:line="240" w:lineRule="auto"/>
                    <w:ind w:firstLine="0" w:firstLineChars="0"/>
                    <w:jc w:val="center"/>
                    <w:rPr>
                      <w:sz w:val="21"/>
                      <w:szCs w:val="21"/>
                    </w:rPr>
                  </w:pPr>
                  <w:r>
                    <w:rPr>
                      <w:rFonts w:hint="eastAsia"/>
                      <w:sz w:val="21"/>
                      <w:szCs w:val="21"/>
                    </w:rPr>
                    <w:t>沸点</w:t>
                  </w:r>
                </w:p>
              </w:tc>
              <w:tc>
                <w:tcPr>
                  <w:tcW w:w="547" w:type="pct"/>
                  <w:tcMar>
                    <w:left w:w="0" w:type="dxa"/>
                    <w:right w:w="0" w:type="dxa"/>
                  </w:tcMar>
                  <w:vAlign w:val="center"/>
                </w:tcPr>
                <w:p w14:paraId="6F660F7F">
                  <w:pPr>
                    <w:spacing w:line="240" w:lineRule="auto"/>
                    <w:ind w:firstLine="0" w:firstLineChars="0"/>
                    <w:jc w:val="center"/>
                    <w:rPr>
                      <w:sz w:val="21"/>
                      <w:szCs w:val="21"/>
                    </w:rPr>
                  </w:pPr>
                  <w:r>
                    <w:rPr>
                      <w:rFonts w:hint="eastAsia"/>
                      <w:sz w:val="21"/>
                      <w:szCs w:val="21"/>
                    </w:rPr>
                    <w:t>282~338</w:t>
                  </w:r>
                </w:p>
              </w:tc>
              <w:tc>
                <w:tcPr>
                  <w:tcW w:w="882" w:type="pct"/>
                  <w:gridSpan w:val="2"/>
                  <w:vAlign w:val="center"/>
                </w:tcPr>
                <w:p w14:paraId="5191D144">
                  <w:pPr>
                    <w:spacing w:line="240" w:lineRule="auto"/>
                    <w:ind w:firstLine="0" w:firstLineChars="0"/>
                    <w:jc w:val="center"/>
                    <w:rPr>
                      <w:sz w:val="21"/>
                      <w:szCs w:val="21"/>
                    </w:rPr>
                  </w:pPr>
                  <w:r>
                    <w:rPr>
                      <w:rFonts w:hint="eastAsia"/>
                      <w:sz w:val="21"/>
                      <w:szCs w:val="21"/>
                    </w:rPr>
                    <w:t>临界压力</w:t>
                  </w:r>
                </w:p>
              </w:tc>
              <w:tc>
                <w:tcPr>
                  <w:tcW w:w="585" w:type="pct"/>
                  <w:vAlign w:val="center"/>
                </w:tcPr>
                <w:p w14:paraId="1A558829">
                  <w:pPr>
                    <w:spacing w:line="240" w:lineRule="auto"/>
                    <w:ind w:firstLine="0" w:firstLineChars="0"/>
                    <w:jc w:val="center"/>
                    <w:rPr>
                      <w:sz w:val="21"/>
                      <w:szCs w:val="21"/>
                    </w:rPr>
                  </w:pPr>
                  <w:r>
                    <w:rPr>
                      <w:rFonts w:hint="eastAsia"/>
                      <w:sz w:val="21"/>
                      <w:szCs w:val="21"/>
                    </w:rPr>
                    <w:t>无资料</w:t>
                  </w:r>
                </w:p>
              </w:tc>
              <w:tc>
                <w:tcPr>
                  <w:tcW w:w="758" w:type="pct"/>
                  <w:gridSpan w:val="3"/>
                  <w:vAlign w:val="center"/>
                </w:tcPr>
                <w:p w14:paraId="241CDE7E">
                  <w:pPr>
                    <w:spacing w:line="240" w:lineRule="auto"/>
                    <w:ind w:firstLine="0" w:firstLineChars="0"/>
                    <w:jc w:val="center"/>
                    <w:rPr>
                      <w:sz w:val="21"/>
                      <w:szCs w:val="21"/>
                    </w:rPr>
                  </w:pPr>
                  <w:r>
                    <w:rPr>
                      <w:rFonts w:hint="eastAsia"/>
                      <w:sz w:val="21"/>
                      <w:szCs w:val="21"/>
                    </w:rPr>
                    <w:t>蒸气</w:t>
                  </w:r>
                </w:p>
              </w:tc>
              <w:tc>
                <w:tcPr>
                  <w:tcW w:w="1361" w:type="pct"/>
                  <w:vAlign w:val="center"/>
                </w:tcPr>
                <w:p w14:paraId="7D9D02E1">
                  <w:pPr>
                    <w:spacing w:line="240" w:lineRule="auto"/>
                    <w:ind w:firstLine="0" w:firstLineChars="0"/>
                    <w:jc w:val="center"/>
                    <w:rPr>
                      <w:sz w:val="21"/>
                      <w:szCs w:val="21"/>
                    </w:rPr>
                  </w:pPr>
                  <w:r>
                    <w:rPr>
                      <w:rFonts w:hint="eastAsia"/>
                      <w:sz w:val="21"/>
                      <w:szCs w:val="21"/>
                    </w:rPr>
                    <w:t>无资料</w:t>
                  </w:r>
                </w:p>
              </w:tc>
            </w:tr>
            <w:tr w14:paraId="1F0A7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324" w:type="pct"/>
                  <w:vMerge w:val="continue"/>
                  <w:tcMar>
                    <w:left w:w="0" w:type="dxa"/>
                    <w:right w:w="0" w:type="dxa"/>
                  </w:tcMar>
                  <w:vAlign w:val="center"/>
                </w:tcPr>
                <w:p w14:paraId="3CB005C5">
                  <w:pPr>
                    <w:spacing w:line="240" w:lineRule="auto"/>
                    <w:ind w:firstLine="0" w:firstLineChars="0"/>
                    <w:jc w:val="center"/>
                    <w:rPr>
                      <w:b/>
                      <w:bCs/>
                      <w:sz w:val="21"/>
                      <w:szCs w:val="21"/>
                    </w:rPr>
                  </w:pPr>
                </w:p>
              </w:tc>
              <w:tc>
                <w:tcPr>
                  <w:tcW w:w="540" w:type="pct"/>
                  <w:vAlign w:val="center"/>
                </w:tcPr>
                <w:p w14:paraId="365D7C01">
                  <w:pPr>
                    <w:spacing w:line="240" w:lineRule="auto"/>
                    <w:ind w:firstLine="0" w:firstLineChars="0"/>
                    <w:jc w:val="center"/>
                    <w:rPr>
                      <w:sz w:val="21"/>
                      <w:szCs w:val="21"/>
                    </w:rPr>
                  </w:pPr>
                  <w:r>
                    <w:rPr>
                      <w:rFonts w:hint="eastAsia"/>
                      <w:sz w:val="21"/>
                      <w:szCs w:val="21"/>
                    </w:rPr>
                    <w:t>燃烧热</w:t>
                  </w:r>
                </w:p>
              </w:tc>
              <w:tc>
                <w:tcPr>
                  <w:tcW w:w="547" w:type="pct"/>
                  <w:vAlign w:val="center"/>
                </w:tcPr>
                <w:p w14:paraId="2A2456AB">
                  <w:pPr>
                    <w:spacing w:line="240" w:lineRule="auto"/>
                    <w:ind w:firstLine="0" w:firstLineChars="0"/>
                    <w:jc w:val="center"/>
                    <w:rPr>
                      <w:sz w:val="21"/>
                      <w:szCs w:val="21"/>
                    </w:rPr>
                  </w:pPr>
                  <w:r>
                    <w:rPr>
                      <w:rFonts w:hint="eastAsia"/>
                      <w:sz w:val="21"/>
                      <w:szCs w:val="21"/>
                    </w:rPr>
                    <w:t>无资料</w:t>
                  </w:r>
                </w:p>
              </w:tc>
              <w:tc>
                <w:tcPr>
                  <w:tcW w:w="882" w:type="pct"/>
                  <w:gridSpan w:val="2"/>
                  <w:vAlign w:val="center"/>
                </w:tcPr>
                <w:p w14:paraId="38ECE13C">
                  <w:pPr>
                    <w:spacing w:line="240" w:lineRule="auto"/>
                    <w:ind w:firstLine="0" w:firstLineChars="0"/>
                    <w:jc w:val="center"/>
                    <w:rPr>
                      <w:sz w:val="21"/>
                      <w:szCs w:val="21"/>
                    </w:rPr>
                  </w:pPr>
                  <w:r>
                    <w:rPr>
                      <w:rFonts w:hint="eastAsia"/>
                      <w:sz w:val="21"/>
                      <w:szCs w:val="21"/>
                    </w:rPr>
                    <w:t>最小点火能量</w:t>
                  </w:r>
                </w:p>
              </w:tc>
              <w:tc>
                <w:tcPr>
                  <w:tcW w:w="585" w:type="pct"/>
                  <w:vAlign w:val="center"/>
                </w:tcPr>
                <w:p w14:paraId="162DB2E0">
                  <w:pPr>
                    <w:spacing w:line="240" w:lineRule="auto"/>
                    <w:ind w:firstLine="0" w:firstLineChars="0"/>
                    <w:jc w:val="center"/>
                    <w:rPr>
                      <w:sz w:val="21"/>
                      <w:szCs w:val="21"/>
                    </w:rPr>
                  </w:pPr>
                  <w:r>
                    <w:rPr>
                      <w:rFonts w:hint="eastAsia"/>
                      <w:sz w:val="21"/>
                      <w:szCs w:val="21"/>
                    </w:rPr>
                    <w:t>无资料</w:t>
                  </w:r>
                </w:p>
              </w:tc>
              <w:tc>
                <w:tcPr>
                  <w:tcW w:w="758" w:type="pct"/>
                  <w:gridSpan w:val="3"/>
                  <w:vAlign w:val="center"/>
                </w:tcPr>
                <w:p w14:paraId="08570517">
                  <w:pPr>
                    <w:spacing w:line="240" w:lineRule="auto"/>
                    <w:ind w:firstLine="0" w:firstLineChars="0"/>
                    <w:jc w:val="center"/>
                    <w:rPr>
                      <w:sz w:val="21"/>
                      <w:szCs w:val="21"/>
                    </w:rPr>
                  </w:pPr>
                  <w:r>
                    <w:rPr>
                      <w:rFonts w:hint="eastAsia"/>
                      <w:sz w:val="21"/>
                      <w:szCs w:val="21"/>
                    </w:rPr>
                    <w:t>饱和蒸汽压</w:t>
                  </w:r>
                </w:p>
              </w:tc>
              <w:tc>
                <w:tcPr>
                  <w:tcW w:w="1361" w:type="pct"/>
                  <w:vAlign w:val="center"/>
                </w:tcPr>
                <w:p w14:paraId="5DA213C5">
                  <w:pPr>
                    <w:spacing w:line="240" w:lineRule="auto"/>
                    <w:ind w:firstLine="0" w:firstLineChars="0"/>
                    <w:jc w:val="center"/>
                    <w:rPr>
                      <w:sz w:val="21"/>
                      <w:szCs w:val="21"/>
                    </w:rPr>
                  </w:pPr>
                  <w:r>
                    <w:rPr>
                      <w:rFonts w:hint="eastAsia"/>
                      <w:sz w:val="21"/>
                      <w:szCs w:val="21"/>
                    </w:rPr>
                    <w:t>无资料</w:t>
                  </w:r>
                </w:p>
              </w:tc>
            </w:tr>
            <w:tr w14:paraId="0E56C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324" w:type="pct"/>
                  <w:vMerge w:val="restart"/>
                  <w:tcMar>
                    <w:left w:w="0" w:type="dxa"/>
                    <w:right w:w="0" w:type="dxa"/>
                  </w:tcMar>
                  <w:vAlign w:val="center"/>
                </w:tcPr>
                <w:p w14:paraId="17D8A559">
                  <w:pPr>
                    <w:spacing w:line="240" w:lineRule="auto"/>
                    <w:ind w:firstLine="0" w:firstLineChars="0"/>
                    <w:jc w:val="center"/>
                    <w:rPr>
                      <w:b/>
                      <w:bCs/>
                      <w:sz w:val="21"/>
                      <w:szCs w:val="21"/>
                    </w:rPr>
                  </w:pPr>
                  <w:r>
                    <w:rPr>
                      <w:rFonts w:hint="eastAsia"/>
                      <w:b/>
                      <w:bCs/>
                      <w:sz w:val="21"/>
                      <w:szCs w:val="21"/>
                    </w:rPr>
                    <w:t>燃烧爆炸危险特性</w:t>
                  </w:r>
                </w:p>
              </w:tc>
              <w:tc>
                <w:tcPr>
                  <w:tcW w:w="540" w:type="pct"/>
                  <w:vAlign w:val="center"/>
                </w:tcPr>
                <w:p w14:paraId="55D3E7A6">
                  <w:pPr>
                    <w:spacing w:line="240" w:lineRule="auto"/>
                    <w:ind w:firstLine="0" w:firstLineChars="0"/>
                    <w:jc w:val="center"/>
                    <w:rPr>
                      <w:sz w:val="21"/>
                      <w:szCs w:val="21"/>
                    </w:rPr>
                  </w:pPr>
                  <w:r>
                    <w:rPr>
                      <w:rFonts w:hint="eastAsia"/>
                      <w:sz w:val="21"/>
                      <w:szCs w:val="21"/>
                    </w:rPr>
                    <w:t>燃烧性</w:t>
                  </w:r>
                </w:p>
              </w:tc>
              <w:tc>
                <w:tcPr>
                  <w:tcW w:w="547" w:type="pct"/>
                  <w:vAlign w:val="center"/>
                </w:tcPr>
                <w:p w14:paraId="54DB40D1">
                  <w:pPr>
                    <w:spacing w:line="240" w:lineRule="auto"/>
                    <w:ind w:firstLine="0" w:firstLineChars="0"/>
                    <w:jc w:val="center"/>
                    <w:rPr>
                      <w:sz w:val="21"/>
                      <w:szCs w:val="21"/>
                    </w:rPr>
                  </w:pPr>
                  <w:r>
                    <w:rPr>
                      <w:rFonts w:hint="eastAsia"/>
                      <w:sz w:val="21"/>
                      <w:szCs w:val="21"/>
                    </w:rPr>
                    <w:t>易燃</w:t>
                  </w:r>
                </w:p>
              </w:tc>
              <w:tc>
                <w:tcPr>
                  <w:tcW w:w="882" w:type="pct"/>
                  <w:gridSpan w:val="2"/>
                  <w:vAlign w:val="center"/>
                </w:tcPr>
                <w:p w14:paraId="637B79AD">
                  <w:pPr>
                    <w:spacing w:line="240" w:lineRule="auto"/>
                    <w:ind w:firstLine="0" w:firstLineChars="0"/>
                    <w:jc w:val="center"/>
                    <w:rPr>
                      <w:sz w:val="21"/>
                      <w:szCs w:val="21"/>
                    </w:rPr>
                  </w:pPr>
                  <w:r>
                    <w:rPr>
                      <w:rFonts w:hint="eastAsia"/>
                      <w:sz w:val="21"/>
                      <w:szCs w:val="21"/>
                    </w:rPr>
                    <w:t>建规危险分级</w:t>
                  </w:r>
                </w:p>
              </w:tc>
              <w:tc>
                <w:tcPr>
                  <w:tcW w:w="585" w:type="pct"/>
                  <w:vAlign w:val="center"/>
                </w:tcPr>
                <w:p w14:paraId="05661352">
                  <w:pPr>
                    <w:spacing w:line="240" w:lineRule="auto"/>
                    <w:ind w:firstLine="0" w:firstLineChars="0"/>
                    <w:jc w:val="center"/>
                    <w:rPr>
                      <w:sz w:val="21"/>
                      <w:szCs w:val="21"/>
                    </w:rPr>
                  </w:pPr>
                  <w:r>
                    <w:rPr>
                      <w:rFonts w:hint="eastAsia"/>
                      <w:sz w:val="21"/>
                      <w:szCs w:val="21"/>
                    </w:rPr>
                    <w:t>乙</w:t>
                  </w:r>
                </w:p>
              </w:tc>
              <w:tc>
                <w:tcPr>
                  <w:tcW w:w="758" w:type="pct"/>
                  <w:gridSpan w:val="3"/>
                  <w:vAlign w:val="center"/>
                </w:tcPr>
                <w:p w14:paraId="38DA62A3">
                  <w:pPr>
                    <w:spacing w:line="240" w:lineRule="auto"/>
                    <w:ind w:firstLine="0" w:firstLineChars="0"/>
                    <w:jc w:val="center"/>
                    <w:rPr>
                      <w:sz w:val="21"/>
                      <w:szCs w:val="21"/>
                    </w:rPr>
                  </w:pPr>
                  <w:r>
                    <w:rPr>
                      <w:rFonts w:hint="eastAsia"/>
                      <w:sz w:val="21"/>
                      <w:szCs w:val="21"/>
                    </w:rPr>
                    <w:t>燃烧产物</w:t>
                  </w:r>
                </w:p>
              </w:tc>
              <w:tc>
                <w:tcPr>
                  <w:tcW w:w="1361" w:type="pct"/>
                  <w:vAlign w:val="center"/>
                </w:tcPr>
                <w:p w14:paraId="0B9D61AD">
                  <w:pPr>
                    <w:spacing w:line="240" w:lineRule="auto"/>
                    <w:ind w:firstLine="0" w:firstLineChars="0"/>
                    <w:jc w:val="center"/>
                    <w:rPr>
                      <w:sz w:val="21"/>
                      <w:szCs w:val="21"/>
                    </w:rPr>
                  </w:pPr>
                  <w:r>
                    <w:rPr>
                      <w:rFonts w:hint="eastAsia"/>
                      <w:sz w:val="21"/>
                      <w:szCs w:val="21"/>
                    </w:rPr>
                    <w:t>一氧化碳、二氧化碳</w:t>
                  </w:r>
                </w:p>
              </w:tc>
            </w:tr>
            <w:tr w14:paraId="1D7F8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324" w:type="pct"/>
                  <w:vMerge w:val="continue"/>
                  <w:tcMar>
                    <w:left w:w="0" w:type="dxa"/>
                    <w:right w:w="0" w:type="dxa"/>
                  </w:tcMar>
                  <w:vAlign w:val="center"/>
                </w:tcPr>
                <w:p w14:paraId="5C47EF77">
                  <w:pPr>
                    <w:spacing w:line="240" w:lineRule="auto"/>
                    <w:ind w:firstLine="0" w:firstLineChars="0"/>
                    <w:jc w:val="center"/>
                    <w:rPr>
                      <w:b/>
                      <w:bCs/>
                      <w:sz w:val="21"/>
                      <w:szCs w:val="21"/>
                    </w:rPr>
                  </w:pPr>
                </w:p>
              </w:tc>
              <w:tc>
                <w:tcPr>
                  <w:tcW w:w="540" w:type="pct"/>
                  <w:vAlign w:val="center"/>
                </w:tcPr>
                <w:p w14:paraId="1D2AE49D">
                  <w:pPr>
                    <w:spacing w:line="240" w:lineRule="auto"/>
                    <w:ind w:firstLine="0" w:firstLineChars="0"/>
                    <w:jc w:val="center"/>
                    <w:rPr>
                      <w:sz w:val="21"/>
                      <w:szCs w:val="21"/>
                    </w:rPr>
                  </w:pPr>
                  <w:r>
                    <w:rPr>
                      <w:rFonts w:hint="eastAsia"/>
                      <w:sz w:val="21"/>
                      <w:szCs w:val="21"/>
                    </w:rPr>
                    <w:t>闪点</w:t>
                  </w:r>
                </w:p>
              </w:tc>
              <w:tc>
                <w:tcPr>
                  <w:tcW w:w="2015" w:type="pct"/>
                  <w:gridSpan w:val="4"/>
                  <w:vAlign w:val="center"/>
                </w:tcPr>
                <w:p w14:paraId="54B39D10">
                  <w:pPr>
                    <w:spacing w:line="240" w:lineRule="auto"/>
                    <w:ind w:firstLine="0" w:firstLineChars="0"/>
                    <w:jc w:val="center"/>
                    <w:rPr>
                      <w:sz w:val="21"/>
                      <w:szCs w:val="21"/>
                    </w:rPr>
                  </w:pPr>
                  <w:r>
                    <w:rPr>
                      <w:rFonts w:hint="eastAsia"/>
                      <w:sz w:val="21"/>
                      <w:szCs w:val="21"/>
                    </w:rPr>
                    <w:t>不小于55℃</w:t>
                  </w:r>
                </w:p>
              </w:tc>
              <w:tc>
                <w:tcPr>
                  <w:tcW w:w="758" w:type="pct"/>
                  <w:gridSpan w:val="3"/>
                  <w:vAlign w:val="center"/>
                </w:tcPr>
                <w:p w14:paraId="0537DF13">
                  <w:pPr>
                    <w:spacing w:line="240" w:lineRule="auto"/>
                    <w:ind w:firstLine="0" w:firstLineChars="0"/>
                    <w:jc w:val="center"/>
                    <w:rPr>
                      <w:sz w:val="21"/>
                      <w:szCs w:val="21"/>
                    </w:rPr>
                  </w:pPr>
                  <w:r>
                    <w:rPr>
                      <w:rFonts w:hint="eastAsia"/>
                      <w:sz w:val="21"/>
                      <w:szCs w:val="21"/>
                    </w:rPr>
                    <w:t>爆炸极限</w:t>
                  </w:r>
                </w:p>
              </w:tc>
              <w:tc>
                <w:tcPr>
                  <w:tcW w:w="1361" w:type="pct"/>
                  <w:vAlign w:val="center"/>
                </w:tcPr>
                <w:p w14:paraId="7FD98069">
                  <w:pPr>
                    <w:spacing w:line="240" w:lineRule="auto"/>
                    <w:ind w:firstLine="0" w:firstLineChars="0"/>
                    <w:jc w:val="center"/>
                    <w:rPr>
                      <w:sz w:val="21"/>
                      <w:szCs w:val="21"/>
                    </w:rPr>
                  </w:pPr>
                  <w:r>
                    <w:rPr>
                      <w:rFonts w:hint="eastAsia"/>
                      <w:sz w:val="21"/>
                      <w:szCs w:val="21"/>
                    </w:rPr>
                    <w:t>无资料</w:t>
                  </w:r>
                </w:p>
              </w:tc>
            </w:tr>
            <w:tr w14:paraId="61C9F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324" w:type="pct"/>
                  <w:vMerge w:val="continue"/>
                  <w:tcMar>
                    <w:left w:w="0" w:type="dxa"/>
                    <w:right w:w="0" w:type="dxa"/>
                  </w:tcMar>
                  <w:vAlign w:val="center"/>
                </w:tcPr>
                <w:p w14:paraId="6A8FCD2C">
                  <w:pPr>
                    <w:spacing w:line="240" w:lineRule="auto"/>
                    <w:ind w:firstLine="0" w:firstLineChars="0"/>
                    <w:jc w:val="center"/>
                    <w:rPr>
                      <w:b/>
                      <w:bCs/>
                      <w:sz w:val="21"/>
                      <w:szCs w:val="21"/>
                    </w:rPr>
                  </w:pPr>
                </w:p>
              </w:tc>
              <w:tc>
                <w:tcPr>
                  <w:tcW w:w="4675" w:type="pct"/>
                  <w:gridSpan w:val="9"/>
                  <w:vAlign w:val="center"/>
                </w:tcPr>
                <w:p w14:paraId="12542AD4">
                  <w:pPr>
                    <w:spacing w:line="240" w:lineRule="auto"/>
                    <w:ind w:firstLine="0" w:firstLineChars="0"/>
                    <w:jc w:val="center"/>
                    <w:rPr>
                      <w:sz w:val="21"/>
                      <w:szCs w:val="21"/>
                    </w:rPr>
                  </w:pPr>
                  <w:r>
                    <w:rPr>
                      <w:rFonts w:hint="eastAsia"/>
                      <w:sz w:val="21"/>
                      <w:szCs w:val="21"/>
                    </w:rPr>
                    <w:t>危险特性：本品易燃，具有刺激性，闪点不低于55℃，低毒；遇明火、高热或与氧化剂接触，有引起燃烧爆炸的危险；若遇高热，容器内压增大，有开裂和爆炸的危险。</w:t>
                  </w:r>
                </w:p>
              </w:tc>
            </w:tr>
            <w:tr w14:paraId="095ED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324" w:type="pct"/>
                  <w:vMerge w:val="continue"/>
                  <w:tcMar>
                    <w:left w:w="0" w:type="dxa"/>
                    <w:right w:w="0" w:type="dxa"/>
                  </w:tcMar>
                  <w:vAlign w:val="center"/>
                </w:tcPr>
                <w:p w14:paraId="5FB483F8">
                  <w:pPr>
                    <w:spacing w:line="240" w:lineRule="auto"/>
                    <w:ind w:firstLine="0" w:firstLineChars="0"/>
                    <w:jc w:val="center"/>
                    <w:rPr>
                      <w:b/>
                      <w:bCs/>
                      <w:sz w:val="21"/>
                      <w:szCs w:val="21"/>
                    </w:rPr>
                  </w:pPr>
                </w:p>
              </w:tc>
              <w:tc>
                <w:tcPr>
                  <w:tcW w:w="540" w:type="pct"/>
                  <w:vAlign w:val="center"/>
                </w:tcPr>
                <w:p w14:paraId="0C50E9E6">
                  <w:pPr>
                    <w:spacing w:line="240" w:lineRule="auto"/>
                    <w:ind w:firstLine="0" w:firstLineChars="0"/>
                    <w:jc w:val="center"/>
                    <w:rPr>
                      <w:sz w:val="21"/>
                      <w:szCs w:val="21"/>
                    </w:rPr>
                  </w:pPr>
                  <w:r>
                    <w:rPr>
                      <w:rFonts w:hint="eastAsia"/>
                      <w:sz w:val="21"/>
                      <w:szCs w:val="21"/>
                    </w:rPr>
                    <w:t>稳定性</w:t>
                  </w:r>
                </w:p>
              </w:tc>
              <w:tc>
                <w:tcPr>
                  <w:tcW w:w="1430" w:type="pct"/>
                  <w:gridSpan w:val="3"/>
                  <w:vAlign w:val="center"/>
                </w:tcPr>
                <w:p w14:paraId="208EF4F2">
                  <w:pPr>
                    <w:spacing w:line="240" w:lineRule="auto"/>
                    <w:ind w:firstLine="0" w:firstLineChars="0"/>
                    <w:jc w:val="center"/>
                    <w:rPr>
                      <w:sz w:val="21"/>
                      <w:szCs w:val="21"/>
                    </w:rPr>
                  </w:pPr>
                  <w:r>
                    <w:rPr>
                      <w:rFonts w:hint="eastAsia"/>
                      <w:sz w:val="21"/>
                      <w:szCs w:val="21"/>
                    </w:rPr>
                    <w:t>稳定</w:t>
                  </w:r>
                </w:p>
              </w:tc>
              <w:tc>
                <w:tcPr>
                  <w:tcW w:w="746" w:type="pct"/>
                  <w:gridSpan w:val="2"/>
                  <w:vAlign w:val="center"/>
                </w:tcPr>
                <w:p w14:paraId="29F6ED56">
                  <w:pPr>
                    <w:spacing w:line="240" w:lineRule="auto"/>
                    <w:ind w:firstLine="0" w:firstLineChars="0"/>
                    <w:jc w:val="center"/>
                    <w:rPr>
                      <w:sz w:val="21"/>
                      <w:szCs w:val="21"/>
                    </w:rPr>
                  </w:pPr>
                  <w:r>
                    <w:rPr>
                      <w:rFonts w:hint="eastAsia"/>
                      <w:sz w:val="21"/>
                      <w:szCs w:val="21"/>
                    </w:rPr>
                    <w:t>禁忌物</w:t>
                  </w:r>
                </w:p>
              </w:tc>
              <w:tc>
                <w:tcPr>
                  <w:tcW w:w="1958" w:type="pct"/>
                  <w:gridSpan w:val="3"/>
                  <w:vAlign w:val="center"/>
                </w:tcPr>
                <w:p w14:paraId="6D10F8FA">
                  <w:pPr>
                    <w:spacing w:line="240" w:lineRule="auto"/>
                    <w:ind w:firstLine="0" w:firstLineChars="0"/>
                    <w:jc w:val="center"/>
                    <w:rPr>
                      <w:sz w:val="21"/>
                      <w:szCs w:val="21"/>
                    </w:rPr>
                  </w:pPr>
                  <w:r>
                    <w:rPr>
                      <w:rFonts w:hint="eastAsia"/>
                      <w:sz w:val="21"/>
                      <w:szCs w:val="21"/>
                    </w:rPr>
                    <w:t>强氧化剂、卤素</w:t>
                  </w:r>
                </w:p>
              </w:tc>
            </w:tr>
            <w:tr w14:paraId="5DBA6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324" w:type="pct"/>
                  <w:vMerge w:val="continue"/>
                  <w:tcMar>
                    <w:left w:w="0" w:type="dxa"/>
                    <w:right w:w="0" w:type="dxa"/>
                  </w:tcMar>
                  <w:vAlign w:val="center"/>
                </w:tcPr>
                <w:p w14:paraId="5C842AFD">
                  <w:pPr>
                    <w:spacing w:line="240" w:lineRule="auto"/>
                    <w:ind w:firstLine="0" w:firstLineChars="0"/>
                    <w:jc w:val="center"/>
                    <w:rPr>
                      <w:b/>
                      <w:bCs/>
                      <w:sz w:val="21"/>
                      <w:szCs w:val="21"/>
                    </w:rPr>
                  </w:pPr>
                </w:p>
              </w:tc>
              <w:tc>
                <w:tcPr>
                  <w:tcW w:w="4675" w:type="pct"/>
                  <w:gridSpan w:val="9"/>
                  <w:vAlign w:val="center"/>
                </w:tcPr>
                <w:p w14:paraId="7FC6A924">
                  <w:pPr>
                    <w:spacing w:line="240" w:lineRule="auto"/>
                    <w:ind w:firstLine="0" w:firstLineChars="0"/>
                    <w:jc w:val="left"/>
                    <w:rPr>
                      <w:sz w:val="21"/>
                      <w:szCs w:val="21"/>
                    </w:rPr>
                  </w:pPr>
                  <w:r>
                    <w:rPr>
                      <w:rFonts w:hint="eastAsia"/>
                      <w:sz w:val="21"/>
                      <w:szCs w:val="21"/>
                    </w:rPr>
                    <w:t>灭火方法：消防人员须佩戴防毒面具、穿全身消防服，在上风向灭火。尽可能将容器从火场中移至空旷处。喷水保持火场容器冷却，直到灭火结束。处在火场中的容器若已变色或从安全泄压装置中产生声音，必须马上离开。灭火剂：雾状水、泡沫、干粉、二氧化碳、砂土。</w:t>
                  </w:r>
                </w:p>
              </w:tc>
            </w:tr>
            <w:tr w14:paraId="4069F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324" w:type="pct"/>
                  <w:tcMar>
                    <w:left w:w="0" w:type="dxa"/>
                    <w:right w:w="0" w:type="dxa"/>
                  </w:tcMar>
                  <w:vAlign w:val="center"/>
                </w:tcPr>
                <w:p w14:paraId="3B9B3A13">
                  <w:pPr>
                    <w:spacing w:line="240" w:lineRule="auto"/>
                    <w:ind w:firstLine="0" w:firstLineChars="0"/>
                    <w:jc w:val="center"/>
                    <w:rPr>
                      <w:b/>
                      <w:bCs/>
                      <w:sz w:val="21"/>
                      <w:szCs w:val="21"/>
                    </w:rPr>
                  </w:pPr>
                  <w:r>
                    <w:rPr>
                      <w:rFonts w:hint="eastAsia"/>
                      <w:b/>
                      <w:bCs/>
                      <w:sz w:val="21"/>
                      <w:szCs w:val="21"/>
                    </w:rPr>
                    <w:t>储运要求</w:t>
                  </w:r>
                </w:p>
              </w:tc>
              <w:tc>
                <w:tcPr>
                  <w:tcW w:w="4675" w:type="pct"/>
                  <w:gridSpan w:val="9"/>
                  <w:vAlign w:val="center"/>
                </w:tcPr>
                <w:p w14:paraId="46135D22">
                  <w:pPr>
                    <w:spacing w:line="240" w:lineRule="auto"/>
                    <w:ind w:firstLine="0" w:firstLineChars="0"/>
                    <w:jc w:val="left"/>
                    <w:rPr>
                      <w:sz w:val="21"/>
                      <w:szCs w:val="21"/>
                    </w:rPr>
                  </w:pPr>
                  <w:r>
                    <w:rPr>
                      <w:rFonts w:hint="eastAsia"/>
                      <w:sz w:val="21"/>
                      <w:szCs w:val="21"/>
                    </w:rPr>
                    <w:t>储运要求：储存于阴凉、通风的库房，远离火种、热源。应与氧化剂、卤素分开存放，切忌混储。采用防爆型照明、通风设施。禁止使用产生火花的机械设备和工具。储区应备有泄漏应急处理设备和合适的收容材料。</w:t>
                  </w:r>
                </w:p>
              </w:tc>
            </w:tr>
            <w:tr w14:paraId="2CFC5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324" w:type="pct"/>
                  <w:vMerge w:val="restart"/>
                  <w:tcMar>
                    <w:left w:w="0" w:type="dxa"/>
                    <w:right w:w="0" w:type="dxa"/>
                  </w:tcMar>
                  <w:vAlign w:val="center"/>
                </w:tcPr>
                <w:p w14:paraId="2676305A">
                  <w:pPr>
                    <w:spacing w:line="240" w:lineRule="auto"/>
                    <w:ind w:firstLine="0" w:firstLineChars="0"/>
                    <w:jc w:val="center"/>
                    <w:rPr>
                      <w:b/>
                      <w:bCs/>
                      <w:sz w:val="21"/>
                      <w:szCs w:val="21"/>
                    </w:rPr>
                  </w:pPr>
                  <w:r>
                    <w:rPr>
                      <w:rFonts w:hint="eastAsia"/>
                      <w:b/>
                      <w:bCs/>
                      <w:sz w:val="21"/>
                      <w:szCs w:val="21"/>
                    </w:rPr>
                    <w:t>毒性</w:t>
                  </w:r>
                </w:p>
                <w:p w14:paraId="658D5DA8">
                  <w:pPr>
                    <w:spacing w:line="240" w:lineRule="auto"/>
                    <w:ind w:firstLine="0" w:firstLineChars="0"/>
                    <w:jc w:val="center"/>
                    <w:rPr>
                      <w:b/>
                      <w:bCs/>
                      <w:sz w:val="21"/>
                      <w:szCs w:val="21"/>
                    </w:rPr>
                  </w:pPr>
                  <w:r>
                    <w:rPr>
                      <w:rFonts w:hint="eastAsia"/>
                      <w:b/>
                      <w:bCs/>
                      <w:sz w:val="21"/>
                      <w:szCs w:val="21"/>
                    </w:rPr>
                    <w:t>与健康危害</w:t>
                  </w:r>
                </w:p>
              </w:tc>
              <w:tc>
                <w:tcPr>
                  <w:tcW w:w="4675" w:type="pct"/>
                  <w:gridSpan w:val="9"/>
                  <w:vAlign w:val="center"/>
                </w:tcPr>
                <w:p w14:paraId="4E4C30F9">
                  <w:pPr>
                    <w:spacing w:line="240" w:lineRule="auto"/>
                    <w:ind w:firstLine="0" w:firstLineChars="0"/>
                    <w:jc w:val="center"/>
                    <w:rPr>
                      <w:sz w:val="21"/>
                      <w:szCs w:val="21"/>
                    </w:rPr>
                  </w:pPr>
                  <w:r>
                    <w:rPr>
                      <w:rFonts w:hint="eastAsia"/>
                      <w:sz w:val="21"/>
                      <w:szCs w:val="21"/>
                    </w:rPr>
                    <w:t>毒理资料：无资料</w:t>
                  </w:r>
                </w:p>
              </w:tc>
            </w:tr>
            <w:tr w14:paraId="72DFA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324" w:type="pct"/>
                  <w:vMerge w:val="continue"/>
                  <w:tcMar>
                    <w:left w:w="0" w:type="dxa"/>
                    <w:right w:w="0" w:type="dxa"/>
                  </w:tcMar>
                  <w:vAlign w:val="center"/>
                </w:tcPr>
                <w:p w14:paraId="6C432A28">
                  <w:pPr>
                    <w:spacing w:line="240" w:lineRule="auto"/>
                    <w:ind w:firstLine="0" w:firstLineChars="0"/>
                    <w:jc w:val="center"/>
                    <w:rPr>
                      <w:b/>
                      <w:bCs/>
                      <w:sz w:val="21"/>
                      <w:szCs w:val="21"/>
                    </w:rPr>
                  </w:pPr>
                </w:p>
              </w:tc>
              <w:tc>
                <w:tcPr>
                  <w:tcW w:w="4675" w:type="pct"/>
                  <w:gridSpan w:val="9"/>
                  <w:vAlign w:val="center"/>
                </w:tcPr>
                <w:p w14:paraId="59993C0D">
                  <w:pPr>
                    <w:spacing w:line="240" w:lineRule="auto"/>
                    <w:ind w:firstLine="0" w:firstLineChars="0"/>
                    <w:jc w:val="center"/>
                    <w:rPr>
                      <w:sz w:val="21"/>
                      <w:szCs w:val="21"/>
                    </w:rPr>
                  </w:pPr>
                  <w:r>
                    <w:rPr>
                      <w:rFonts w:hint="eastAsia"/>
                      <w:sz w:val="21"/>
                      <w:szCs w:val="21"/>
                    </w:rPr>
                    <w:t>侵入途径：吸入、食入、经皮吸收</w:t>
                  </w:r>
                </w:p>
              </w:tc>
            </w:tr>
            <w:tr w14:paraId="45EED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324" w:type="pct"/>
                  <w:vMerge w:val="continue"/>
                  <w:tcMar>
                    <w:left w:w="0" w:type="dxa"/>
                    <w:right w:w="0" w:type="dxa"/>
                  </w:tcMar>
                  <w:vAlign w:val="center"/>
                </w:tcPr>
                <w:p w14:paraId="21E19FE1">
                  <w:pPr>
                    <w:spacing w:line="240" w:lineRule="auto"/>
                    <w:ind w:firstLine="0" w:firstLineChars="0"/>
                    <w:jc w:val="center"/>
                    <w:rPr>
                      <w:b/>
                      <w:bCs/>
                      <w:sz w:val="21"/>
                      <w:szCs w:val="21"/>
                    </w:rPr>
                  </w:pPr>
                </w:p>
              </w:tc>
              <w:tc>
                <w:tcPr>
                  <w:tcW w:w="4675" w:type="pct"/>
                  <w:gridSpan w:val="9"/>
                  <w:vAlign w:val="center"/>
                </w:tcPr>
                <w:p w14:paraId="58EE07E0">
                  <w:pPr>
                    <w:spacing w:line="240" w:lineRule="auto"/>
                    <w:ind w:firstLine="0" w:firstLineChars="0"/>
                    <w:jc w:val="left"/>
                    <w:rPr>
                      <w:sz w:val="21"/>
                      <w:szCs w:val="21"/>
                    </w:rPr>
                  </w:pPr>
                  <w:r>
                    <w:rPr>
                      <w:rFonts w:hint="eastAsia"/>
                      <w:sz w:val="21"/>
                      <w:szCs w:val="21"/>
                    </w:rPr>
                    <w:t>健康危害：皮肤接触是主要吸收途径，可致急性肾脏损害；接触柴油可引起接触性皮炎、油性痤疮。吸入雾滴或液体呛入可引起吸入性肺炎；能经胎盘进入胎儿血中。柴油废气可引起眼、鼻刺激征状，头晕及头痛。</w:t>
                  </w:r>
                </w:p>
              </w:tc>
            </w:tr>
            <w:tr w14:paraId="7F897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324" w:type="pct"/>
                  <w:vMerge w:val="continue"/>
                  <w:tcMar>
                    <w:left w:w="0" w:type="dxa"/>
                    <w:right w:w="0" w:type="dxa"/>
                  </w:tcMar>
                  <w:vAlign w:val="center"/>
                </w:tcPr>
                <w:p w14:paraId="52ABEFA7">
                  <w:pPr>
                    <w:spacing w:line="240" w:lineRule="auto"/>
                    <w:ind w:firstLine="0" w:firstLineChars="0"/>
                    <w:jc w:val="center"/>
                    <w:rPr>
                      <w:b/>
                      <w:bCs/>
                      <w:sz w:val="21"/>
                      <w:szCs w:val="21"/>
                    </w:rPr>
                  </w:pPr>
                </w:p>
              </w:tc>
              <w:tc>
                <w:tcPr>
                  <w:tcW w:w="4675" w:type="pct"/>
                  <w:gridSpan w:val="9"/>
                  <w:vAlign w:val="center"/>
                </w:tcPr>
                <w:p w14:paraId="7D26651C">
                  <w:pPr>
                    <w:spacing w:line="240" w:lineRule="auto"/>
                    <w:ind w:firstLine="0" w:firstLineChars="0"/>
                    <w:jc w:val="center"/>
                    <w:rPr>
                      <w:sz w:val="21"/>
                      <w:szCs w:val="21"/>
                    </w:rPr>
                  </w:pPr>
                  <w:r>
                    <w:rPr>
                      <w:rFonts w:hint="eastAsia"/>
                      <w:sz w:val="21"/>
                      <w:szCs w:val="21"/>
                    </w:rPr>
                    <w:t>接触限值：未制定标准</w:t>
                  </w:r>
                </w:p>
              </w:tc>
            </w:tr>
          </w:tbl>
          <w:p w14:paraId="1250CCCD">
            <w:pPr>
              <w:ind w:firstLine="482"/>
              <w:rPr>
                <w:b/>
                <w:bCs/>
              </w:rPr>
            </w:pPr>
            <w:r>
              <w:rPr>
                <w:rFonts w:hint="eastAsia"/>
                <w:b/>
                <w:bCs/>
              </w:rPr>
              <w:t>（2）导热油</w:t>
            </w:r>
          </w:p>
          <w:p w14:paraId="4843A2EB">
            <w:pPr>
              <w:ind w:firstLine="422"/>
              <w:jc w:val="center"/>
              <w:rPr>
                <w:b/>
                <w:bCs/>
              </w:rPr>
            </w:pPr>
            <w:r>
              <w:rPr>
                <w:rFonts w:hint="eastAsia"/>
                <w:b/>
                <w:bCs/>
                <w:sz w:val="21"/>
                <w:szCs w:val="21"/>
              </w:rPr>
              <w:t>表4-11  导热油理化性质表</w:t>
            </w:r>
          </w:p>
          <w:tbl>
            <w:tblPr>
              <w:tblStyle w:val="27"/>
              <w:tblW w:w="84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2607"/>
              <w:gridCol w:w="2069"/>
              <w:gridCol w:w="2206"/>
            </w:tblGrid>
            <w:tr w14:paraId="722E4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8" w:type="dxa"/>
                  <w:gridSpan w:val="4"/>
                  <w:vAlign w:val="center"/>
                </w:tcPr>
                <w:p w14:paraId="73A12119">
                  <w:pPr>
                    <w:spacing w:line="240" w:lineRule="auto"/>
                    <w:ind w:firstLine="0" w:firstLineChars="0"/>
                    <w:jc w:val="center"/>
                    <w:rPr>
                      <w:sz w:val="21"/>
                      <w:szCs w:val="21"/>
                    </w:rPr>
                  </w:pPr>
                  <w:r>
                    <w:rPr>
                      <w:rFonts w:hint="eastAsia"/>
                      <w:b/>
                      <w:bCs/>
                      <w:sz w:val="21"/>
                      <w:szCs w:val="21"/>
                    </w:rPr>
                    <w:t>第一部分 危险特征概述</w:t>
                  </w:r>
                </w:p>
              </w:tc>
            </w:tr>
            <w:tr w14:paraId="7D19E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454131E1">
                  <w:pPr>
                    <w:spacing w:line="240" w:lineRule="auto"/>
                    <w:ind w:firstLine="0" w:firstLineChars="0"/>
                    <w:jc w:val="center"/>
                    <w:rPr>
                      <w:sz w:val="21"/>
                      <w:szCs w:val="21"/>
                    </w:rPr>
                  </w:pPr>
                  <w:r>
                    <w:rPr>
                      <w:rFonts w:hint="eastAsia"/>
                      <w:sz w:val="21"/>
                      <w:szCs w:val="21"/>
                    </w:rPr>
                    <w:t>危险性类别</w:t>
                  </w:r>
                </w:p>
              </w:tc>
              <w:tc>
                <w:tcPr>
                  <w:tcW w:w="2607" w:type="dxa"/>
                  <w:vAlign w:val="center"/>
                </w:tcPr>
                <w:p w14:paraId="745BF0F8">
                  <w:pPr>
                    <w:spacing w:line="240" w:lineRule="auto"/>
                    <w:ind w:firstLine="0" w:firstLineChars="0"/>
                    <w:jc w:val="center"/>
                    <w:rPr>
                      <w:sz w:val="21"/>
                      <w:szCs w:val="21"/>
                    </w:rPr>
                  </w:pPr>
                  <w:r>
                    <w:rPr>
                      <w:rFonts w:hint="eastAsia"/>
                      <w:sz w:val="21"/>
                      <w:szCs w:val="21"/>
                    </w:rPr>
                    <w:t>可燃液体</w:t>
                  </w:r>
                </w:p>
              </w:tc>
              <w:tc>
                <w:tcPr>
                  <w:tcW w:w="2069" w:type="dxa"/>
                  <w:vAlign w:val="center"/>
                </w:tcPr>
                <w:p w14:paraId="33F93A53">
                  <w:pPr>
                    <w:spacing w:line="240" w:lineRule="auto"/>
                    <w:ind w:firstLine="0" w:firstLineChars="0"/>
                    <w:jc w:val="center"/>
                    <w:rPr>
                      <w:sz w:val="21"/>
                      <w:szCs w:val="21"/>
                    </w:rPr>
                  </w:pPr>
                  <w:r>
                    <w:rPr>
                      <w:rFonts w:hint="eastAsia"/>
                      <w:sz w:val="21"/>
                      <w:szCs w:val="21"/>
                    </w:rPr>
                    <w:t>燃爆危险</w:t>
                  </w:r>
                </w:p>
              </w:tc>
              <w:tc>
                <w:tcPr>
                  <w:tcW w:w="2206" w:type="dxa"/>
                  <w:vAlign w:val="center"/>
                </w:tcPr>
                <w:p w14:paraId="43DDA127">
                  <w:pPr>
                    <w:spacing w:line="240" w:lineRule="auto"/>
                    <w:ind w:firstLine="0" w:firstLineChars="0"/>
                    <w:jc w:val="center"/>
                    <w:rPr>
                      <w:sz w:val="21"/>
                      <w:szCs w:val="21"/>
                    </w:rPr>
                  </w:pPr>
                  <w:r>
                    <w:rPr>
                      <w:rFonts w:hint="eastAsia"/>
                      <w:sz w:val="21"/>
                      <w:szCs w:val="21"/>
                    </w:rPr>
                    <w:t>遇明火高热可燃</w:t>
                  </w:r>
                </w:p>
              </w:tc>
            </w:tr>
            <w:tr w14:paraId="201FF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3FA6EB85">
                  <w:pPr>
                    <w:spacing w:line="240" w:lineRule="auto"/>
                    <w:ind w:firstLine="0" w:firstLineChars="0"/>
                    <w:jc w:val="center"/>
                    <w:rPr>
                      <w:sz w:val="21"/>
                      <w:szCs w:val="21"/>
                    </w:rPr>
                  </w:pPr>
                  <w:r>
                    <w:rPr>
                      <w:rFonts w:hint="eastAsia"/>
                      <w:sz w:val="21"/>
                      <w:szCs w:val="21"/>
                    </w:rPr>
                    <w:t>入侵途径</w:t>
                  </w:r>
                </w:p>
              </w:tc>
              <w:tc>
                <w:tcPr>
                  <w:tcW w:w="2607" w:type="dxa"/>
                  <w:vAlign w:val="center"/>
                </w:tcPr>
                <w:p w14:paraId="766D24B0">
                  <w:pPr>
                    <w:spacing w:line="240" w:lineRule="auto"/>
                    <w:ind w:firstLine="0" w:firstLineChars="0"/>
                    <w:jc w:val="center"/>
                    <w:rPr>
                      <w:sz w:val="21"/>
                      <w:szCs w:val="21"/>
                    </w:rPr>
                  </w:pPr>
                  <w:r>
                    <w:rPr>
                      <w:rFonts w:hint="eastAsia"/>
                      <w:sz w:val="21"/>
                      <w:szCs w:val="21"/>
                    </w:rPr>
                    <w:t>吸入、食入、经皮肤吸收</w:t>
                  </w:r>
                </w:p>
              </w:tc>
              <w:tc>
                <w:tcPr>
                  <w:tcW w:w="2069" w:type="dxa"/>
                  <w:vAlign w:val="center"/>
                </w:tcPr>
                <w:p w14:paraId="3DB04337">
                  <w:pPr>
                    <w:spacing w:line="240" w:lineRule="auto"/>
                    <w:ind w:firstLine="0" w:firstLineChars="0"/>
                    <w:jc w:val="center"/>
                    <w:rPr>
                      <w:sz w:val="21"/>
                      <w:szCs w:val="21"/>
                    </w:rPr>
                  </w:pPr>
                  <w:r>
                    <w:rPr>
                      <w:rFonts w:hint="eastAsia"/>
                      <w:sz w:val="21"/>
                      <w:szCs w:val="21"/>
                    </w:rPr>
                    <w:t>有害燃烧产物</w:t>
                  </w:r>
                </w:p>
              </w:tc>
              <w:tc>
                <w:tcPr>
                  <w:tcW w:w="2206" w:type="dxa"/>
                  <w:vAlign w:val="center"/>
                </w:tcPr>
                <w:p w14:paraId="5BAD71BB">
                  <w:pPr>
                    <w:spacing w:line="240" w:lineRule="auto"/>
                    <w:ind w:firstLine="0" w:firstLineChars="0"/>
                    <w:jc w:val="center"/>
                    <w:rPr>
                      <w:sz w:val="21"/>
                      <w:szCs w:val="21"/>
                    </w:rPr>
                  </w:pPr>
                  <w:r>
                    <w:rPr>
                      <w:rFonts w:hint="eastAsia"/>
                      <w:sz w:val="21"/>
                      <w:szCs w:val="21"/>
                    </w:rPr>
                    <w:t>CO、CO</w:t>
                  </w:r>
                  <w:r>
                    <w:rPr>
                      <w:rFonts w:hint="eastAsia"/>
                      <w:sz w:val="21"/>
                      <w:szCs w:val="21"/>
                      <w:vertAlign w:val="subscript"/>
                    </w:rPr>
                    <w:t>2</w:t>
                  </w:r>
                </w:p>
              </w:tc>
            </w:tr>
            <w:tr w14:paraId="00561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757B7142">
                  <w:pPr>
                    <w:spacing w:line="240" w:lineRule="auto"/>
                    <w:ind w:firstLine="0" w:firstLineChars="0"/>
                    <w:jc w:val="center"/>
                    <w:rPr>
                      <w:sz w:val="21"/>
                      <w:szCs w:val="21"/>
                    </w:rPr>
                  </w:pPr>
                  <w:r>
                    <w:rPr>
                      <w:rFonts w:hint="eastAsia"/>
                      <w:sz w:val="21"/>
                      <w:szCs w:val="21"/>
                    </w:rPr>
                    <w:t>环境危害</w:t>
                  </w:r>
                </w:p>
              </w:tc>
              <w:tc>
                <w:tcPr>
                  <w:tcW w:w="6882" w:type="dxa"/>
                  <w:gridSpan w:val="3"/>
                  <w:vAlign w:val="center"/>
                </w:tcPr>
                <w:p w14:paraId="43B65E6F">
                  <w:pPr>
                    <w:spacing w:line="240" w:lineRule="auto"/>
                    <w:ind w:firstLine="0" w:firstLineChars="0"/>
                    <w:jc w:val="center"/>
                    <w:rPr>
                      <w:sz w:val="21"/>
                      <w:szCs w:val="21"/>
                    </w:rPr>
                  </w:pPr>
                  <w:r>
                    <w:rPr>
                      <w:rFonts w:hint="eastAsia"/>
                      <w:sz w:val="21"/>
                      <w:szCs w:val="21"/>
                    </w:rPr>
                    <w:t>该物质对环境有危害，应特别注意对地表水、土壤、大气和饮用水的危害</w:t>
                  </w:r>
                </w:p>
              </w:tc>
            </w:tr>
            <w:tr w14:paraId="57238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8" w:type="dxa"/>
                  <w:gridSpan w:val="4"/>
                  <w:vAlign w:val="center"/>
                </w:tcPr>
                <w:p w14:paraId="5D5F1983">
                  <w:pPr>
                    <w:spacing w:line="240" w:lineRule="auto"/>
                    <w:ind w:firstLine="0" w:firstLineChars="0"/>
                    <w:jc w:val="center"/>
                    <w:rPr>
                      <w:sz w:val="21"/>
                      <w:szCs w:val="21"/>
                    </w:rPr>
                  </w:pPr>
                  <w:r>
                    <w:rPr>
                      <w:rFonts w:hint="eastAsia"/>
                      <w:b/>
                      <w:bCs/>
                      <w:sz w:val="21"/>
                      <w:szCs w:val="21"/>
                    </w:rPr>
                    <w:t>第二部分 理化性质</w:t>
                  </w:r>
                </w:p>
              </w:tc>
            </w:tr>
            <w:tr w14:paraId="2493D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04B0357A">
                  <w:pPr>
                    <w:spacing w:line="240" w:lineRule="auto"/>
                    <w:ind w:firstLine="0" w:firstLineChars="0"/>
                    <w:jc w:val="center"/>
                    <w:rPr>
                      <w:sz w:val="21"/>
                      <w:szCs w:val="21"/>
                    </w:rPr>
                  </w:pPr>
                  <w:r>
                    <w:rPr>
                      <w:rFonts w:hint="eastAsia"/>
                      <w:sz w:val="21"/>
                      <w:szCs w:val="21"/>
                    </w:rPr>
                    <w:t>外观及形状</w:t>
                  </w:r>
                </w:p>
              </w:tc>
              <w:tc>
                <w:tcPr>
                  <w:tcW w:w="2607" w:type="dxa"/>
                  <w:vAlign w:val="center"/>
                </w:tcPr>
                <w:p w14:paraId="5A764EA9">
                  <w:pPr>
                    <w:spacing w:line="240" w:lineRule="auto"/>
                    <w:ind w:firstLine="0" w:firstLineChars="0"/>
                    <w:jc w:val="center"/>
                    <w:rPr>
                      <w:sz w:val="21"/>
                      <w:szCs w:val="21"/>
                    </w:rPr>
                  </w:pPr>
                  <w:r>
                    <w:rPr>
                      <w:rFonts w:hint="eastAsia"/>
                      <w:sz w:val="21"/>
                      <w:szCs w:val="21"/>
                    </w:rPr>
                    <w:t>琥珀色室温下液体 矿物油特性</w:t>
                  </w:r>
                </w:p>
              </w:tc>
              <w:tc>
                <w:tcPr>
                  <w:tcW w:w="2069" w:type="dxa"/>
                  <w:vAlign w:val="center"/>
                </w:tcPr>
                <w:p w14:paraId="6F5DFFD0">
                  <w:pPr>
                    <w:spacing w:line="240" w:lineRule="auto"/>
                    <w:ind w:firstLine="0" w:firstLineChars="0"/>
                    <w:jc w:val="center"/>
                    <w:rPr>
                      <w:sz w:val="21"/>
                      <w:szCs w:val="21"/>
                    </w:rPr>
                  </w:pPr>
                  <w:r>
                    <w:rPr>
                      <w:rFonts w:hint="eastAsia"/>
                      <w:sz w:val="21"/>
                      <w:szCs w:val="21"/>
                    </w:rPr>
                    <w:t>主要用途</w:t>
                  </w:r>
                </w:p>
              </w:tc>
              <w:tc>
                <w:tcPr>
                  <w:tcW w:w="2206" w:type="dxa"/>
                  <w:vAlign w:val="center"/>
                </w:tcPr>
                <w:p w14:paraId="1E52C7FC">
                  <w:pPr>
                    <w:spacing w:line="240" w:lineRule="auto"/>
                    <w:ind w:firstLine="0" w:firstLineChars="0"/>
                    <w:jc w:val="center"/>
                    <w:rPr>
                      <w:sz w:val="21"/>
                      <w:szCs w:val="21"/>
                    </w:rPr>
                  </w:pPr>
                  <w:r>
                    <w:rPr>
                      <w:rFonts w:hint="eastAsia"/>
                      <w:sz w:val="21"/>
                      <w:szCs w:val="21"/>
                    </w:rPr>
                    <w:t>用于间接传递热量的一类热稳定性较好的专用油品</w:t>
                  </w:r>
                </w:p>
              </w:tc>
            </w:tr>
            <w:tr w14:paraId="2543E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0C449C70">
                  <w:pPr>
                    <w:spacing w:line="240" w:lineRule="auto"/>
                    <w:ind w:firstLine="0" w:firstLineChars="0"/>
                    <w:jc w:val="center"/>
                    <w:rPr>
                      <w:sz w:val="21"/>
                      <w:szCs w:val="21"/>
                    </w:rPr>
                  </w:pPr>
                  <w:r>
                    <w:rPr>
                      <w:rFonts w:hint="eastAsia"/>
                      <w:sz w:val="21"/>
                      <w:szCs w:val="21"/>
                    </w:rPr>
                    <w:t>闪点（℃）</w:t>
                  </w:r>
                </w:p>
              </w:tc>
              <w:tc>
                <w:tcPr>
                  <w:tcW w:w="2607" w:type="dxa"/>
                  <w:vAlign w:val="center"/>
                </w:tcPr>
                <w:p w14:paraId="6BF006FA">
                  <w:pPr>
                    <w:spacing w:line="240" w:lineRule="auto"/>
                    <w:ind w:firstLine="0" w:firstLineChars="0"/>
                    <w:jc w:val="center"/>
                    <w:rPr>
                      <w:sz w:val="21"/>
                      <w:szCs w:val="21"/>
                    </w:rPr>
                  </w:pPr>
                  <w:r>
                    <w:rPr>
                      <w:rFonts w:hint="eastAsia"/>
                      <w:sz w:val="21"/>
                      <w:szCs w:val="21"/>
                    </w:rPr>
                    <w:t>216</w:t>
                  </w:r>
                </w:p>
              </w:tc>
              <w:tc>
                <w:tcPr>
                  <w:tcW w:w="2069" w:type="dxa"/>
                  <w:vAlign w:val="center"/>
                </w:tcPr>
                <w:p w14:paraId="7C2BDA4F">
                  <w:pPr>
                    <w:spacing w:line="240" w:lineRule="auto"/>
                    <w:ind w:firstLine="0" w:firstLineChars="0"/>
                    <w:jc w:val="center"/>
                    <w:rPr>
                      <w:sz w:val="21"/>
                      <w:szCs w:val="21"/>
                    </w:rPr>
                  </w:pPr>
                  <w:r>
                    <w:rPr>
                      <w:rFonts w:hint="eastAsia"/>
                      <w:sz w:val="21"/>
                      <w:szCs w:val="21"/>
                    </w:rPr>
                    <w:t>相对密度（空气=1）</w:t>
                  </w:r>
                </w:p>
              </w:tc>
              <w:tc>
                <w:tcPr>
                  <w:tcW w:w="2206" w:type="dxa"/>
                  <w:vAlign w:val="center"/>
                </w:tcPr>
                <w:p w14:paraId="524E66B5">
                  <w:pPr>
                    <w:spacing w:line="240" w:lineRule="auto"/>
                    <w:ind w:firstLine="0" w:firstLineChars="0"/>
                    <w:jc w:val="center"/>
                    <w:rPr>
                      <w:sz w:val="21"/>
                      <w:szCs w:val="21"/>
                    </w:rPr>
                  </w:pPr>
                  <w:r>
                    <w:rPr>
                      <w:rFonts w:hint="eastAsia"/>
                      <w:sz w:val="21"/>
                      <w:szCs w:val="21"/>
                    </w:rPr>
                    <w:t>＞1</w:t>
                  </w:r>
                </w:p>
              </w:tc>
            </w:tr>
            <w:tr w14:paraId="7AF29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0B1AC4B3">
                  <w:pPr>
                    <w:spacing w:line="240" w:lineRule="auto"/>
                    <w:ind w:firstLine="0" w:firstLineChars="0"/>
                    <w:jc w:val="center"/>
                    <w:rPr>
                      <w:sz w:val="21"/>
                      <w:szCs w:val="21"/>
                    </w:rPr>
                  </w:pPr>
                  <w:r>
                    <w:rPr>
                      <w:rFonts w:hint="eastAsia"/>
                      <w:sz w:val="21"/>
                      <w:szCs w:val="21"/>
                    </w:rPr>
                    <w:t>沸点（℃）</w:t>
                  </w:r>
                </w:p>
              </w:tc>
              <w:tc>
                <w:tcPr>
                  <w:tcW w:w="2607" w:type="dxa"/>
                  <w:vAlign w:val="center"/>
                </w:tcPr>
                <w:p w14:paraId="3AB83F9F">
                  <w:pPr>
                    <w:spacing w:line="240" w:lineRule="auto"/>
                    <w:ind w:firstLine="0" w:firstLineChars="0"/>
                    <w:jc w:val="center"/>
                    <w:rPr>
                      <w:sz w:val="21"/>
                      <w:szCs w:val="21"/>
                    </w:rPr>
                  </w:pPr>
                  <w:r>
                    <w:rPr>
                      <w:rFonts w:hint="eastAsia"/>
                      <w:sz w:val="21"/>
                      <w:szCs w:val="21"/>
                    </w:rPr>
                    <w:t>＞280</w:t>
                  </w:r>
                </w:p>
              </w:tc>
              <w:tc>
                <w:tcPr>
                  <w:tcW w:w="2069" w:type="dxa"/>
                  <w:vAlign w:val="center"/>
                </w:tcPr>
                <w:p w14:paraId="5718E5EC">
                  <w:pPr>
                    <w:spacing w:line="240" w:lineRule="auto"/>
                    <w:ind w:firstLine="0" w:firstLineChars="0"/>
                    <w:jc w:val="center"/>
                    <w:rPr>
                      <w:sz w:val="21"/>
                      <w:szCs w:val="21"/>
                    </w:rPr>
                  </w:pPr>
                  <w:r>
                    <w:rPr>
                      <w:rFonts w:hint="eastAsia"/>
                      <w:sz w:val="21"/>
                      <w:szCs w:val="21"/>
                    </w:rPr>
                    <w:t>爆炸上限%（V/V）</w:t>
                  </w:r>
                </w:p>
              </w:tc>
              <w:tc>
                <w:tcPr>
                  <w:tcW w:w="2206" w:type="dxa"/>
                  <w:vAlign w:val="center"/>
                </w:tcPr>
                <w:p w14:paraId="47BE86A2">
                  <w:pPr>
                    <w:spacing w:line="240" w:lineRule="auto"/>
                    <w:ind w:firstLine="0" w:firstLineChars="0"/>
                    <w:jc w:val="center"/>
                    <w:rPr>
                      <w:sz w:val="21"/>
                      <w:szCs w:val="21"/>
                    </w:rPr>
                  </w:pPr>
                  <w:r>
                    <w:rPr>
                      <w:rFonts w:hint="eastAsia"/>
                      <w:sz w:val="21"/>
                      <w:szCs w:val="21"/>
                    </w:rPr>
                    <w:t>1%</w:t>
                  </w:r>
                </w:p>
              </w:tc>
            </w:tr>
            <w:tr w14:paraId="5749A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5B85DD5D">
                  <w:pPr>
                    <w:spacing w:line="240" w:lineRule="auto"/>
                    <w:ind w:firstLine="0" w:firstLineChars="0"/>
                    <w:jc w:val="center"/>
                    <w:rPr>
                      <w:sz w:val="21"/>
                      <w:szCs w:val="21"/>
                    </w:rPr>
                  </w:pPr>
                  <w:r>
                    <w:rPr>
                      <w:rFonts w:hint="eastAsia"/>
                      <w:sz w:val="21"/>
                      <w:szCs w:val="21"/>
                    </w:rPr>
                    <w:t>自燃点（℃）</w:t>
                  </w:r>
                </w:p>
              </w:tc>
              <w:tc>
                <w:tcPr>
                  <w:tcW w:w="2607" w:type="dxa"/>
                  <w:vAlign w:val="center"/>
                </w:tcPr>
                <w:p w14:paraId="51372DBB">
                  <w:pPr>
                    <w:spacing w:line="240" w:lineRule="auto"/>
                    <w:ind w:firstLine="0" w:firstLineChars="0"/>
                    <w:jc w:val="center"/>
                    <w:rPr>
                      <w:sz w:val="21"/>
                      <w:szCs w:val="21"/>
                    </w:rPr>
                  </w:pPr>
                  <w:r>
                    <w:rPr>
                      <w:rFonts w:hint="eastAsia"/>
                      <w:sz w:val="21"/>
                      <w:szCs w:val="21"/>
                    </w:rPr>
                    <w:t>＞320</w:t>
                  </w:r>
                </w:p>
              </w:tc>
              <w:tc>
                <w:tcPr>
                  <w:tcW w:w="2069" w:type="dxa"/>
                  <w:vAlign w:val="center"/>
                </w:tcPr>
                <w:p w14:paraId="0384E892">
                  <w:pPr>
                    <w:spacing w:line="240" w:lineRule="auto"/>
                    <w:ind w:firstLine="0" w:firstLineChars="0"/>
                    <w:jc w:val="center"/>
                    <w:rPr>
                      <w:sz w:val="21"/>
                      <w:szCs w:val="21"/>
                    </w:rPr>
                  </w:pPr>
                  <w:r>
                    <w:rPr>
                      <w:rFonts w:hint="eastAsia"/>
                      <w:sz w:val="21"/>
                      <w:szCs w:val="21"/>
                    </w:rPr>
                    <w:t>爆炸下限%（V/V）</w:t>
                  </w:r>
                </w:p>
              </w:tc>
              <w:tc>
                <w:tcPr>
                  <w:tcW w:w="2206" w:type="dxa"/>
                  <w:vAlign w:val="center"/>
                </w:tcPr>
                <w:p w14:paraId="73A29979">
                  <w:pPr>
                    <w:spacing w:line="240" w:lineRule="auto"/>
                    <w:ind w:firstLine="0" w:firstLineChars="0"/>
                    <w:jc w:val="center"/>
                    <w:rPr>
                      <w:sz w:val="21"/>
                      <w:szCs w:val="21"/>
                    </w:rPr>
                  </w:pPr>
                  <w:r>
                    <w:rPr>
                      <w:rFonts w:hint="eastAsia"/>
                      <w:sz w:val="21"/>
                      <w:szCs w:val="21"/>
                    </w:rPr>
                    <w:t>10%</w:t>
                  </w:r>
                </w:p>
              </w:tc>
            </w:tr>
            <w:tr w14:paraId="0F3AD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77BF46AE">
                  <w:pPr>
                    <w:spacing w:line="240" w:lineRule="auto"/>
                    <w:ind w:firstLine="0" w:firstLineChars="0"/>
                    <w:jc w:val="center"/>
                    <w:rPr>
                      <w:sz w:val="21"/>
                      <w:szCs w:val="21"/>
                    </w:rPr>
                  </w:pPr>
                  <w:r>
                    <w:rPr>
                      <w:rFonts w:hint="eastAsia"/>
                      <w:sz w:val="21"/>
                      <w:szCs w:val="21"/>
                    </w:rPr>
                    <w:t>溶解性</w:t>
                  </w:r>
                </w:p>
              </w:tc>
              <w:tc>
                <w:tcPr>
                  <w:tcW w:w="6882" w:type="dxa"/>
                  <w:gridSpan w:val="3"/>
                  <w:vAlign w:val="center"/>
                </w:tcPr>
                <w:p w14:paraId="5CCED891">
                  <w:pPr>
                    <w:spacing w:line="240" w:lineRule="auto"/>
                    <w:ind w:firstLine="0" w:firstLineChars="0"/>
                    <w:jc w:val="center"/>
                    <w:rPr>
                      <w:sz w:val="21"/>
                      <w:szCs w:val="21"/>
                    </w:rPr>
                  </w:pPr>
                  <w:r>
                    <w:rPr>
                      <w:rFonts w:hint="eastAsia"/>
                      <w:sz w:val="21"/>
                      <w:szCs w:val="21"/>
                    </w:rPr>
                    <w:t>不溶于水。</w:t>
                  </w:r>
                </w:p>
              </w:tc>
            </w:tr>
            <w:tr w14:paraId="3F2F8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8" w:type="dxa"/>
                  <w:gridSpan w:val="4"/>
                  <w:vAlign w:val="center"/>
                </w:tcPr>
                <w:p w14:paraId="750FC420">
                  <w:pPr>
                    <w:spacing w:line="240" w:lineRule="auto"/>
                    <w:ind w:firstLine="0" w:firstLineChars="0"/>
                    <w:jc w:val="center"/>
                    <w:rPr>
                      <w:sz w:val="21"/>
                      <w:szCs w:val="21"/>
                    </w:rPr>
                  </w:pPr>
                  <w:r>
                    <w:rPr>
                      <w:rFonts w:hint="eastAsia"/>
                      <w:b/>
                      <w:bCs/>
                      <w:sz w:val="21"/>
                      <w:szCs w:val="21"/>
                    </w:rPr>
                    <w:t xml:space="preserve">第三部分 稳定性及化学活性 </w:t>
                  </w:r>
                </w:p>
              </w:tc>
            </w:tr>
            <w:tr w14:paraId="326C4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33794312">
                  <w:pPr>
                    <w:spacing w:line="240" w:lineRule="auto"/>
                    <w:ind w:firstLine="0" w:firstLineChars="0"/>
                    <w:jc w:val="center"/>
                    <w:rPr>
                      <w:sz w:val="21"/>
                      <w:szCs w:val="21"/>
                    </w:rPr>
                  </w:pPr>
                  <w:r>
                    <w:rPr>
                      <w:rFonts w:hint="eastAsia"/>
                      <w:sz w:val="21"/>
                      <w:szCs w:val="21"/>
                    </w:rPr>
                    <w:t>稳定性</w:t>
                  </w:r>
                </w:p>
              </w:tc>
              <w:tc>
                <w:tcPr>
                  <w:tcW w:w="2607" w:type="dxa"/>
                  <w:vAlign w:val="center"/>
                </w:tcPr>
                <w:p w14:paraId="709E93D4">
                  <w:pPr>
                    <w:spacing w:line="240" w:lineRule="auto"/>
                    <w:ind w:firstLine="0" w:firstLineChars="0"/>
                    <w:jc w:val="center"/>
                    <w:rPr>
                      <w:sz w:val="21"/>
                      <w:szCs w:val="21"/>
                    </w:rPr>
                  </w:pPr>
                  <w:r>
                    <w:rPr>
                      <w:rFonts w:hint="eastAsia"/>
                      <w:sz w:val="21"/>
                      <w:szCs w:val="21"/>
                    </w:rPr>
                    <w:t>稳定</w:t>
                  </w:r>
                </w:p>
              </w:tc>
              <w:tc>
                <w:tcPr>
                  <w:tcW w:w="2069" w:type="dxa"/>
                  <w:vAlign w:val="center"/>
                </w:tcPr>
                <w:p w14:paraId="1C260706">
                  <w:pPr>
                    <w:spacing w:line="240" w:lineRule="auto"/>
                    <w:ind w:firstLine="0" w:firstLineChars="0"/>
                    <w:jc w:val="center"/>
                    <w:rPr>
                      <w:sz w:val="21"/>
                      <w:szCs w:val="21"/>
                    </w:rPr>
                  </w:pPr>
                  <w:r>
                    <w:rPr>
                      <w:rFonts w:hint="eastAsia"/>
                      <w:sz w:val="21"/>
                      <w:szCs w:val="21"/>
                    </w:rPr>
                    <w:t>避免接触的条件</w:t>
                  </w:r>
                </w:p>
              </w:tc>
              <w:tc>
                <w:tcPr>
                  <w:tcW w:w="2206" w:type="dxa"/>
                  <w:vAlign w:val="center"/>
                </w:tcPr>
                <w:p w14:paraId="0C7F64B4">
                  <w:pPr>
                    <w:spacing w:line="240" w:lineRule="auto"/>
                    <w:ind w:firstLine="0" w:firstLineChars="0"/>
                    <w:jc w:val="center"/>
                    <w:rPr>
                      <w:sz w:val="21"/>
                      <w:szCs w:val="21"/>
                    </w:rPr>
                  </w:pPr>
                  <w:r>
                    <w:rPr>
                      <w:rFonts w:hint="eastAsia"/>
                      <w:sz w:val="21"/>
                      <w:szCs w:val="21"/>
                    </w:rPr>
                    <w:t>明火、高热</w:t>
                  </w:r>
                </w:p>
              </w:tc>
            </w:tr>
            <w:tr w14:paraId="02E3B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1E85DAC7">
                  <w:pPr>
                    <w:spacing w:line="240" w:lineRule="auto"/>
                    <w:ind w:firstLine="0" w:firstLineChars="0"/>
                    <w:jc w:val="center"/>
                    <w:rPr>
                      <w:sz w:val="21"/>
                      <w:szCs w:val="21"/>
                    </w:rPr>
                  </w:pPr>
                  <w:r>
                    <w:rPr>
                      <w:rFonts w:hint="eastAsia"/>
                      <w:sz w:val="21"/>
                      <w:szCs w:val="21"/>
                    </w:rPr>
                    <w:t>禁配物</w:t>
                  </w:r>
                </w:p>
              </w:tc>
              <w:tc>
                <w:tcPr>
                  <w:tcW w:w="2607" w:type="dxa"/>
                  <w:vAlign w:val="center"/>
                </w:tcPr>
                <w:p w14:paraId="2235978C">
                  <w:pPr>
                    <w:spacing w:line="240" w:lineRule="auto"/>
                    <w:ind w:firstLine="0" w:firstLineChars="0"/>
                    <w:jc w:val="center"/>
                    <w:rPr>
                      <w:sz w:val="21"/>
                      <w:szCs w:val="21"/>
                    </w:rPr>
                  </w:pPr>
                  <w:r>
                    <w:rPr>
                      <w:rFonts w:hint="eastAsia"/>
                      <w:sz w:val="21"/>
                      <w:szCs w:val="21"/>
                    </w:rPr>
                    <w:t>/</w:t>
                  </w:r>
                </w:p>
              </w:tc>
              <w:tc>
                <w:tcPr>
                  <w:tcW w:w="2069" w:type="dxa"/>
                  <w:vAlign w:val="center"/>
                </w:tcPr>
                <w:p w14:paraId="731E8802">
                  <w:pPr>
                    <w:spacing w:line="240" w:lineRule="auto"/>
                    <w:ind w:firstLine="0" w:firstLineChars="0"/>
                    <w:jc w:val="center"/>
                    <w:rPr>
                      <w:sz w:val="21"/>
                      <w:szCs w:val="21"/>
                    </w:rPr>
                  </w:pPr>
                  <w:r>
                    <w:rPr>
                      <w:rFonts w:hint="eastAsia"/>
                      <w:sz w:val="21"/>
                      <w:szCs w:val="21"/>
                    </w:rPr>
                    <w:t>聚合危害</w:t>
                  </w:r>
                </w:p>
              </w:tc>
              <w:tc>
                <w:tcPr>
                  <w:tcW w:w="2206" w:type="dxa"/>
                  <w:vAlign w:val="center"/>
                </w:tcPr>
                <w:p w14:paraId="04C5289F">
                  <w:pPr>
                    <w:spacing w:line="240" w:lineRule="auto"/>
                    <w:ind w:firstLine="0" w:firstLineChars="0"/>
                    <w:jc w:val="center"/>
                    <w:rPr>
                      <w:sz w:val="21"/>
                      <w:szCs w:val="21"/>
                    </w:rPr>
                  </w:pPr>
                  <w:r>
                    <w:rPr>
                      <w:rFonts w:hint="eastAsia"/>
                      <w:sz w:val="21"/>
                      <w:szCs w:val="21"/>
                    </w:rPr>
                    <w:t>不聚合</w:t>
                  </w:r>
                </w:p>
              </w:tc>
            </w:tr>
            <w:tr w14:paraId="4A277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0A66E907">
                  <w:pPr>
                    <w:spacing w:line="240" w:lineRule="auto"/>
                    <w:ind w:firstLine="0" w:firstLineChars="0"/>
                    <w:jc w:val="center"/>
                    <w:rPr>
                      <w:sz w:val="21"/>
                      <w:szCs w:val="21"/>
                    </w:rPr>
                  </w:pPr>
                  <w:r>
                    <w:rPr>
                      <w:rFonts w:hint="eastAsia"/>
                      <w:sz w:val="21"/>
                      <w:szCs w:val="21"/>
                    </w:rPr>
                    <w:t>分解产物</w:t>
                  </w:r>
                </w:p>
              </w:tc>
              <w:tc>
                <w:tcPr>
                  <w:tcW w:w="6882" w:type="dxa"/>
                  <w:gridSpan w:val="3"/>
                  <w:vAlign w:val="center"/>
                </w:tcPr>
                <w:p w14:paraId="27067F67">
                  <w:pPr>
                    <w:spacing w:line="240" w:lineRule="auto"/>
                    <w:ind w:firstLine="0" w:firstLineChars="0"/>
                    <w:jc w:val="center"/>
                    <w:rPr>
                      <w:sz w:val="21"/>
                      <w:szCs w:val="21"/>
                    </w:rPr>
                  </w:pPr>
                  <w:r>
                    <w:rPr>
                      <w:rFonts w:hint="eastAsia"/>
                      <w:sz w:val="21"/>
                      <w:szCs w:val="21"/>
                    </w:rPr>
                    <w:t>一氧化碳、二氧化碳</w:t>
                  </w:r>
                </w:p>
              </w:tc>
            </w:tr>
            <w:tr w14:paraId="21574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8" w:type="dxa"/>
                  <w:gridSpan w:val="4"/>
                  <w:vAlign w:val="center"/>
                </w:tcPr>
                <w:p w14:paraId="647ED244">
                  <w:pPr>
                    <w:spacing w:line="240" w:lineRule="auto"/>
                    <w:ind w:firstLine="0" w:firstLineChars="0"/>
                    <w:jc w:val="center"/>
                    <w:rPr>
                      <w:sz w:val="21"/>
                      <w:szCs w:val="21"/>
                    </w:rPr>
                  </w:pPr>
                  <w:r>
                    <w:rPr>
                      <w:rFonts w:hint="eastAsia"/>
                      <w:b/>
                      <w:bCs/>
                      <w:sz w:val="21"/>
                      <w:szCs w:val="21"/>
                    </w:rPr>
                    <w:t>第四部分 毒理学资料</w:t>
                  </w:r>
                </w:p>
              </w:tc>
            </w:tr>
            <w:tr w14:paraId="0DD83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7EFE1B89">
                  <w:pPr>
                    <w:spacing w:line="240" w:lineRule="auto"/>
                    <w:ind w:firstLine="0" w:firstLineChars="0"/>
                    <w:jc w:val="center"/>
                    <w:rPr>
                      <w:sz w:val="21"/>
                      <w:szCs w:val="21"/>
                    </w:rPr>
                  </w:pPr>
                  <w:r>
                    <w:rPr>
                      <w:rFonts w:hint="eastAsia"/>
                      <w:sz w:val="21"/>
                      <w:szCs w:val="21"/>
                    </w:rPr>
                    <w:t>LD</w:t>
                  </w:r>
                  <w:r>
                    <w:rPr>
                      <w:rFonts w:hint="eastAsia"/>
                      <w:sz w:val="21"/>
                      <w:szCs w:val="21"/>
                      <w:vertAlign w:val="subscript"/>
                    </w:rPr>
                    <w:t>50</w:t>
                  </w:r>
                  <w:r>
                    <w:rPr>
                      <w:rFonts w:hint="eastAsia"/>
                      <w:sz w:val="21"/>
                      <w:szCs w:val="21"/>
                    </w:rPr>
                    <w:t>、LC</w:t>
                  </w:r>
                  <w:r>
                    <w:rPr>
                      <w:rFonts w:hint="eastAsia"/>
                      <w:sz w:val="21"/>
                      <w:szCs w:val="21"/>
                      <w:vertAlign w:val="subscript"/>
                    </w:rPr>
                    <w:t>50</w:t>
                  </w:r>
                </w:p>
              </w:tc>
              <w:tc>
                <w:tcPr>
                  <w:tcW w:w="6882" w:type="dxa"/>
                  <w:gridSpan w:val="3"/>
                  <w:vAlign w:val="center"/>
                </w:tcPr>
                <w:p w14:paraId="344165C1">
                  <w:pPr>
                    <w:spacing w:line="240" w:lineRule="auto"/>
                    <w:ind w:firstLine="0" w:firstLineChars="0"/>
                    <w:jc w:val="center"/>
                    <w:rPr>
                      <w:sz w:val="21"/>
                      <w:szCs w:val="21"/>
                    </w:rPr>
                  </w:pPr>
                  <w:r>
                    <w:rPr>
                      <w:rFonts w:hint="eastAsia"/>
                      <w:sz w:val="21"/>
                      <w:szCs w:val="21"/>
                    </w:rPr>
                    <w:t>无资料</w:t>
                  </w:r>
                </w:p>
              </w:tc>
            </w:tr>
            <w:tr w14:paraId="339BF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2CE9C8BD">
                  <w:pPr>
                    <w:spacing w:line="240" w:lineRule="auto"/>
                    <w:ind w:firstLine="0" w:firstLineChars="0"/>
                    <w:jc w:val="center"/>
                    <w:rPr>
                      <w:sz w:val="21"/>
                      <w:szCs w:val="21"/>
                    </w:rPr>
                  </w:pPr>
                  <w:r>
                    <w:rPr>
                      <w:rFonts w:hint="eastAsia"/>
                      <w:sz w:val="21"/>
                      <w:szCs w:val="21"/>
                    </w:rPr>
                    <w:t>急性中毒</w:t>
                  </w:r>
                </w:p>
              </w:tc>
              <w:tc>
                <w:tcPr>
                  <w:tcW w:w="6882" w:type="dxa"/>
                  <w:gridSpan w:val="3"/>
                  <w:vAlign w:val="center"/>
                </w:tcPr>
                <w:p w14:paraId="7F4530A1">
                  <w:pPr>
                    <w:spacing w:line="240" w:lineRule="auto"/>
                    <w:ind w:firstLine="0" w:firstLineChars="0"/>
                    <w:jc w:val="center"/>
                    <w:rPr>
                      <w:sz w:val="21"/>
                      <w:szCs w:val="21"/>
                    </w:rPr>
                  </w:pPr>
                  <w:r>
                    <w:rPr>
                      <w:rFonts w:hint="eastAsia"/>
                      <w:sz w:val="21"/>
                      <w:szCs w:val="21"/>
                    </w:rPr>
                    <w:t>急性吸入可乏力、头晕、头痛、恶心，严重者可引起油脂性肺炎。</w:t>
                  </w:r>
                </w:p>
              </w:tc>
            </w:tr>
            <w:tr w14:paraId="41AE4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36E20B1D">
                  <w:pPr>
                    <w:spacing w:line="240" w:lineRule="auto"/>
                    <w:ind w:firstLine="0" w:firstLineChars="0"/>
                    <w:jc w:val="center"/>
                    <w:rPr>
                      <w:sz w:val="21"/>
                      <w:szCs w:val="21"/>
                    </w:rPr>
                  </w:pPr>
                  <w:r>
                    <w:rPr>
                      <w:rFonts w:hint="eastAsia"/>
                      <w:sz w:val="21"/>
                      <w:szCs w:val="21"/>
                    </w:rPr>
                    <w:t>慢性中毒</w:t>
                  </w:r>
                </w:p>
              </w:tc>
              <w:tc>
                <w:tcPr>
                  <w:tcW w:w="6882" w:type="dxa"/>
                  <w:gridSpan w:val="3"/>
                  <w:vAlign w:val="center"/>
                </w:tcPr>
                <w:p w14:paraId="7B5E04F2">
                  <w:pPr>
                    <w:spacing w:line="240" w:lineRule="auto"/>
                    <w:ind w:firstLine="0" w:firstLineChars="0"/>
                    <w:jc w:val="center"/>
                    <w:rPr>
                      <w:sz w:val="21"/>
                      <w:szCs w:val="21"/>
                    </w:rPr>
                  </w:pPr>
                  <w:r>
                    <w:rPr>
                      <w:rFonts w:hint="eastAsia"/>
                      <w:sz w:val="21"/>
                      <w:szCs w:val="21"/>
                    </w:rPr>
                    <w:t>暴露部位可能发生油性痤疮和接触性皮炎。可引起神经衰弱综合症，呼吸道和眼刺激症及慢性油脂性肺炎。</w:t>
                  </w:r>
                </w:p>
              </w:tc>
            </w:tr>
            <w:tr w14:paraId="4B15D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26" w:type="dxa"/>
                  <w:vAlign w:val="center"/>
                </w:tcPr>
                <w:p w14:paraId="4CFC89F1">
                  <w:pPr>
                    <w:spacing w:line="240" w:lineRule="auto"/>
                    <w:ind w:firstLine="0" w:firstLineChars="0"/>
                    <w:jc w:val="center"/>
                    <w:rPr>
                      <w:sz w:val="21"/>
                      <w:szCs w:val="21"/>
                    </w:rPr>
                  </w:pPr>
                  <w:r>
                    <w:rPr>
                      <w:rFonts w:hint="eastAsia"/>
                      <w:sz w:val="21"/>
                      <w:szCs w:val="21"/>
                    </w:rPr>
                    <w:t>刺激性</w:t>
                  </w:r>
                </w:p>
              </w:tc>
              <w:tc>
                <w:tcPr>
                  <w:tcW w:w="6882" w:type="dxa"/>
                  <w:gridSpan w:val="3"/>
                  <w:vAlign w:val="center"/>
                </w:tcPr>
                <w:p w14:paraId="382A1689">
                  <w:pPr>
                    <w:spacing w:line="240" w:lineRule="auto"/>
                    <w:ind w:firstLine="0" w:firstLineChars="0"/>
                    <w:jc w:val="center"/>
                    <w:rPr>
                      <w:sz w:val="21"/>
                      <w:szCs w:val="21"/>
                    </w:rPr>
                  </w:pPr>
                  <w:r>
                    <w:rPr>
                      <w:rFonts w:hint="eastAsia"/>
                      <w:sz w:val="21"/>
                      <w:szCs w:val="21"/>
                    </w:rPr>
                    <w:t>具有刺激作用</w:t>
                  </w:r>
                </w:p>
              </w:tc>
            </w:tr>
            <w:tr w14:paraId="0761E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2E06357C">
                  <w:pPr>
                    <w:spacing w:line="240" w:lineRule="auto"/>
                    <w:ind w:firstLine="0" w:firstLineChars="0"/>
                    <w:jc w:val="center"/>
                    <w:rPr>
                      <w:sz w:val="21"/>
                      <w:szCs w:val="21"/>
                    </w:rPr>
                  </w:pPr>
                  <w:r>
                    <w:rPr>
                      <w:rFonts w:hint="eastAsia"/>
                      <w:sz w:val="21"/>
                      <w:szCs w:val="21"/>
                    </w:rPr>
                    <w:t>最高允许浓度</w:t>
                  </w:r>
                </w:p>
              </w:tc>
              <w:tc>
                <w:tcPr>
                  <w:tcW w:w="6882" w:type="dxa"/>
                  <w:gridSpan w:val="3"/>
                  <w:vAlign w:val="center"/>
                </w:tcPr>
                <w:p w14:paraId="00112CD9">
                  <w:pPr>
                    <w:spacing w:line="240" w:lineRule="auto"/>
                    <w:ind w:firstLine="420"/>
                    <w:jc w:val="center"/>
                    <w:rPr>
                      <w:sz w:val="21"/>
                      <w:szCs w:val="21"/>
                    </w:rPr>
                  </w:pPr>
                  <w:r>
                    <w:rPr>
                      <w:rFonts w:hint="eastAsia"/>
                      <w:sz w:val="21"/>
                      <w:szCs w:val="21"/>
                    </w:rPr>
                    <w:t>目前无标准</w:t>
                  </w:r>
                </w:p>
              </w:tc>
            </w:tr>
          </w:tbl>
          <w:p w14:paraId="4AFEF441">
            <w:pPr>
              <w:ind w:firstLine="482"/>
              <w:rPr>
                <w:b/>
                <w:bCs/>
              </w:rPr>
            </w:pPr>
            <w:r>
              <w:rPr>
                <w:rFonts w:hint="eastAsia"/>
                <w:b/>
                <w:bCs/>
              </w:rPr>
              <w:t>⑤废焦油</w:t>
            </w:r>
          </w:p>
          <w:p w14:paraId="0F1D5DB3">
            <w:pPr>
              <w:ind w:firstLine="422"/>
              <w:jc w:val="center"/>
              <w:rPr>
                <w:b/>
                <w:bCs/>
                <w:sz w:val="21"/>
                <w:szCs w:val="21"/>
              </w:rPr>
            </w:pPr>
            <w:r>
              <w:rPr>
                <w:rFonts w:hint="eastAsia"/>
                <w:b/>
                <w:bCs/>
                <w:sz w:val="21"/>
                <w:szCs w:val="21"/>
              </w:rPr>
              <w:t>表4-12  废焦油理化性质表</w:t>
            </w:r>
          </w:p>
          <w:tbl>
            <w:tblPr>
              <w:tblStyle w:val="27"/>
              <w:tblW w:w="84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2607"/>
              <w:gridCol w:w="2069"/>
              <w:gridCol w:w="2206"/>
            </w:tblGrid>
            <w:tr w14:paraId="6AE1D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8" w:type="dxa"/>
                  <w:gridSpan w:val="4"/>
                  <w:vAlign w:val="center"/>
                </w:tcPr>
                <w:p w14:paraId="1245048B">
                  <w:pPr>
                    <w:spacing w:line="240" w:lineRule="auto"/>
                    <w:ind w:firstLine="0" w:firstLineChars="0"/>
                    <w:jc w:val="center"/>
                    <w:rPr>
                      <w:sz w:val="21"/>
                      <w:szCs w:val="21"/>
                    </w:rPr>
                  </w:pPr>
                  <w:r>
                    <w:rPr>
                      <w:rFonts w:hint="eastAsia"/>
                      <w:b/>
                      <w:bCs/>
                      <w:sz w:val="21"/>
                      <w:szCs w:val="21"/>
                    </w:rPr>
                    <w:t>第一部分 危险特征概述</w:t>
                  </w:r>
                </w:p>
              </w:tc>
            </w:tr>
            <w:tr w14:paraId="3E191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0A3C4F85">
                  <w:pPr>
                    <w:spacing w:line="240" w:lineRule="auto"/>
                    <w:ind w:firstLine="0" w:firstLineChars="0"/>
                    <w:jc w:val="center"/>
                    <w:rPr>
                      <w:sz w:val="21"/>
                      <w:szCs w:val="21"/>
                    </w:rPr>
                  </w:pPr>
                  <w:r>
                    <w:rPr>
                      <w:rFonts w:hint="eastAsia"/>
                      <w:sz w:val="21"/>
                      <w:szCs w:val="21"/>
                    </w:rPr>
                    <w:t>物质名称</w:t>
                  </w:r>
                </w:p>
              </w:tc>
              <w:tc>
                <w:tcPr>
                  <w:tcW w:w="2607" w:type="dxa"/>
                  <w:vAlign w:val="center"/>
                </w:tcPr>
                <w:p w14:paraId="6BEFFFA3">
                  <w:pPr>
                    <w:spacing w:line="240" w:lineRule="auto"/>
                    <w:ind w:firstLine="0" w:firstLineChars="0"/>
                    <w:jc w:val="center"/>
                    <w:rPr>
                      <w:sz w:val="21"/>
                      <w:szCs w:val="21"/>
                    </w:rPr>
                  </w:pPr>
                  <w:r>
                    <w:rPr>
                      <w:rFonts w:hint="eastAsia"/>
                      <w:sz w:val="21"/>
                      <w:szCs w:val="21"/>
                    </w:rPr>
                    <w:t>焦油</w:t>
                  </w:r>
                </w:p>
              </w:tc>
              <w:tc>
                <w:tcPr>
                  <w:tcW w:w="2069" w:type="dxa"/>
                  <w:vAlign w:val="center"/>
                </w:tcPr>
                <w:p w14:paraId="281477A3">
                  <w:pPr>
                    <w:spacing w:line="240" w:lineRule="auto"/>
                    <w:ind w:firstLine="0" w:firstLineChars="0"/>
                    <w:jc w:val="center"/>
                    <w:rPr>
                      <w:sz w:val="21"/>
                      <w:szCs w:val="21"/>
                    </w:rPr>
                  </w:pPr>
                  <w:r>
                    <w:rPr>
                      <w:rFonts w:hint="eastAsia"/>
                      <w:sz w:val="21"/>
                      <w:szCs w:val="21"/>
                    </w:rPr>
                    <w:t>燃爆危险</w:t>
                  </w:r>
                </w:p>
              </w:tc>
              <w:tc>
                <w:tcPr>
                  <w:tcW w:w="2206" w:type="dxa"/>
                  <w:vAlign w:val="center"/>
                </w:tcPr>
                <w:p w14:paraId="753E636E">
                  <w:pPr>
                    <w:spacing w:line="240" w:lineRule="auto"/>
                    <w:ind w:firstLine="0" w:firstLineChars="0"/>
                    <w:jc w:val="center"/>
                    <w:rPr>
                      <w:sz w:val="21"/>
                      <w:szCs w:val="21"/>
                    </w:rPr>
                  </w:pPr>
                  <w:r>
                    <w:rPr>
                      <w:rFonts w:hint="eastAsia"/>
                      <w:sz w:val="21"/>
                      <w:szCs w:val="21"/>
                    </w:rPr>
                    <w:t>遇明火高热可燃</w:t>
                  </w:r>
                </w:p>
              </w:tc>
            </w:tr>
            <w:tr w14:paraId="2794C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shd w:val="clear" w:color="auto" w:fill="auto"/>
                  <w:vAlign w:val="center"/>
                </w:tcPr>
                <w:p w14:paraId="38F76ECC">
                  <w:pPr>
                    <w:spacing w:line="240" w:lineRule="auto"/>
                    <w:ind w:firstLine="0" w:firstLineChars="0"/>
                    <w:jc w:val="center"/>
                    <w:rPr>
                      <w:sz w:val="21"/>
                      <w:szCs w:val="21"/>
                    </w:rPr>
                  </w:pPr>
                  <w:r>
                    <w:rPr>
                      <w:rFonts w:hint="eastAsia"/>
                      <w:sz w:val="21"/>
                      <w:szCs w:val="21"/>
                    </w:rPr>
                    <w:t>危险性类别</w:t>
                  </w:r>
                </w:p>
              </w:tc>
              <w:tc>
                <w:tcPr>
                  <w:tcW w:w="2607" w:type="dxa"/>
                  <w:shd w:val="clear" w:color="auto" w:fill="auto"/>
                  <w:vAlign w:val="center"/>
                </w:tcPr>
                <w:p w14:paraId="0D0A14ED">
                  <w:pPr>
                    <w:spacing w:line="240" w:lineRule="auto"/>
                    <w:ind w:firstLine="0" w:firstLineChars="0"/>
                    <w:jc w:val="center"/>
                    <w:rPr>
                      <w:sz w:val="21"/>
                      <w:szCs w:val="21"/>
                    </w:rPr>
                  </w:pPr>
                  <w:r>
                    <w:rPr>
                      <w:rFonts w:hint="eastAsia"/>
                      <w:sz w:val="21"/>
                      <w:szCs w:val="21"/>
                    </w:rPr>
                    <w:t>第3.3类高闪点易燃液体</w:t>
                  </w:r>
                </w:p>
              </w:tc>
              <w:tc>
                <w:tcPr>
                  <w:tcW w:w="2069" w:type="dxa"/>
                  <w:vAlign w:val="center"/>
                </w:tcPr>
                <w:p w14:paraId="727D6FAD">
                  <w:pPr>
                    <w:spacing w:line="240" w:lineRule="auto"/>
                    <w:ind w:firstLine="0" w:firstLineChars="0"/>
                    <w:jc w:val="center"/>
                    <w:rPr>
                      <w:sz w:val="21"/>
                      <w:szCs w:val="21"/>
                    </w:rPr>
                  </w:pPr>
                  <w:r>
                    <w:rPr>
                      <w:rFonts w:hint="eastAsia"/>
                      <w:sz w:val="21"/>
                      <w:szCs w:val="21"/>
                    </w:rPr>
                    <w:t>有害燃烧产物</w:t>
                  </w:r>
                </w:p>
              </w:tc>
              <w:tc>
                <w:tcPr>
                  <w:tcW w:w="2206" w:type="dxa"/>
                  <w:vAlign w:val="center"/>
                </w:tcPr>
                <w:p w14:paraId="37E5D75C">
                  <w:pPr>
                    <w:spacing w:line="240" w:lineRule="auto"/>
                    <w:ind w:firstLine="0" w:firstLineChars="0"/>
                    <w:jc w:val="center"/>
                    <w:rPr>
                      <w:sz w:val="21"/>
                      <w:szCs w:val="21"/>
                    </w:rPr>
                  </w:pPr>
                  <w:r>
                    <w:rPr>
                      <w:rFonts w:hint="eastAsia"/>
                      <w:sz w:val="21"/>
                      <w:szCs w:val="21"/>
                    </w:rPr>
                    <w:t>CO、苯并[a]芘</w:t>
                  </w:r>
                </w:p>
              </w:tc>
            </w:tr>
            <w:tr w14:paraId="522E7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26" w:type="dxa"/>
                  <w:vAlign w:val="center"/>
                </w:tcPr>
                <w:p w14:paraId="410A0FB4">
                  <w:pPr>
                    <w:spacing w:line="240" w:lineRule="auto"/>
                    <w:ind w:firstLine="0" w:firstLineChars="0"/>
                    <w:jc w:val="center"/>
                    <w:rPr>
                      <w:sz w:val="21"/>
                      <w:szCs w:val="21"/>
                    </w:rPr>
                  </w:pPr>
                  <w:r>
                    <w:rPr>
                      <w:rFonts w:hint="eastAsia"/>
                      <w:sz w:val="21"/>
                      <w:szCs w:val="21"/>
                    </w:rPr>
                    <w:t>环境危害</w:t>
                  </w:r>
                </w:p>
              </w:tc>
              <w:tc>
                <w:tcPr>
                  <w:tcW w:w="6882" w:type="dxa"/>
                  <w:gridSpan w:val="3"/>
                  <w:vAlign w:val="center"/>
                </w:tcPr>
                <w:p w14:paraId="3F54B9B2">
                  <w:pPr>
                    <w:spacing w:line="240" w:lineRule="auto"/>
                    <w:ind w:firstLine="0" w:firstLineChars="0"/>
                    <w:jc w:val="center"/>
                    <w:rPr>
                      <w:sz w:val="21"/>
                      <w:szCs w:val="21"/>
                    </w:rPr>
                  </w:pPr>
                  <w:r>
                    <w:rPr>
                      <w:rFonts w:hint="eastAsia"/>
                      <w:sz w:val="21"/>
                      <w:szCs w:val="21"/>
                    </w:rPr>
                    <w:t>含有持久性有机污染物（POPs），对土壤和水体造成长期污染，难降解</w:t>
                  </w:r>
                </w:p>
              </w:tc>
            </w:tr>
            <w:tr w14:paraId="0D637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8" w:type="dxa"/>
                  <w:gridSpan w:val="4"/>
                  <w:vAlign w:val="center"/>
                </w:tcPr>
                <w:p w14:paraId="1D3FD064">
                  <w:pPr>
                    <w:spacing w:line="240" w:lineRule="auto"/>
                    <w:ind w:firstLine="0" w:firstLineChars="0"/>
                    <w:jc w:val="center"/>
                    <w:rPr>
                      <w:sz w:val="21"/>
                      <w:szCs w:val="21"/>
                    </w:rPr>
                  </w:pPr>
                  <w:r>
                    <w:rPr>
                      <w:rFonts w:hint="eastAsia"/>
                      <w:b/>
                      <w:bCs/>
                      <w:sz w:val="21"/>
                      <w:szCs w:val="21"/>
                    </w:rPr>
                    <w:t>第二部分 理化性质</w:t>
                  </w:r>
                </w:p>
              </w:tc>
            </w:tr>
            <w:tr w14:paraId="3F393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34AB52D0">
                  <w:pPr>
                    <w:spacing w:line="240" w:lineRule="auto"/>
                    <w:ind w:firstLine="0" w:firstLineChars="0"/>
                    <w:jc w:val="center"/>
                    <w:rPr>
                      <w:sz w:val="21"/>
                      <w:szCs w:val="21"/>
                    </w:rPr>
                  </w:pPr>
                  <w:r>
                    <w:rPr>
                      <w:rFonts w:hint="eastAsia"/>
                      <w:sz w:val="21"/>
                      <w:szCs w:val="21"/>
                    </w:rPr>
                    <w:t>外观及形状</w:t>
                  </w:r>
                </w:p>
              </w:tc>
              <w:tc>
                <w:tcPr>
                  <w:tcW w:w="6882" w:type="dxa"/>
                  <w:gridSpan w:val="3"/>
                  <w:vAlign w:val="center"/>
                </w:tcPr>
                <w:p w14:paraId="24DC3472">
                  <w:pPr>
                    <w:spacing w:line="240" w:lineRule="auto"/>
                    <w:ind w:firstLine="0" w:firstLineChars="0"/>
                    <w:jc w:val="center"/>
                    <w:rPr>
                      <w:sz w:val="21"/>
                      <w:szCs w:val="21"/>
                    </w:rPr>
                  </w:pPr>
                  <w:r>
                    <w:rPr>
                      <w:rFonts w:hint="eastAsia"/>
                      <w:sz w:val="21"/>
                      <w:szCs w:val="21"/>
                    </w:rPr>
                    <w:t>黑色粘稠液体‌，具有特殊臭味</w:t>
                  </w:r>
                </w:p>
              </w:tc>
            </w:tr>
            <w:tr w14:paraId="10F14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23838B57">
                  <w:pPr>
                    <w:spacing w:line="240" w:lineRule="auto"/>
                    <w:ind w:firstLine="0" w:firstLineChars="0"/>
                    <w:jc w:val="center"/>
                    <w:rPr>
                      <w:sz w:val="21"/>
                      <w:szCs w:val="21"/>
                    </w:rPr>
                  </w:pPr>
                  <w:r>
                    <w:rPr>
                      <w:rFonts w:hint="eastAsia"/>
                      <w:sz w:val="21"/>
                      <w:szCs w:val="21"/>
                    </w:rPr>
                    <w:t>闪点（℃）</w:t>
                  </w:r>
                </w:p>
              </w:tc>
              <w:tc>
                <w:tcPr>
                  <w:tcW w:w="2607" w:type="dxa"/>
                  <w:vAlign w:val="center"/>
                </w:tcPr>
                <w:p w14:paraId="01CD68D2">
                  <w:pPr>
                    <w:spacing w:line="240" w:lineRule="auto"/>
                    <w:ind w:firstLine="0" w:firstLineChars="0"/>
                    <w:jc w:val="center"/>
                    <w:rPr>
                      <w:sz w:val="21"/>
                      <w:szCs w:val="21"/>
                    </w:rPr>
                  </w:pPr>
                  <w:r>
                    <w:rPr>
                      <w:rFonts w:hint="eastAsia"/>
                      <w:sz w:val="21"/>
                      <w:szCs w:val="21"/>
                    </w:rPr>
                    <w:t>≥100</w:t>
                  </w:r>
                </w:p>
              </w:tc>
              <w:tc>
                <w:tcPr>
                  <w:tcW w:w="2069" w:type="dxa"/>
                  <w:vAlign w:val="center"/>
                </w:tcPr>
                <w:p w14:paraId="722605BC">
                  <w:pPr>
                    <w:spacing w:line="240" w:lineRule="auto"/>
                    <w:ind w:firstLine="0" w:firstLineChars="0"/>
                    <w:jc w:val="center"/>
                    <w:rPr>
                      <w:sz w:val="21"/>
                      <w:szCs w:val="21"/>
                    </w:rPr>
                  </w:pPr>
                  <w:r>
                    <w:rPr>
                      <w:rFonts w:hint="eastAsia"/>
                      <w:sz w:val="21"/>
                      <w:szCs w:val="21"/>
                    </w:rPr>
                    <w:t>相对密度（水气=1）</w:t>
                  </w:r>
                </w:p>
              </w:tc>
              <w:tc>
                <w:tcPr>
                  <w:tcW w:w="2206" w:type="dxa"/>
                  <w:vAlign w:val="center"/>
                </w:tcPr>
                <w:p w14:paraId="11DDADE7">
                  <w:pPr>
                    <w:spacing w:line="240" w:lineRule="auto"/>
                    <w:ind w:firstLine="0" w:firstLineChars="0"/>
                    <w:jc w:val="center"/>
                    <w:rPr>
                      <w:sz w:val="21"/>
                      <w:szCs w:val="21"/>
                    </w:rPr>
                  </w:pPr>
                  <w:r>
                    <w:rPr>
                      <w:rFonts w:hint="eastAsia"/>
                      <w:sz w:val="21"/>
                      <w:szCs w:val="21"/>
                    </w:rPr>
                    <w:t>‌1.18～1.23‌ g/cm³，比水重，不溶于水</w:t>
                  </w:r>
                </w:p>
              </w:tc>
            </w:tr>
            <w:tr w14:paraId="1DD39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7775083B">
                  <w:pPr>
                    <w:spacing w:line="240" w:lineRule="auto"/>
                    <w:ind w:firstLine="0" w:firstLineChars="0"/>
                    <w:jc w:val="center"/>
                    <w:rPr>
                      <w:sz w:val="21"/>
                      <w:szCs w:val="21"/>
                    </w:rPr>
                  </w:pPr>
                  <w:r>
                    <w:rPr>
                      <w:rFonts w:hint="eastAsia"/>
                      <w:sz w:val="21"/>
                      <w:szCs w:val="21"/>
                    </w:rPr>
                    <w:t>沸点（℃）</w:t>
                  </w:r>
                </w:p>
              </w:tc>
              <w:tc>
                <w:tcPr>
                  <w:tcW w:w="2607" w:type="dxa"/>
                  <w:vAlign w:val="center"/>
                </w:tcPr>
                <w:p w14:paraId="717F9986">
                  <w:pPr>
                    <w:spacing w:line="240" w:lineRule="auto"/>
                    <w:ind w:firstLine="0" w:firstLineChars="0"/>
                    <w:jc w:val="center"/>
                    <w:rPr>
                      <w:sz w:val="21"/>
                      <w:szCs w:val="21"/>
                    </w:rPr>
                  </w:pPr>
                  <w:r>
                    <w:rPr>
                      <w:rFonts w:hint="eastAsia"/>
                      <w:sz w:val="21"/>
                      <w:szCs w:val="21"/>
                    </w:rPr>
                    <w:t>200~400</w:t>
                  </w:r>
                </w:p>
              </w:tc>
              <w:tc>
                <w:tcPr>
                  <w:tcW w:w="2069" w:type="dxa"/>
                  <w:vAlign w:val="center"/>
                </w:tcPr>
                <w:p w14:paraId="10F9C65D">
                  <w:pPr>
                    <w:spacing w:line="240" w:lineRule="auto"/>
                    <w:ind w:firstLine="0" w:firstLineChars="0"/>
                    <w:jc w:val="center"/>
                    <w:rPr>
                      <w:sz w:val="21"/>
                      <w:szCs w:val="21"/>
                    </w:rPr>
                  </w:pPr>
                  <w:r>
                    <w:rPr>
                      <w:rFonts w:hint="eastAsia"/>
                      <w:sz w:val="21"/>
                      <w:szCs w:val="21"/>
                    </w:rPr>
                    <w:t>自燃点（℃）</w:t>
                  </w:r>
                </w:p>
              </w:tc>
              <w:tc>
                <w:tcPr>
                  <w:tcW w:w="2206" w:type="dxa"/>
                  <w:vAlign w:val="center"/>
                </w:tcPr>
                <w:p w14:paraId="68076119">
                  <w:pPr>
                    <w:spacing w:line="240" w:lineRule="auto"/>
                    <w:ind w:firstLine="0" w:firstLineChars="0"/>
                    <w:jc w:val="center"/>
                    <w:rPr>
                      <w:sz w:val="21"/>
                      <w:szCs w:val="21"/>
                    </w:rPr>
                  </w:pPr>
                  <w:r>
                    <w:rPr>
                      <w:rFonts w:hint="eastAsia"/>
                      <w:sz w:val="21"/>
                      <w:szCs w:val="21"/>
                    </w:rPr>
                    <w:t>248</w:t>
                  </w:r>
                </w:p>
              </w:tc>
            </w:tr>
            <w:tr w14:paraId="1C547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447E1D48">
                  <w:pPr>
                    <w:spacing w:line="240" w:lineRule="auto"/>
                    <w:ind w:firstLine="0" w:firstLineChars="0"/>
                    <w:jc w:val="center"/>
                    <w:rPr>
                      <w:sz w:val="21"/>
                      <w:szCs w:val="21"/>
                    </w:rPr>
                  </w:pPr>
                  <w:r>
                    <w:rPr>
                      <w:rFonts w:hint="eastAsia"/>
                      <w:sz w:val="21"/>
                      <w:szCs w:val="21"/>
                    </w:rPr>
                    <w:t>溶解性</w:t>
                  </w:r>
                </w:p>
              </w:tc>
              <w:tc>
                <w:tcPr>
                  <w:tcW w:w="6882" w:type="dxa"/>
                  <w:gridSpan w:val="3"/>
                  <w:vAlign w:val="center"/>
                </w:tcPr>
                <w:p w14:paraId="7AEB7F01">
                  <w:pPr>
                    <w:spacing w:line="240" w:lineRule="auto"/>
                    <w:ind w:firstLine="0" w:firstLineChars="0"/>
                    <w:jc w:val="center"/>
                    <w:rPr>
                      <w:sz w:val="21"/>
                      <w:szCs w:val="21"/>
                    </w:rPr>
                  </w:pPr>
                  <w:r>
                    <w:rPr>
                      <w:rFonts w:hint="eastAsia"/>
                      <w:sz w:val="21"/>
                      <w:szCs w:val="21"/>
                    </w:rPr>
                    <w:t>‌微溶于水‌，易溶于乙醇、乙醚、氯仿、丙酮等有机溶剂</w:t>
                  </w:r>
                </w:p>
              </w:tc>
            </w:tr>
            <w:tr w14:paraId="08D3E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8" w:type="dxa"/>
                  <w:gridSpan w:val="4"/>
                  <w:vAlign w:val="center"/>
                </w:tcPr>
                <w:p w14:paraId="2BC72CBE">
                  <w:pPr>
                    <w:spacing w:line="240" w:lineRule="auto"/>
                    <w:ind w:firstLine="0" w:firstLineChars="0"/>
                    <w:jc w:val="center"/>
                    <w:rPr>
                      <w:sz w:val="21"/>
                      <w:szCs w:val="21"/>
                    </w:rPr>
                  </w:pPr>
                  <w:r>
                    <w:rPr>
                      <w:rFonts w:hint="eastAsia"/>
                      <w:b/>
                      <w:bCs/>
                      <w:sz w:val="21"/>
                      <w:szCs w:val="21"/>
                    </w:rPr>
                    <w:t xml:space="preserve">第三部分 稳定性及化学活性 </w:t>
                  </w:r>
                </w:p>
              </w:tc>
            </w:tr>
            <w:tr w14:paraId="430D3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11C0CB83">
                  <w:pPr>
                    <w:spacing w:line="240" w:lineRule="auto"/>
                    <w:ind w:firstLine="0" w:firstLineChars="0"/>
                    <w:jc w:val="center"/>
                    <w:rPr>
                      <w:sz w:val="21"/>
                      <w:szCs w:val="21"/>
                    </w:rPr>
                  </w:pPr>
                  <w:r>
                    <w:rPr>
                      <w:rFonts w:hint="eastAsia"/>
                      <w:sz w:val="21"/>
                      <w:szCs w:val="21"/>
                    </w:rPr>
                    <w:t>稳定性</w:t>
                  </w:r>
                </w:p>
              </w:tc>
              <w:tc>
                <w:tcPr>
                  <w:tcW w:w="2607" w:type="dxa"/>
                  <w:vAlign w:val="center"/>
                </w:tcPr>
                <w:p w14:paraId="4A04A757">
                  <w:pPr>
                    <w:spacing w:line="240" w:lineRule="auto"/>
                    <w:ind w:firstLine="0" w:firstLineChars="0"/>
                    <w:jc w:val="center"/>
                    <w:rPr>
                      <w:sz w:val="21"/>
                      <w:szCs w:val="21"/>
                    </w:rPr>
                  </w:pPr>
                  <w:r>
                    <w:rPr>
                      <w:rFonts w:hint="eastAsia"/>
                      <w:sz w:val="21"/>
                      <w:szCs w:val="21"/>
                    </w:rPr>
                    <w:t>不稳定</w:t>
                  </w:r>
                </w:p>
              </w:tc>
              <w:tc>
                <w:tcPr>
                  <w:tcW w:w="2069" w:type="dxa"/>
                  <w:vAlign w:val="center"/>
                </w:tcPr>
                <w:p w14:paraId="1CE69792">
                  <w:pPr>
                    <w:spacing w:line="240" w:lineRule="auto"/>
                    <w:ind w:firstLine="0" w:firstLineChars="0"/>
                    <w:jc w:val="center"/>
                    <w:rPr>
                      <w:sz w:val="21"/>
                      <w:szCs w:val="21"/>
                    </w:rPr>
                  </w:pPr>
                  <w:r>
                    <w:rPr>
                      <w:rFonts w:hint="eastAsia"/>
                      <w:sz w:val="21"/>
                      <w:szCs w:val="21"/>
                    </w:rPr>
                    <w:t>禁配物</w:t>
                  </w:r>
                </w:p>
              </w:tc>
              <w:tc>
                <w:tcPr>
                  <w:tcW w:w="2206" w:type="dxa"/>
                  <w:vAlign w:val="center"/>
                </w:tcPr>
                <w:p w14:paraId="3230DB92">
                  <w:pPr>
                    <w:spacing w:line="240" w:lineRule="auto"/>
                    <w:ind w:firstLine="0" w:firstLineChars="0"/>
                    <w:jc w:val="center"/>
                    <w:rPr>
                      <w:sz w:val="21"/>
                      <w:szCs w:val="21"/>
                    </w:rPr>
                  </w:pPr>
                  <w:r>
                    <w:rPr>
                      <w:rFonts w:hint="eastAsia"/>
                      <w:sz w:val="21"/>
                      <w:szCs w:val="21"/>
                    </w:rPr>
                    <w:t>强氧化剂</w:t>
                  </w:r>
                </w:p>
              </w:tc>
            </w:tr>
            <w:tr w14:paraId="40E22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53D86E59">
                  <w:pPr>
                    <w:spacing w:line="240" w:lineRule="auto"/>
                    <w:ind w:firstLine="0" w:firstLineChars="0"/>
                    <w:jc w:val="center"/>
                    <w:rPr>
                      <w:sz w:val="21"/>
                      <w:szCs w:val="21"/>
                    </w:rPr>
                  </w:pPr>
                  <w:r>
                    <w:rPr>
                      <w:rFonts w:hint="eastAsia"/>
                      <w:sz w:val="21"/>
                      <w:szCs w:val="21"/>
                    </w:rPr>
                    <w:t>健康危害</w:t>
                  </w:r>
                </w:p>
              </w:tc>
              <w:tc>
                <w:tcPr>
                  <w:tcW w:w="6882" w:type="dxa"/>
                  <w:gridSpan w:val="3"/>
                  <w:vAlign w:val="center"/>
                </w:tcPr>
                <w:p w14:paraId="1960DAD0">
                  <w:pPr>
                    <w:spacing w:line="240" w:lineRule="auto"/>
                    <w:ind w:firstLine="0" w:firstLineChars="0"/>
                    <w:jc w:val="center"/>
                    <w:rPr>
                      <w:sz w:val="21"/>
                      <w:szCs w:val="21"/>
                    </w:rPr>
                  </w:pPr>
                  <w:r>
                    <w:rPr>
                      <w:rFonts w:hint="eastAsia"/>
                      <w:sz w:val="21"/>
                      <w:szCs w:val="21"/>
                    </w:rPr>
                    <w:t>强致癌性‌：国际癌症研究中心（IARC）确认为‌人类致癌物‌（Group 1），长期接触可致皮肤癌、肺癌、鼻咽癌；作用于皮肤引起皮炎、痤疮、光毒性皮炎及中毒性黑皮病</w:t>
                  </w:r>
                </w:p>
              </w:tc>
            </w:tr>
          </w:tbl>
          <w:p w14:paraId="32F853D9">
            <w:pPr>
              <w:ind w:firstLine="482"/>
              <w:rPr>
                <w:b/>
                <w:bCs/>
              </w:rPr>
            </w:pPr>
            <w:r>
              <w:rPr>
                <w:rFonts w:hint="eastAsia"/>
                <w:b/>
                <w:bCs/>
              </w:rPr>
              <w:t>2、风险源分布情况及影响途径</w:t>
            </w:r>
          </w:p>
          <w:p w14:paraId="7990FE1B">
            <w:pPr>
              <w:ind w:firstLine="480"/>
            </w:pPr>
            <w:r>
              <w:rPr>
                <w:rFonts w:hint="eastAsia"/>
              </w:rPr>
              <w:t>根据项目风险物质调查情况，结合项目风险物质的使用、暂存情况，项目环境风险源主要为柴油储罐、危废贮存间和导热油炉储存导热油，影响途径主要是柴油储罐，危废贮存间中废机油、废焦油，以及导热油炉的导热油出现泄漏、渗漏事故，溢流或者渗漏进入周边土壤和地下水，造成污染。其次，柴油、废矿物油、废焦油、导热油和废活性炭等均为可燃物质，遇明火可能引发火灾，产生次生空气污染物，进入大气环境造成大气污染。</w:t>
            </w:r>
          </w:p>
          <w:p w14:paraId="3ACD8D9F">
            <w:pPr>
              <w:ind w:firstLine="482"/>
              <w:rPr>
                <w:b/>
                <w:bCs/>
              </w:rPr>
            </w:pPr>
            <w:r>
              <w:rPr>
                <w:rFonts w:hint="eastAsia"/>
                <w:b/>
                <w:bCs/>
              </w:rPr>
              <w:t>3、环境风险防范措施及应急要求</w:t>
            </w:r>
          </w:p>
          <w:p w14:paraId="1E51BD08">
            <w:pPr>
              <w:adjustRightInd w:val="0"/>
              <w:ind w:firstLine="482"/>
              <w:rPr>
                <w:b/>
                <w:bCs/>
                <w:szCs w:val="28"/>
              </w:rPr>
            </w:pPr>
            <w:r>
              <w:rPr>
                <w:rFonts w:hint="eastAsia"/>
                <w:b/>
                <w:bCs/>
                <w:szCs w:val="28"/>
              </w:rPr>
              <w:t>（1）环境风险防范措施</w:t>
            </w:r>
          </w:p>
          <w:p w14:paraId="376F4BF7">
            <w:pPr>
              <w:ind w:firstLine="480"/>
              <w:rPr>
                <w:szCs w:val="28"/>
              </w:rPr>
            </w:pPr>
            <w:r>
              <w:rPr>
                <w:rFonts w:hint="eastAsia"/>
                <w:szCs w:val="28"/>
              </w:rPr>
              <w:t>①柴油、导热油储罐应配有遮阳设施，防止暴晒；</w:t>
            </w:r>
          </w:p>
          <w:p w14:paraId="2839CA42">
            <w:pPr>
              <w:ind w:firstLine="480"/>
              <w:rPr>
                <w:szCs w:val="28"/>
              </w:rPr>
            </w:pPr>
            <w:r>
              <w:rPr>
                <w:rFonts w:hint="eastAsia"/>
                <w:szCs w:val="28"/>
              </w:rPr>
              <w:t>②柴油、导热油运输过程中车辆上应备有必要的应急处理器材和防护用品；</w:t>
            </w:r>
          </w:p>
          <w:p w14:paraId="150951C0">
            <w:pPr>
              <w:ind w:firstLine="480"/>
              <w:rPr>
                <w:szCs w:val="28"/>
              </w:rPr>
            </w:pPr>
            <w:r>
              <w:rPr>
                <w:rFonts w:hint="eastAsia"/>
                <w:szCs w:val="28"/>
              </w:rPr>
              <w:t>③柴油、导热油储罐区域附近不得存储其它易燃易爆物品、氧化剂、腐蚀性物品等；</w:t>
            </w:r>
          </w:p>
          <w:p w14:paraId="0B00D2BB">
            <w:pPr>
              <w:ind w:firstLine="480"/>
              <w:rPr>
                <w:szCs w:val="28"/>
              </w:rPr>
            </w:pPr>
            <w:r>
              <w:rPr>
                <w:rFonts w:hint="eastAsia"/>
                <w:szCs w:val="28"/>
              </w:rPr>
              <w:t>④储罐区、危废暂存间等风险单元设置禁火标识牌等，严格禁火制度；</w:t>
            </w:r>
          </w:p>
          <w:p w14:paraId="33F723B4">
            <w:pPr>
              <w:ind w:firstLine="480"/>
              <w:rPr>
                <w:szCs w:val="28"/>
              </w:rPr>
            </w:pPr>
            <w:r>
              <w:rPr>
                <w:rFonts w:hint="eastAsia"/>
                <w:szCs w:val="28"/>
              </w:rPr>
              <w:t>⑤加热区、油罐区应做好防雷工作。</w:t>
            </w:r>
          </w:p>
          <w:p w14:paraId="30832535">
            <w:pPr>
              <w:ind w:firstLine="480"/>
              <w:rPr>
                <w:szCs w:val="28"/>
              </w:rPr>
            </w:pPr>
            <w:r>
              <w:rPr>
                <w:rFonts w:hint="eastAsia"/>
                <w:szCs w:val="28"/>
              </w:rPr>
              <w:t>⑥危险废物贮存间、柴油储罐区进行重点防渗，其中危险废物贮存设施按照《危险废物贮存污染控制标准》（GB 18597-2023）中贮存设施污染控制要求设计：“防渗材料可采用抗渗混凝土、高密度聚乙烯膜、钠基膨润土防水毯或其他防渗性能等效的材料，防渗层为至少1m厚黏土层（渗透系数不大于10</w:t>
            </w:r>
            <w:r>
              <w:rPr>
                <w:rFonts w:hint="eastAsia"/>
                <w:szCs w:val="28"/>
                <w:vertAlign w:val="superscript"/>
              </w:rPr>
              <w:t>-7</w:t>
            </w:r>
            <w:r>
              <w:rPr>
                <w:rFonts w:hint="eastAsia"/>
                <w:szCs w:val="28"/>
              </w:rPr>
              <w:t>cm/s），或至少2mm厚高密度聚乙烯膜等人工防渗材料（渗透系数不大于 10</w:t>
            </w:r>
            <w:r>
              <w:rPr>
                <w:rFonts w:hint="eastAsia"/>
                <w:szCs w:val="28"/>
                <w:vertAlign w:val="superscript"/>
              </w:rPr>
              <w:t>-10</w:t>
            </w:r>
            <w:r>
              <w:rPr>
                <w:rFonts w:hint="eastAsia"/>
                <w:szCs w:val="28"/>
              </w:rPr>
              <w:t>cm/s），或其他防渗性能等效的材料。”</w:t>
            </w:r>
          </w:p>
          <w:p w14:paraId="72F4D708">
            <w:pPr>
              <w:ind w:firstLine="480"/>
              <w:rPr>
                <w:szCs w:val="28"/>
              </w:rPr>
            </w:pPr>
            <w:r>
              <w:rPr>
                <w:rFonts w:hint="eastAsia"/>
                <w:szCs w:val="28"/>
              </w:rPr>
              <w:t>⑦柴油储罐区设置围堰，容积不小于50m</w:t>
            </w:r>
            <w:r>
              <w:rPr>
                <w:rFonts w:hint="eastAsia"/>
                <w:szCs w:val="28"/>
                <w:vertAlign w:val="superscript"/>
              </w:rPr>
              <w:t>3</w:t>
            </w:r>
            <w:r>
              <w:rPr>
                <w:rFonts w:hint="eastAsia"/>
                <w:szCs w:val="28"/>
              </w:rPr>
              <w:t>，并按照要求进行重点防渗处理。</w:t>
            </w:r>
          </w:p>
          <w:p w14:paraId="164DB3F5">
            <w:pPr>
              <w:ind w:firstLine="480"/>
              <w:rPr>
                <w:szCs w:val="28"/>
              </w:rPr>
            </w:pPr>
            <w:r>
              <w:rPr>
                <w:rFonts w:hint="eastAsia"/>
                <w:szCs w:val="28"/>
              </w:rPr>
              <w:t>⑧建立健全安全环境管理制度，操作人员必须严格按照操作规程办事，认真执行巡检制度，避免因检查不到位或错误操作而发生事故；建立健全的环境管理制度，指定相关责任人；消防器材完好到位，并设置火灾报警装置。加强项目区安全环保管理，对所有职工进行安全环保的教育和培训。</w:t>
            </w:r>
          </w:p>
          <w:p w14:paraId="0C3B7EF8">
            <w:pPr>
              <w:adjustRightInd w:val="0"/>
              <w:ind w:firstLine="482"/>
              <w:rPr>
                <w:b/>
                <w:bCs/>
                <w:szCs w:val="28"/>
              </w:rPr>
            </w:pPr>
            <w:r>
              <w:rPr>
                <w:rFonts w:hint="eastAsia"/>
                <w:b/>
                <w:bCs/>
                <w:szCs w:val="28"/>
              </w:rPr>
              <w:t>（2）应急预案及应急演练</w:t>
            </w:r>
          </w:p>
          <w:p w14:paraId="754511E6">
            <w:pPr>
              <w:ind w:firstLine="480"/>
            </w:pPr>
            <w:r>
              <w:rPr>
                <w:szCs w:val="28"/>
              </w:rPr>
              <w:t>本项目应按照《突发环境事件应急预案管理暂行办法(环发[2010]113号)》和《企业事业单位突发环境事件应急预案备案管理办法（试行）》（环发[2015]4号）的相关要求</w:t>
            </w:r>
            <w:r>
              <w:rPr>
                <w:rFonts w:hint="eastAsia"/>
                <w:szCs w:val="28"/>
              </w:rPr>
              <w:t>修编</w:t>
            </w:r>
            <w:r>
              <w:rPr>
                <w:szCs w:val="28"/>
              </w:rPr>
              <w:t>应急预案，并报昆明市生态环境局</w:t>
            </w:r>
            <w:r>
              <w:rPr>
                <w:rFonts w:hint="eastAsia"/>
                <w:szCs w:val="28"/>
              </w:rPr>
              <w:t>寻甸</w:t>
            </w:r>
            <w:r>
              <w:rPr>
                <w:szCs w:val="28"/>
              </w:rPr>
              <w:t>分局备案</w:t>
            </w:r>
            <w:r>
              <w:rPr>
                <w:rFonts w:hint="eastAsia"/>
                <w:szCs w:val="28"/>
              </w:rPr>
              <w:t>，并定期开展应急演练</w:t>
            </w:r>
            <w:r>
              <w:rPr>
                <w:szCs w:val="28"/>
              </w:rPr>
              <w:t>。</w:t>
            </w:r>
          </w:p>
          <w:p w14:paraId="49EA71E9">
            <w:pPr>
              <w:ind w:firstLine="482"/>
              <w:rPr>
                <w:b/>
                <w:bCs/>
              </w:rPr>
            </w:pPr>
            <w:r>
              <w:rPr>
                <w:rFonts w:hint="eastAsia"/>
                <w:b/>
                <w:bCs/>
              </w:rPr>
              <w:t>4、环境风险评价结论及建议</w:t>
            </w:r>
          </w:p>
          <w:p w14:paraId="4D7BA625">
            <w:pPr>
              <w:spacing w:before="40" w:line="359" w:lineRule="auto"/>
              <w:ind w:left="117" w:right="108" w:firstLine="480"/>
              <w:rPr>
                <w:rFonts w:ascii="宋体" w:hAnsi="宋体" w:cs="宋体"/>
              </w:rPr>
            </w:pPr>
            <w:r>
              <w:rPr>
                <w:rFonts w:ascii="宋体" w:hAnsi="宋体" w:cs="宋体"/>
              </w:rPr>
              <w:t>综上分析，通过采用严格的防火设计标准、加强原</w:t>
            </w:r>
            <w:r>
              <w:rPr>
                <w:rFonts w:ascii="宋体" w:hAnsi="宋体" w:cs="宋体"/>
                <w:spacing w:val="-1"/>
              </w:rPr>
              <w:t>辅料储存管理、严格按有</w:t>
            </w:r>
            <w:r>
              <w:rPr>
                <w:rFonts w:ascii="宋体" w:hAnsi="宋体" w:cs="宋体"/>
                <w:spacing w:val="-5"/>
              </w:rPr>
              <w:t>关规章制度进行生产操作等措施后，火灾发生的可能性很</w:t>
            </w:r>
            <w:r>
              <w:rPr>
                <w:rFonts w:ascii="宋体" w:hAnsi="宋体" w:cs="宋体"/>
                <w:spacing w:val="-6"/>
              </w:rPr>
              <w:t>小。制定风险应急预案，</w:t>
            </w:r>
            <w:r>
              <w:rPr>
                <w:rFonts w:ascii="宋体" w:hAnsi="宋体" w:cs="宋体"/>
              </w:rPr>
              <w:t>一旦发生事故将可迅速响应，采取措施将影响降到最</w:t>
            </w:r>
            <w:r>
              <w:rPr>
                <w:rFonts w:ascii="宋体" w:hAnsi="宋体" w:cs="宋体"/>
                <w:spacing w:val="-1"/>
              </w:rPr>
              <w:t>小。项目环境风险在可接受</w:t>
            </w:r>
            <w:r>
              <w:rPr>
                <w:rFonts w:ascii="宋体" w:hAnsi="宋体" w:cs="宋体"/>
                <w:spacing w:val="-2"/>
              </w:rPr>
              <w:t>范围内，且采取措施后风险可控。</w:t>
            </w:r>
          </w:p>
          <w:p w14:paraId="7623EE74">
            <w:pPr>
              <w:ind w:firstLine="456"/>
            </w:pPr>
            <w:r>
              <w:rPr>
                <w:rFonts w:ascii="宋体" w:hAnsi="宋体" w:cs="宋体"/>
                <w:spacing w:val="-6"/>
              </w:rPr>
              <w:t>综上所述，本项目风险处于完全可接受的水平，其风险管理措施有效、可靠，</w:t>
            </w:r>
            <w:r>
              <w:rPr>
                <w:rFonts w:ascii="宋体" w:hAnsi="宋体" w:cs="宋体"/>
                <w:spacing w:val="-1"/>
              </w:rPr>
              <w:t>从防范风险角度分析是可行的。</w:t>
            </w:r>
          </w:p>
          <w:p w14:paraId="0919AEFA">
            <w:pPr>
              <w:ind w:firstLine="422"/>
              <w:jc w:val="center"/>
              <w:rPr>
                <w:b/>
                <w:bCs/>
              </w:rPr>
            </w:pPr>
            <w:r>
              <w:rPr>
                <w:rFonts w:hint="eastAsia"/>
                <w:b/>
                <w:bCs/>
                <w:sz w:val="21"/>
                <w:szCs w:val="21"/>
              </w:rPr>
              <w:t>表4-13  环境风险简单分析表</w:t>
            </w:r>
          </w:p>
          <w:tbl>
            <w:tblPr>
              <w:tblStyle w:val="27"/>
              <w:tblW w:w="84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0"/>
              <w:gridCol w:w="1654"/>
              <w:gridCol w:w="1515"/>
              <w:gridCol w:w="1500"/>
              <w:gridCol w:w="2167"/>
            </w:tblGrid>
            <w:tr w14:paraId="6DCBF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590" w:type="dxa"/>
                  <w:vAlign w:val="center"/>
                </w:tcPr>
                <w:p w14:paraId="547D50F8">
                  <w:pPr>
                    <w:autoSpaceDE w:val="0"/>
                    <w:autoSpaceDN w:val="0"/>
                    <w:spacing w:line="240" w:lineRule="auto"/>
                    <w:ind w:firstLine="0" w:firstLineChars="0"/>
                    <w:jc w:val="center"/>
                    <w:rPr>
                      <w:sz w:val="21"/>
                      <w:szCs w:val="21"/>
                    </w:rPr>
                  </w:pPr>
                  <w:r>
                    <w:rPr>
                      <w:rFonts w:hint="eastAsia"/>
                      <w:sz w:val="21"/>
                      <w:szCs w:val="21"/>
                    </w:rPr>
                    <w:t>建设项目名称</w:t>
                  </w:r>
                </w:p>
              </w:tc>
              <w:tc>
                <w:tcPr>
                  <w:tcW w:w="6836" w:type="dxa"/>
                  <w:gridSpan w:val="4"/>
                  <w:vAlign w:val="center"/>
                </w:tcPr>
                <w:p w14:paraId="08D9E02D">
                  <w:pPr>
                    <w:autoSpaceDE w:val="0"/>
                    <w:autoSpaceDN w:val="0"/>
                    <w:spacing w:line="240" w:lineRule="auto"/>
                    <w:ind w:firstLine="0" w:firstLineChars="0"/>
                    <w:jc w:val="center"/>
                    <w:rPr>
                      <w:sz w:val="21"/>
                      <w:szCs w:val="21"/>
                    </w:rPr>
                  </w:pPr>
                  <w:r>
                    <w:rPr>
                      <w:rFonts w:hint="eastAsia"/>
                      <w:sz w:val="21"/>
                      <w:szCs w:val="21"/>
                    </w:rPr>
                    <w:t>寻甸熠峰建设工程有限公司搅拌站项目</w:t>
                  </w:r>
                </w:p>
              </w:tc>
            </w:tr>
            <w:tr w14:paraId="7B4E5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590" w:type="dxa"/>
                  <w:vAlign w:val="center"/>
                </w:tcPr>
                <w:p w14:paraId="05AD5B26">
                  <w:pPr>
                    <w:autoSpaceDE w:val="0"/>
                    <w:autoSpaceDN w:val="0"/>
                    <w:spacing w:line="240" w:lineRule="auto"/>
                    <w:ind w:firstLine="0" w:firstLineChars="0"/>
                    <w:jc w:val="center"/>
                    <w:rPr>
                      <w:sz w:val="21"/>
                      <w:szCs w:val="21"/>
                    </w:rPr>
                  </w:pPr>
                  <w:r>
                    <w:rPr>
                      <w:rFonts w:hint="eastAsia"/>
                      <w:sz w:val="21"/>
                      <w:szCs w:val="21"/>
                    </w:rPr>
                    <w:t>建设地点</w:t>
                  </w:r>
                </w:p>
              </w:tc>
              <w:tc>
                <w:tcPr>
                  <w:tcW w:w="1654" w:type="dxa"/>
                  <w:vAlign w:val="center"/>
                </w:tcPr>
                <w:p w14:paraId="06588A77">
                  <w:pPr>
                    <w:autoSpaceDE w:val="0"/>
                    <w:autoSpaceDN w:val="0"/>
                    <w:spacing w:line="240" w:lineRule="auto"/>
                    <w:ind w:firstLine="0" w:firstLineChars="0"/>
                    <w:jc w:val="center"/>
                    <w:rPr>
                      <w:sz w:val="21"/>
                      <w:szCs w:val="21"/>
                    </w:rPr>
                  </w:pPr>
                  <w:r>
                    <w:rPr>
                      <w:rFonts w:hint="eastAsia"/>
                      <w:sz w:val="21"/>
                      <w:szCs w:val="21"/>
                    </w:rPr>
                    <w:t>（云南）省</w:t>
                  </w:r>
                </w:p>
              </w:tc>
              <w:tc>
                <w:tcPr>
                  <w:tcW w:w="1515" w:type="dxa"/>
                  <w:vAlign w:val="center"/>
                </w:tcPr>
                <w:p w14:paraId="566C0CC9">
                  <w:pPr>
                    <w:autoSpaceDE w:val="0"/>
                    <w:autoSpaceDN w:val="0"/>
                    <w:spacing w:line="240" w:lineRule="auto"/>
                    <w:ind w:firstLine="0" w:firstLineChars="0"/>
                    <w:jc w:val="center"/>
                    <w:rPr>
                      <w:sz w:val="21"/>
                      <w:szCs w:val="21"/>
                    </w:rPr>
                  </w:pPr>
                  <w:r>
                    <w:rPr>
                      <w:rFonts w:hint="eastAsia"/>
                      <w:sz w:val="21"/>
                      <w:szCs w:val="21"/>
                    </w:rPr>
                    <w:t>（昆明）市</w:t>
                  </w:r>
                </w:p>
              </w:tc>
              <w:tc>
                <w:tcPr>
                  <w:tcW w:w="1500" w:type="dxa"/>
                  <w:vAlign w:val="center"/>
                </w:tcPr>
                <w:p w14:paraId="78C08811">
                  <w:pPr>
                    <w:autoSpaceDE w:val="0"/>
                    <w:autoSpaceDN w:val="0"/>
                    <w:spacing w:line="240" w:lineRule="auto"/>
                    <w:ind w:firstLine="0" w:firstLineChars="0"/>
                    <w:jc w:val="center"/>
                    <w:rPr>
                      <w:sz w:val="21"/>
                      <w:szCs w:val="21"/>
                    </w:rPr>
                  </w:pPr>
                  <w:r>
                    <w:rPr>
                      <w:rFonts w:hint="eastAsia"/>
                      <w:sz w:val="21"/>
                      <w:szCs w:val="21"/>
                    </w:rPr>
                    <w:t>（寻甸）区</w:t>
                  </w:r>
                </w:p>
              </w:tc>
              <w:tc>
                <w:tcPr>
                  <w:tcW w:w="2167" w:type="dxa"/>
                  <w:vAlign w:val="center"/>
                </w:tcPr>
                <w:p w14:paraId="301A9421">
                  <w:pPr>
                    <w:autoSpaceDE w:val="0"/>
                    <w:autoSpaceDN w:val="0"/>
                    <w:spacing w:line="240" w:lineRule="auto"/>
                    <w:ind w:firstLine="0" w:firstLineChars="0"/>
                    <w:jc w:val="center"/>
                    <w:rPr>
                      <w:sz w:val="21"/>
                      <w:szCs w:val="21"/>
                    </w:rPr>
                  </w:pPr>
                  <w:r>
                    <w:rPr>
                      <w:rFonts w:hint="eastAsia"/>
                      <w:sz w:val="21"/>
                      <w:szCs w:val="21"/>
                    </w:rPr>
                    <w:t>仁德街道中桥社区</w:t>
                  </w:r>
                </w:p>
              </w:tc>
            </w:tr>
            <w:tr w14:paraId="793F2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0" w:type="dxa"/>
                  <w:vAlign w:val="center"/>
                </w:tcPr>
                <w:p w14:paraId="4E84BA42">
                  <w:pPr>
                    <w:autoSpaceDE w:val="0"/>
                    <w:autoSpaceDN w:val="0"/>
                    <w:spacing w:line="240" w:lineRule="auto"/>
                    <w:ind w:firstLine="0" w:firstLineChars="0"/>
                    <w:jc w:val="center"/>
                    <w:rPr>
                      <w:sz w:val="21"/>
                      <w:szCs w:val="21"/>
                    </w:rPr>
                  </w:pPr>
                  <w:r>
                    <w:rPr>
                      <w:rFonts w:hint="eastAsia"/>
                      <w:sz w:val="21"/>
                      <w:szCs w:val="21"/>
                    </w:rPr>
                    <w:t>地理坐标（经纬度）</w:t>
                  </w:r>
                </w:p>
              </w:tc>
              <w:tc>
                <w:tcPr>
                  <w:tcW w:w="6836" w:type="dxa"/>
                  <w:gridSpan w:val="4"/>
                  <w:vAlign w:val="center"/>
                </w:tcPr>
                <w:p w14:paraId="09B9FA84">
                  <w:pPr>
                    <w:autoSpaceDE w:val="0"/>
                    <w:autoSpaceDN w:val="0"/>
                    <w:spacing w:line="240" w:lineRule="auto"/>
                    <w:ind w:firstLine="0" w:firstLineChars="0"/>
                    <w:jc w:val="center"/>
                    <w:rPr>
                      <w:sz w:val="21"/>
                      <w:szCs w:val="21"/>
                    </w:rPr>
                  </w:pPr>
                  <w:r>
                    <w:rPr>
                      <w:rFonts w:hint="eastAsia"/>
                      <w:sz w:val="21"/>
                      <w:szCs w:val="21"/>
                    </w:rPr>
                    <w:t>E</w:t>
                  </w:r>
                  <w:r>
                    <w:rPr>
                      <w:sz w:val="21"/>
                      <w:szCs w:val="21"/>
                    </w:rPr>
                    <w:t>10</w:t>
                  </w:r>
                  <w:r>
                    <w:rPr>
                      <w:rFonts w:hint="eastAsia"/>
                      <w:sz w:val="21"/>
                      <w:szCs w:val="21"/>
                    </w:rPr>
                    <w:t>3°18</w:t>
                  </w:r>
                  <w:r>
                    <w:rPr>
                      <w:sz w:val="21"/>
                      <w:szCs w:val="21"/>
                    </w:rPr>
                    <w:t>´</w:t>
                  </w:r>
                  <w:r>
                    <w:rPr>
                      <w:rFonts w:hint="eastAsia"/>
                      <w:sz w:val="21"/>
                      <w:szCs w:val="21"/>
                    </w:rPr>
                    <w:t>55.59</w:t>
                  </w:r>
                  <w:r>
                    <w:rPr>
                      <w:sz w:val="21"/>
                      <w:szCs w:val="21"/>
                    </w:rPr>
                    <w:t>"，</w:t>
                  </w:r>
                  <w:r>
                    <w:rPr>
                      <w:rFonts w:hint="eastAsia"/>
                      <w:sz w:val="21"/>
                      <w:szCs w:val="21"/>
                    </w:rPr>
                    <w:t>N</w:t>
                  </w:r>
                  <w:r>
                    <w:rPr>
                      <w:sz w:val="21"/>
                      <w:szCs w:val="21"/>
                    </w:rPr>
                    <w:t>2</w:t>
                  </w:r>
                  <w:r>
                    <w:rPr>
                      <w:rFonts w:hint="eastAsia"/>
                      <w:sz w:val="21"/>
                      <w:szCs w:val="21"/>
                    </w:rPr>
                    <w:t>5°34</w:t>
                  </w:r>
                  <w:r>
                    <w:rPr>
                      <w:sz w:val="21"/>
                      <w:szCs w:val="21"/>
                    </w:rPr>
                    <w:t>´</w:t>
                  </w:r>
                  <w:r>
                    <w:rPr>
                      <w:rFonts w:hint="eastAsia"/>
                      <w:sz w:val="21"/>
                      <w:szCs w:val="21"/>
                    </w:rPr>
                    <w:t>54.804</w:t>
                  </w:r>
                  <w:r>
                    <w:rPr>
                      <w:sz w:val="21"/>
                      <w:szCs w:val="21"/>
                    </w:rPr>
                    <w:t>"</w:t>
                  </w:r>
                </w:p>
              </w:tc>
            </w:tr>
            <w:tr w14:paraId="7C9F0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1590" w:type="dxa"/>
                  <w:vAlign w:val="center"/>
                </w:tcPr>
                <w:p w14:paraId="5523942E">
                  <w:pPr>
                    <w:autoSpaceDE w:val="0"/>
                    <w:autoSpaceDN w:val="0"/>
                    <w:spacing w:line="240" w:lineRule="auto"/>
                    <w:ind w:firstLine="0" w:firstLineChars="0"/>
                    <w:jc w:val="center"/>
                    <w:rPr>
                      <w:sz w:val="21"/>
                      <w:szCs w:val="21"/>
                    </w:rPr>
                  </w:pPr>
                  <w:r>
                    <w:rPr>
                      <w:rFonts w:hint="eastAsia"/>
                      <w:sz w:val="21"/>
                      <w:szCs w:val="21"/>
                    </w:rPr>
                    <w:t>主要危险物质及分布</w:t>
                  </w:r>
                </w:p>
              </w:tc>
              <w:tc>
                <w:tcPr>
                  <w:tcW w:w="6836" w:type="dxa"/>
                  <w:gridSpan w:val="4"/>
                  <w:vAlign w:val="center"/>
                </w:tcPr>
                <w:p w14:paraId="74DA239E">
                  <w:pPr>
                    <w:autoSpaceDE w:val="0"/>
                    <w:autoSpaceDN w:val="0"/>
                    <w:spacing w:line="240" w:lineRule="auto"/>
                    <w:ind w:firstLine="0" w:firstLineChars="0"/>
                    <w:rPr>
                      <w:sz w:val="21"/>
                      <w:szCs w:val="21"/>
                    </w:rPr>
                  </w:pPr>
                  <w:r>
                    <w:rPr>
                      <w:rFonts w:hint="eastAsia"/>
                      <w:sz w:val="21"/>
                      <w:szCs w:val="21"/>
                    </w:rPr>
                    <w:t>危废暂存间：废焦油、废矿物油和废活性炭等，储罐区：柴油，导热油炉：导热油。</w:t>
                  </w:r>
                </w:p>
              </w:tc>
            </w:tr>
            <w:tr w14:paraId="18695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0" w:type="dxa"/>
                  <w:vAlign w:val="center"/>
                </w:tcPr>
                <w:p w14:paraId="0477EFF5">
                  <w:pPr>
                    <w:autoSpaceDE w:val="0"/>
                    <w:autoSpaceDN w:val="0"/>
                    <w:spacing w:line="240" w:lineRule="auto"/>
                    <w:ind w:firstLine="0" w:firstLineChars="0"/>
                    <w:jc w:val="center"/>
                    <w:rPr>
                      <w:sz w:val="21"/>
                      <w:szCs w:val="21"/>
                    </w:rPr>
                  </w:pPr>
                  <w:r>
                    <w:rPr>
                      <w:rFonts w:hint="eastAsia"/>
                      <w:sz w:val="21"/>
                      <w:szCs w:val="21"/>
                    </w:rPr>
                    <w:t>环境影响途径及危害后果（大气、地表水、地下水等）</w:t>
                  </w:r>
                </w:p>
              </w:tc>
              <w:tc>
                <w:tcPr>
                  <w:tcW w:w="6836" w:type="dxa"/>
                  <w:gridSpan w:val="4"/>
                  <w:vAlign w:val="center"/>
                </w:tcPr>
                <w:p w14:paraId="0D2277C5">
                  <w:pPr>
                    <w:autoSpaceDE w:val="0"/>
                    <w:autoSpaceDN w:val="0"/>
                    <w:spacing w:line="240" w:lineRule="auto"/>
                    <w:ind w:firstLine="0" w:firstLineChars="0"/>
                    <w:rPr>
                      <w:sz w:val="21"/>
                      <w:szCs w:val="21"/>
                    </w:rPr>
                  </w:pPr>
                  <w:r>
                    <w:rPr>
                      <w:sz w:val="21"/>
                      <w:szCs w:val="21"/>
                    </w:rPr>
                    <w:t>对环境产生的影响主要是风险物质</w:t>
                  </w:r>
                  <w:r>
                    <w:rPr>
                      <w:rFonts w:hint="eastAsia"/>
                      <w:sz w:val="21"/>
                      <w:szCs w:val="21"/>
                    </w:rPr>
                    <w:t>泄漏</w:t>
                  </w:r>
                  <w:r>
                    <w:rPr>
                      <w:sz w:val="21"/>
                      <w:szCs w:val="21"/>
                    </w:rPr>
                    <w:t>进入地下可能对水体和土壤造成污染；遇明火、高热发生火灾，对大气环境造成污染。本项目风险物质存储量较小，</w:t>
                  </w:r>
                  <w:r>
                    <w:rPr>
                      <w:rFonts w:hint="eastAsia"/>
                      <w:sz w:val="21"/>
                      <w:szCs w:val="21"/>
                    </w:rPr>
                    <w:t>危废贮存间、储罐区等</w:t>
                  </w:r>
                  <w:r>
                    <w:rPr>
                      <w:sz w:val="21"/>
                      <w:szCs w:val="21"/>
                    </w:rPr>
                    <w:t>均进行了防渗处理，基本不会对地下水、土壤产生影响。在存储过程中远离火种、热源，避免引起火灾及爆炸。所以，本项目对大气环境风险及地下水环境</w:t>
                  </w:r>
                  <w:r>
                    <w:rPr>
                      <w:rFonts w:hint="eastAsia"/>
                      <w:sz w:val="21"/>
                      <w:szCs w:val="21"/>
                    </w:rPr>
                    <w:t>风</w:t>
                  </w:r>
                  <w:r>
                    <w:rPr>
                      <w:sz w:val="21"/>
                      <w:szCs w:val="21"/>
                    </w:rPr>
                    <w:t>险产生的影响很小。</w:t>
                  </w:r>
                </w:p>
              </w:tc>
            </w:tr>
            <w:tr w14:paraId="7FBEF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0" w:type="dxa"/>
                  <w:vAlign w:val="center"/>
                </w:tcPr>
                <w:p w14:paraId="2CAC3B1E">
                  <w:pPr>
                    <w:autoSpaceDE w:val="0"/>
                    <w:autoSpaceDN w:val="0"/>
                    <w:spacing w:line="240" w:lineRule="auto"/>
                    <w:ind w:firstLine="0" w:firstLineChars="0"/>
                    <w:rPr>
                      <w:sz w:val="21"/>
                      <w:szCs w:val="21"/>
                    </w:rPr>
                  </w:pPr>
                  <w:r>
                    <w:rPr>
                      <w:rFonts w:hint="eastAsia"/>
                      <w:sz w:val="21"/>
                      <w:szCs w:val="21"/>
                    </w:rPr>
                    <w:t>风险防范措施要求</w:t>
                  </w:r>
                </w:p>
              </w:tc>
              <w:tc>
                <w:tcPr>
                  <w:tcW w:w="6836" w:type="dxa"/>
                  <w:gridSpan w:val="4"/>
                  <w:vAlign w:val="center"/>
                </w:tcPr>
                <w:p w14:paraId="43DFE267">
                  <w:pPr>
                    <w:autoSpaceDE w:val="0"/>
                    <w:autoSpaceDN w:val="0"/>
                    <w:spacing w:line="240" w:lineRule="auto"/>
                    <w:ind w:firstLine="0" w:firstLineChars="0"/>
                    <w:rPr>
                      <w:sz w:val="21"/>
                      <w:szCs w:val="21"/>
                    </w:rPr>
                  </w:pPr>
                  <w:r>
                    <w:rPr>
                      <w:rFonts w:hint="eastAsia"/>
                      <w:sz w:val="21"/>
                      <w:szCs w:val="21"/>
                    </w:rPr>
                    <w:t>①柴油、导热油储罐应配有遮阳设施，防止暴晒；</w:t>
                  </w:r>
                </w:p>
                <w:p w14:paraId="6C51006E">
                  <w:pPr>
                    <w:autoSpaceDE w:val="0"/>
                    <w:autoSpaceDN w:val="0"/>
                    <w:spacing w:line="240" w:lineRule="auto"/>
                    <w:ind w:firstLine="0" w:firstLineChars="0"/>
                    <w:rPr>
                      <w:sz w:val="21"/>
                      <w:szCs w:val="21"/>
                    </w:rPr>
                  </w:pPr>
                  <w:r>
                    <w:rPr>
                      <w:rFonts w:hint="eastAsia"/>
                      <w:sz w:val="21"/>
                      <w:szCs w:val="21"/>
                    </w:rPr>
                    <w:t>②柴油、导热油运输过程中车辆上应备有必要的应急处理器材和防护用品；</w:t>
                  </w:r>
                </w:p>
                <w:p w14:paraId="0764BB4B">
                  <w:pPr>
                    <w:autoSpaceDE w:val="0"/>
                    <w:autoSpaceDN w:val="0"/>
                    <w:spacing w:line="240" w:lineRule="auto"/>
                    <w:ind w:firstLine="0" w:firstLineChars="0"/>
                    <w:rPr>
                      <w:sz w:val="21"/>
                      <w:szCs w:val="21"/>
                    </w:rPr>
                  </w:pPr>
                  <w:r>
                    <w:rPr>
                      <w:rFonts w:hint="eastAsia"/>
                      <w:sz w:val="21"/>
                      <w:szCs w:val="21"/>
                    </w:rPr>
                    <w:t>③柴油、导热油储罐区域附近不得存储其它易燃易爆物品、氧化剂、腐蚀性物品等；</w:t>
                  </w:r>
                </w:p>
                <w:p w14:paraId="25840E2D">
                  <w:pPr>
                    <w:autoSpaceDE w:val="0"/>
                    <w:autoSpaceDN w:val="0"/>
                    <w:spacing w:line="240" w:lineRule="auto"/>
                    <w:ind w:firstLine="0" w:firstLineChars="0"/>
                    <w:rPr>
                      <w:sz w:val="21"/>
                      <w:szCs w:val="21"/>
                    </w:rPr>
                  </w:pPr>
                  <w:r>
                    <w:rPr>
                      <w:rFonts w:hint="eastAsia"/>
                      <w:sz w:val="21"/>
                      <w:szCs w:val="21"/>
                    </w:rPr>
                    <w:t>④储罐区、危废暂存间等风险单元设置禁火标识牌等，严格禁火制度；</w:t>
                  </w:r>
                </w:p>
                <w:p w14:paraId="191AA896">
                  <w:pPr>
                    <w:autoSpaceDE w:val="0"/>
                    <w:autoSpaceDN w:val="0"/>
                    <w:spacing w:line="240" w:lineRule="auto"/>
                    <w:ind w:firstLine="0" w:firstLineChars="0"/>
                    <w:rPr>
                      <w:sz w:val="21"/>
                      <w:szCs w:val="21"/>
                    </w:rPr>
                  </w:pPr>
                  <w:r>
                    <w:rPr>
                      <w:rFonts w:hint="eastAsia"/>
                      <w:sz w:val="21"/>
                      <w:szCs w:val="21"/>
                    </w:rPr>
                    <w:t>⑤加热区、油罐区应做好防雷工作。</w:t>
                  </w:r>
                </w:p>
                <w:p w14:paraId="6CB8A0E2">
                  <w:pPr>
                    <w:autoSpaceDE w:val="0"/>
                    <w:autoSpaceDN w:val="0"/>
                    <w:spacing w:line="240" w:lineRule="auto"/>
                    <w:ind w:firstLine="0" w:firstLineChars="0"/>
                    <w:rPr>
                      <w:sz w:val="21"/>
                      <w:szCs w:val="21"/>
                    </w:rPr>
                  </w:pPr>
                  <w:r>
                    <w:rPr>
                      <w:rFonts w:hint="eastAsia"/>
                      <w:sz w:val="21"/>
                      <w:szCs w:val="21"/>
                    </w:rPr>
                    <w:t>⑥危险废物贮存间、柴油储罐区进行重点防渗，其中危险废物贮存设施按照《危险废物贮存污染控制标准》（GB18597-2023）中贮存设施污染控制要求设计：“防渗材料可采用抗渗混凝土、高密度聚乙烯膜、钠基膨润土防水毯或其他防渗性能等效的材料，防渗层为至少1m厚黏土层（渗透系数不大于10</w:t>
                  </w:r>
                  <w:r>
                    <w:rPr>
                      <w:rFonts w:hint="eastAsia"/>
                      <w:sz w:val="21"/>
                      <w:szCs w:val="21"/>
                      <w:vertAlign w:val="superscript"/>
                    </w:rPr>
                    <w:t>-7</w:t>
                  </w:r>
                  <w:r>
                    <w:rPr>
                      <w:rFonts w:hint="eastAsia"/>
                      <w:sz w:val="21"/>
                      <w:szCs w:val="21"/>
                    </w:rPr>
                    <w:t>cm/s），或至少2mm厚高密度聚乙烯膜等人工防渗材料（渗透系数不大于 10</w:t>
                  </w:r>
                  <w:r>
                    <w:rPr>
                      <w:rFonts w:hint="eastAsia"/>
                      <w:sz w:val="21"/>
                      <w:szCs w:val="21"/>
                      <w:vertAlign w:val="superscript"/>
                    </w:rPr>
                    <w:t>-10</w:t>
                  </w:r>
                  <w:r>
                    <w:rPr>
                      <w:rFonts w:hint="eastAsia"/>
                      <w:sz w:val="21"/>
                      <w:szCs w:val="21"/>
                    </w:rPr>
                    <w:t>cm/s），或其他防渗性能等效的材料。”</w:t>
                  </w:r>
                </w:p>
                <w:p w14:paraId="65382FB3">
                  <w:pPr>
                    <w:autoSpaceDE w:val="0"/>
                    <w:autoSpaceDN w:val="0"/>
                    <w:spacing w:line="240" w:lineRule="auto"/>
                    <w:ind w:firstLine="0" w:firstLineChars="0"/>
                    <w:rPr>
                      <w:sz w:val="21"/>
                      <w:szCs w:val="21"/>
                    </w:rPr>
                  </w:pPr>
                  <w:r>
                    <w:rPr>
                      <w:rFonts w:hint="eastAsia"/>
                      <w:sz w:val="21"/>
                      <w:szCs w:val="21"/>
                    </w:rPr>
                    <w:t>⑦柴油储罐区设置围堰，容积不小于50m</w:t>
                  </w:r>
                  <w:r>
                    <w:rPr>
                      <w:rFonts w:hint="eastAsia"/>
                      <w:sz w:val="21"/>
                      <w:szCs w:val="21"/>
                      <w:vertAlign w:val="superscript"/>
                    </w:rPr>
                    <w:t>3</w:t>
                  </w:r>
                  <w:r>
                    <w:rPr>
                      <w:rFonts w:hint="eastAsia"/>
                      <w:sz w:val="21"/>
                      <w:szCs w:val="21"/>
                    </w:rPr>
                    <w:t>，并按照要求进行重点防渗处理。</w:t>
                  </w:r>
                </w:p>
                <w:p w14:paraId="3937EEC0">
                  <w:pPr>
                    <w:autoSpaceDE w:val="0"/>
                    <w:autoSpaceDN w:val="0"/>
                    <w:spacing w:line="240" w:lineRule="auto"/>
                    <w:ind w:firstLine="0" w:firstLineChars="0"/>
                    <w:rPr>
                      <w:sz w:val="21"/>
                      <w:szCs w:val="21"/>
                    </w:rPr>
                  </w:pPr>
                  <w:r>
                    <w:rPr>
                      <w:rFonts w:hint="eastAsia"/>
                      <w:sz w:val="21"/>
                      <w:szCs w:val="21"/>
                    </w:rPr>
                    <w:t>⑧建立健全安全环境管理制度，操作人员必须严格按照操作规程办事，认真执行巡检制度，避免因检查不到位或错误操作而发生事故；建立健全的环境管理制度，指定相关责任人；消防器材完好到位，并设置火灾报警装置。加强项目区安全环保管理，对所有职工进行安全环保的教育和培训。⑨</w:t>
                  </w:r>
                  <w:r>
                    <w:rPr>
                      <w:sz w:val="21"/>
                      <w:szCs w:val="21"/>
                    </w:rPr>
                    <w:t>编制突发环境事件应急预案，并报昆明市生态环境局寻甸分局备案</w:t>
                  </w:r>
                  <w:r>
                    <w:rPr>
                      <w:rFonts w:hint="eastAsia"/>
                      <w:sz w:val="21"/>
                      <w:szCs w:val="21"/>
                    </w:rPr>
                    <w:t>，并加强演练</w:t>
                  </w:r>
                  <w:r>
                    <w:rPr>
                      <w:sz w:val="21"/>
                      <w:szCs w:val="21"/>
                    </w:rPr>
                    <w:t>。</w:t>
                  </w:r>
                </w:p>
              </w:tc>
            </w:tr>
            <w:tr w14:paraId="34098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26" w:type="dxa"/>
                  <w:gridSpan w:val="5"/>
                  <w:vAlign w:val="center"/>
                </w:tcPr>
                <w:p w14:paraId="163C0A10">
                  <w:pPr>
                    <w:autoSpaceDE w:val="0"/>
                    <w:autoSpaceDN w:val="0"/>
                    <w:spacing w:line="240" w:lineRule="auto"/>
                    <w:ind w:firstLine="0" w:firstLineChars="0"/>
                    <w:rPr>
                      <w:sz w:val="21"/>
                      <w:szCs w:val="21"/>
                    </w:rPr>
                  </w:pPr>
                  <w:r>
                    <w:rPr>
                      <w:sz w:val="21"/>
                      <w:szCs w:val="21"/>
                    </w:rPr>
                    <w:t>填表说明（列出项目相关信息及评价说明）：</w:t>
                  </w:r>
                </w:p>
                <w:p w14:paraId="2637FA49">
                  <w:pPr>
                    <w:autoSpaceDE w:val="0"/>
                    <w:autoSpaceDN w:val="0"/>
                    <w:spacing w:line="240" w:lineRule="auto"/>
                    <w:ind w:firstLine="0" w:firstLineChars="0"/>
                    <w:rPr>
                      <w:sz w:val="21"/>
                      <w:szCs w:val="21"/>
                    </w:rPr>
                  </w:pPr>
                  <w:r>
                    <w:rPr>
                      <w:sz w:val="21"/>
                      <w:szCs w:val="21"/>
                    </w:rPr>
                    <w:t>本项目工程设计上对风险防范考虑较为周全，具有针对性，可操作性强。建设方通过严格执行相关风险防范措施，能有效地降低风险，运营期环境风险是可防控的。</w:t>
                  </w:r>
                </w:p>
              </w:tc>
            </w:tr>
          </w:tbl>
          <w:p w14:paraId="76FF347B">
            <w:pPr>
              <w:ind w:firstLine="0" w:firstLineChars="0"/>
            </w:pPr>
          </w:p>
          <w:p w14:paraId="33B79CF7">
            <w:pPr>
              <w:ind w:firstLine="0" w:firstLineChars="0"/>
            </w:pPr>
          </w:p>
          <w:p w14:paraId="217956F2">
            <w:pPr>
              <w:ind w:firstLine="0" w:firstLineChars="0"/>
            </w:pPr>
          </w:p>
          <w:p w14:paraId="0FD6C569">
            <w:pPr>
              <w:ind w:firstLine="0" w:firstLineChars="0"/>
            </w:pPr>
          </w:p>
          <w:p w14:paraId="11AF6697">
            <w:pPr>
              <w:ind w:firstLine="0" w:firstLineChars="0"/>
            </w:pPr>
          </w:p>
          <w:p w14:paraId="2F2AAC46">
            <w:pPr>
              <w:ind w:firstLine="0" w:firstLineChars="0"/>
            </w:pPr>
          </w:p>
          <w:p w14:paraId="0206CDFC">
            <w:pPr>
              <w:ind w:firstLine="0" w:firstLineChars="0"/>
            </w:pPr>
          </w:p>
          <w:p w14:paraId="6BAD9100">
            <w:pPr>
              <w:ind w:firstLine="0" w:firstLineChars="0"/>
            </w:pPr>
          </w:p>
          <w:p w14:paraId="2224C3CF">
            <w:pPr>
              <w:ind w:firstLine="0" w:firstLineChars="0"/>
            </w:pPr>
          </w:p>
          <w:p w14:paraId="049E9145">
            <w:pPr>
              <w:ind w:firstLine="0" w:firstLineChars="0"/>
            </w:pPr>
          </w:p>
          <w:p w14:paraId="2FBD2E4B">
            <w:pPr>
              <w:ind w:firstLine="0" w:firstLineChars="0"/>
            </w:pPr>
          </w:p>
        </w:tc>
      </w:tr>
    </w:tbl>
    <w:p w14:paraId="7F6BCE37">
      <w:pPr>
        <w:ind w:firstLine="480"/>
        <w:sectPr>
          <w:pgSz w:w="12240" w:h="15840"/>
          <w:pgMar w:top="1440" w:right="1800" w:bottom="1440" w:left="1800" w:header="720" w:footer="720" w:gutter="0"/>
          <w:cols w:space="425" w:num="1"/>
          <w:docGrid w:type="lines" w:linePitch="312" w:charSpace="0"/>
        </w:sectPr>
      </w:pPr>
    </w:p>
    <w:p w14:paraId="08CB9DD8">
      <w:pPr>
        <w:pStyle w:val="4"/>
        <w:ind w:firstLine="600"/>
        <w:jc w:val="center"/>
        <w:rPr>
          <w:rFonts w:cs="黑体"/>
          <w:b w:val="0"/>
          <w:bCs w:val="0"/>
          <w:color w:val="auto"/>
        </w:rPr>
      </w:pPr>
      <w:bookmarkStart w:id="17" w:name="_Toc31489"/>
      <w:bookmarkStart w:id="18" w:name="_Toc7936"/>
      <w:r>
        <w:rPr>
          <w:rFonts w:hint="eastAsia"/>
          <w:b w:val="0"/>
          <w:bCs w:val="0"/>
          <w:color w:val="auto"/>
        </w:rPr>
        <w:t>五、环境保护措施监督检查清单</w:t>
      </w:r>
      <w:bookmarkEnd w:id="17"/>
      <w:bookmarkEnd w:id="18"/>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3"/>
        <w:gridCol w:w="1299"/>
        <w:gridCol w:w="1375"/>
        <w:gridCol w:w="2488"/>
        <w:gridCol w:w="2601"/>
      </w:tblGrid>
      <w:tr w14:paraId="22FF4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1093" w:type="dxa"/>
            <w:tcBorders>
              <w:tl2br w:val="single" w:color="auto" w:sz="4" w:space="0"/>
            </w:tcBorders>
            <w:vAlign w:val="bottom"/>
          </w:tcPr>
          <w:p w14:paraId="0B544F69">
            <w:pPr>
              <w:adjustRightInd w:val="0"/>
              <w:snapToGrid w:val="0"/>
              <w:spacing w:line="240" w:lineRule="auto"/>
              <w:ind w:firstLine="420"/>
              <w:rPr>
                <w:sz w:val="21"/>
                <w:szCs w:val="21"/>
              </w:rPr>
            </w:pPr>
            <w:r>
              <w:rPr>
                <w:rFonts w:hint="eastAsia"/>
                <w:sz w:val="21"/>
                <w:szCs w:val="21"/>
              </w:rPr>
              <w:t>要素</w:t>
            </w:r>
          </w:p>
          <w:p w14:paraId="13402766">
            <w:pPr>
              <w:adjustRightInd w:val="0"/>
              <w:snapToGrid w:val="0"/>
              <w:spacing w:line="240" w:lineRule="auto"/>
              <w:ind w:firstLine="0" w:firstLineChars="0"/>
              <w:rPr>
                <w:sz w:val="21"/>
                <w:szCs w:val="21"/>
              </w:rPr>
            </w:pPr>
            <w:r>
              <w:rPr>
                <w:rFonts w:hint="eastAsia"/>
                <w:sz w:val="21"/>
                <w:szCs w:val="21"/>
              </w:rPr>
              <w:t>内容</w:t>
            </w:r>
          </w:p>
        </w:tc>
        <w:tc>
          <w:tcPr>
            <w:tcW w:w="1299" w:type="dxa"/>
            <w:vAlign w:val="center"/>
          </w:tcPr>
          <w:p w14:paraId="2DFAD471">
            <w:pPr>
              <w:adjustRightInd w:val="0"/>
              <w:snapToGrid w:val="0"/>
              <w:spacing w:line="240" w:lineRule="auto"/>
              <w:ind w:firstLine="0" w:firstLineChars="0"/>
              <w:jc w:val="center"/>
              <w:rPr>
                <w:sz w:val="21"/>
                <w:szCs w:val="21"/>
              </w:rPr>
            </w:pPr>
            <w:r>
              <w:rPr>
                <w:rFonts w:hint="eastAsia"/>
                <w:sz w:val="21"/>
                <w:szCs w:val="21"/>
              </w:rPr>
              <w:t>排放口（编号、名称）/污染源</w:t>
            </w:r>
          </w:p>
        </w:tc>
        <w:tc>
          <w:tcPr>
            <w:tcW w:w="1375" w:type="dxa"/>
            <w:vAlign w:val="center"/>
          </w:tcPr>
          <w:p w14:paraId="0C6585C0">
            <w:pPr>
              <w:adjustRightInd w:val="0"/>
              <w:snapToGrid w:val="0"/>
              <w:spacing w:line="240" w:lineRule="auto"/>
              <w:ind w:firstLine="0" w:firstLineChars="0"/>
              <w:jc w:val="center"/>
              <w:rPr>
                <w:sz w:val="21"/>
                <w:szCs w:val="21"/>
              </w:rPr>
            </w:pPr>
            <w:r>
              <w:rPr>
                <w:rFonts w:hint="eastAsia"/>
                <w:sz w:val="21"/>
                <w:szCs w:val="21"/>
              </w:rPr>
              <w:t>污染物项目</w:t>
            </w:r>
          </w:p>
        </w:tc>
        <w:tc>
          <w:tcPr>
            <w:tcW w:w="2488" w:type="dxa"/>
            <w:vAlign w:val="center"/>
          </w:tcPr>
          <w:p w14:paraId="6DE2A737">
            <w:pPr>
              <w:adjustRightInd w:val="0"/>
              <w:snapToGrid w:val="0"/>
              <w:spacing w:line="240" w:lineRule="auto"/>
              <w:ind w:firstLine="0" w:firstLineChars="0"/>
              <w:jc w:val="center"/>
              <w:rPr>
                <w:sz w:val="21"/>
                <w:szCs w:val="21"/>
              </w:rPr>
            </w:pPr>
            <w:r>
              <w:rPr>
                <w:rFonts w:hint="eastAsia"/>
                <w:sz w:val="21"/>
                <w:szCs w:val="21"/>
              </w:rPr>
              <w:t>环境保护措施</w:t>
            </w:r>
          </w:p>
        </w:tc>
        <w:tc>
          <w:tcPr>
            <w:tcW w:w="2601" w:type="dxa"/>
            <w:vAlign w:val="center"/>
          </w:tcPr>
          <w:p w14:paraId="77028BD5">
            <w:pPr>
              <w:adjustRightInd w:val="0"/>
              <w:snapToGrid w:val="0"/>
              <w:spacing w:line="240" w:lineRule="auto"/>
              <w:ind w:firstLine="0" w:firstLineChars="0"/>
              <w:jc w:val="center"/>
              <w:rPr>
                <w:sz w:val="21"/>
                <w:szCs w:val="21"/>
              </w:rPr>
            </w:pPr>
            <w:r>
              <w:rPr>
                <w:rFonts w:hint="eastAsia"/>
                <w:sz w:val="21"/>
                <w:szCs w:val="21"/>
              </w:rPr>
              <w:t>执行标准</w:t>
            </w:r>
          </w:p>
        </w:tc>
      </w:tr>
      <w:tr w14:paraId="42806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vMerge w:val="restart"/>
            <w:vAlign w:val="center"/>
          </w:tcPr>
          <w:p w14:paraId="0A94B47E">
            <w:pPr>
              <w:spacing w:line="240" w:lineRule="auto"/>
              <w:ind w:firstLine="0" w:firstLineChars="0"/>
              <w:jc w:val="center"/>
              <w:rPr>
                <w:sz w:val="21"/>
                <w:szCs w:val="21"/>
              </w:rPr>
            </w:pPr>
            <w:r>
              <w:rPr>
                <w:rFonts w:hint="eastAsia"/>
                <w:sz w:val="21"/>
                <w:szCs w:val="21"/>
              </w:rPr>
              <w:t>大气环境</w:t>
            </w:r>
          </w:p>
        </w:tc>
        <w:tc>
          <w:tcPr>
            <w:tcW w:w="1299" w:type="dxa"/>
            <w:vAlign w:val="center"/>
          </w:tcPr>
          <w:p w14:paraId="11E5E9BC">
            <w:pPr>
              <w:adjustRightInd w:val="0"/>
              <w:snapToGrid w:val="0"/>
              <w:spacing w:line="240" w:lineRule="auto"/>
              <w:ind w:firstLine="0" w:firstLineChars="0"/>
              <w:jc w:val="center"/>
              <w:rPr>
                <w:sz w:val="21"/>
                <w:szCs w:val="21"/>
              </w:rPr>
            </w:pPr>
            <w:r>
              <w:rPr>
                <w:rFonts w:hint="eastAsia"/>
                <w:sz w:val="21"/>
                <w:szCs w:val="21"/>
              </w:rPr>
              <w:t>DA001（烘干烟粉尘，筛分、提升、计量粉尘）</w:t>
            </w:r>
          </w:p>
        </w:tc>
        <w:tc>
          <w:tcPr>
            <w:tcW w:w="1375" w:type="dxa"/>
            <w:vAlign w:val="center"/>
          </w:tcPr>
          <w:p w14:paraId="60A11F8B">
            <w:pPr>
              <w:adjustRightInd w:val="0"/>
              <w:snapToGrid w:val="0"/>
              <w:spacing w:line="240" w:lineRule="auto"/>
              <w:ind w:firstLine="0" w:firstLineChars="0"/>
              <w:jc w:val="center"/>
              <w:rPr>
                <w:sz w:val="21"/>
                <w:szCs w:val="21"/>
              </w:rPr>
            </w:pPr>
            <w:r>
              <w:rPr>
                <w:rFonts w:hint="eastAsia"/>
                <w:sz w:val="21"/>
                <w:szCs w:val="21"/>
              </w:rPr>
              <w:t>颗粒物、SO</w:t>
            </w:r>
            <w:r>
              <w:rPr>
                <w:rFonts w:hint="eastAsia"/>
                <w:sz w:val="21"/>
                <w:szCs w:val="21"/>
                <w:vertAlign w:val="subscript"/>
              </w:rPr>
              <w:t>2</w:t>
            </w:r>
            <w:r>
              <w:rPr>
                <w:rFonts w:hint="eastAsia"/>
                <w:sz w:val="21"/>
                <w:szCs w:val="21"/>
              </w:rPr>
              <w:t>、NOx</w:t>
            </w:r>
          </w:p>
        </w:tc>
        <w:tc>
          <w:tcPr>
            <w:tcW w:w="2488" w:type="dxa"/>
            <w:vAlign w:val="center"/>
          </w:tcPr>
          <w:p w14:paraId="177BF3EF">
            <w:pPr>
              <w:adjustRightInd w:val="0"/>
              <w:snapToGrid w:val="0"/>
              <w:spacing w:line="240" w:lineRule="auto"/>
              <w:ind w:firstLine="0" w:firstLineChars="0"/>
              <w:jc w:val="center"/>
              <w:rPr>
                <w:sz w:val="21"/>
                <w:szCs w:val="21"/>
              </w:rPr>
            </w:pPr>
            <w:r>
              <w:rPr>
                <w:rFonts w:hint="eastAsia"/>
                <w:kern w:val="0"/>
                <w:sz w:val="21"/>
                <w:szCs w:val="21"/>
              </w:rPr>
              <w:t>密闭管道</w:t>
            </w:r>
            <w:r>
              <w:rPr>
                <w:kern w:val="0"/>
                <w:sz w:val="21"/>
                <w:szCs w:val="21"/>
              </w:rPr>
              <w:t>收集后进入</w:t>
            </w:r>
            <w:r>
              <w:rPr>
                <w:rStyle w:val="73"/>
                <w:rFonts w:hint="default" w:ascii="Times New Roman" w:hAnsi="Times New Roman" w:cs="Times New Roman"/>
                <w:color w:val="auto"/>
              </w:rPr>
              <w:t>布袋除尘器处理</w:t>
            </w:r>
            <w:r>
              <w:rPr>
                <w:rStyle w:val="73"/>
                <w:rFonts w:hint="default" w:cs="Times New Roman"/>
                <w:color w:val="auto"/>
              </w:rPr>
              <w:t>，</w:t>
            </w:r>
            <w:r>
              <w:rPr>
                <w:rFonts w:hint="eastAsia"/>
                <w:sz w:val="21"/>
                <w:szCs w:val="21"/>
              </w:rPr>
              <w:t>后通过1根15m高排气筒排放。</w:t>
            </w:r>
          </w:p>
        </w:tc>
        <w:tc>
          <w:tcPr>
            <w:tcW w:w="2601" w:type="dxa"/>
            <w:vAlign w:val="center"/>
          </w:tcPr>
          <w:p w14:paraId="644F2F77">
            <w:pPr>
              <w:adjustRightInd w:val="0"/>
              <w:snapToGrid w:val="0"/>
              <w:spacing w:line="240" w:lineRule="auto"/>
              <w:ind w:firstLine="0" w:firstLineChars="0"/>
              <w:jc w:val="center"/>
              <w:rPr>
                <w:sz w:val="21"/>
                <w:szCs w:val="21"/>
              </w:rPr>
            </w:pPr>
            <w:r>
              <w:rPr>
                <w:rFonts w:hint="eastAsia"/>
                <w:sz w:val="21"/>
                <w:szCs w:val="21"/>
              </w:rPr>
              <w:t>颗粒物和</w:t>
            </w:r>
            <w:r>
              <w:rPr>
                <w:sz w:val="21"/>
                <w:szCs w:val="21"/>
              </w:rPr>
              <w:t>氮氧化物</w:t>
            </w:r>
            <w:r>
              <w:rPr>
                <w:rFonts w:hint="eastAsia"/>
                <w:sz w:val="21"/>
                <w:szCs w:val="21"/>
              </w:rPr>
              <w:t>执行</w:t>
            </w:r>
            <w:r>
              <w:rPr>
                <w:sz w:val="21"/>
                <w:szCs w:val="21"/>
              </w:rPr>
              <w:t>《大气污染物综合排放标准》（GB16297-1996）表2中二级标准</w:t>
            </w:r>
            <w:r>
              <w:rPr>
                <w:rFonts w:hint="eastAsia"/>
                <w:sz w:val="21"/>
                <w:szCs w:val="21"/>
              </w:rPr>
              <w:t>，SO</w:t>
            </w:r>
            <w:r>
              <w:rPr>
                <w:rFonts w:hint="eastAsia"/>
                <w:sz w:val="21"/>
                <w:szCs w:val="21"/>
                <w:vertAlign w:val="subscript"/>
              </w:rPr>
              <w:t>2</w:t>
            </w:r>
            <w:r>
              <w:rPr>
                <w:rFonts w:hint="eastAsia"/>
                <w:sz w:val="21"/>
                <w:szCs w:val="21"/>
              </w:rPr>
              <w:t>执行</w:t>
            </w:r>
            <w:r>
              <w:rPr>
                <w:sz w:val="21"/>
                <w:szCs w:val="21"/>
              </w:rPr>
              <w:t>《工业炉窑大气污染物排放标准》（GB9078-1996）</w:t>
            </w:r>
          </w:p>
        </w:tc>
      </w:tr>
      <w:tr w14:paraId="5384E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vMerge w:val="continue"/>
            <w:vAlign w:val="center"/>
          </w:tcPr>
          <w:p w14:paraId="0DBF4F3E">
            <w:pPr>
              <w:spacing w:line="240" w:lineRule="auto"/>
              <w:ind w:firstLine="0" w:firstLineChars="0"/>
              <w:jc w:val="center"/>
              <w:rPr>
                <w:sz w:val="21"/>
                <w:szCs w:val="21"/>
              </w:rPr>
            </w:pPr>
          </w:p>
        </w:tc>
        <w:tc>
          <w:tcPr>
            <w:tcW w:w="1299" w:type="dxa"/>
            <w:vAlign w:val="center"/>
          </w:tcPr>
          <w:p w14:paraId="69B1732C">
            <w:pPr>
              <w:adjustRightInd w:val="0"/>
              <w:snapToGrid w:val="0"/>
              <w:spacing w:line="240" w:lineRule="auto"/>
              <w:ind w:firstLine="0" w:firstLineChars="0"/>
              <w:jc w:val="center"/>
              <w:rPr>
                <w:sz w:val="21"/>
                <w:szCs w:val="21"/>
              </w:rPr>
            </w:pPr>
            <w:r>
              <w:rPr>
                <w:rFonts w:hint="eastAsia"/>
                <w:sz w:val="21"/>
                <w:szCs w:val="21"/>
              </w:rPr>
              <w:t>DA002（有机热载体炉导热油排气筒）</w:t>
            </w:r>
          </w:p>
        </w:tc>
        <w:tc>
          <w:tcPr>
            <w:tcW w:w="1375" w:type="dxa"/>
            <w:vAlign w:val="center"/>
          </w:tcPr>
          <w:p w14:paraId="63C2B9F8">
            <w:pPr>
              <w:adjustRightInd w:val="0"/>
              <w:snapToGrid w:val="0"/>
              <w:spacing w:line="240" w:lineRule="auto"/>
              <w:ind w:firstLine="0" w:firstLineChars="0"/>
              <w:jc w:val="center"/>
              <w:rPr>
                <w:sz w:val="21"/>
                <w:szCs w:val="21"/>
              </w:rPr>
            </w:pPr>
            <w:r>
              <w:rPr>
                <w:rFonts w:hint="eastAsia"/>
                <w:sz w:val="21"/>
                <w:szCs w:val="21"/>
              </w:rPr>
              <w:t>颗粒物、SO</w:t>
            </w:r>
            <w:r>
              <w:rPr>
                <w:rFonts w:hint="eastAsia"/>
                <w:sz w:val="21"/>
                <w:szCs w:val="21"/>
                <w:vertAlign w:val="subscript"/>
              </w:rPr>
              <w:t>2</w:t>
            </w:r>
            <w:r>
              <w:rPr>
                <w:rFonts w:hint="eastAsia"/>
                <w:sz w:val="21"/>
                <w:szCs w:val="21"/>
              </w:rPr>
              <w:t>、NOx、林格曼黑度</w:t>
            </w:r>
          </w:p>
        </w:tc>
        <w:tc>
          <w:tcPr>
            <w:tcW w:w="2488" w:type="dxa"/>
            <w:vAlign w:val="center"/>
          </w:tcPr>
          <w:p w14:paraId="6C6C54A8">
            <w:pPr>
              <w:adjustRightInd w:val="0"/>
              <w:snapToGrid w:val="0"/>
              <w:spacing w:line="240" w:lineRule="auto"/>
              <w:ind w:firstLine="0" w:firstLineChars="0"/>
              <w:jc w:val="center"/>
              <w:rPr>
                <w:sz w:val="21"/>
                <w:szCs w:val="21"/>
              </w:rPr>
            </w:pPr>
            <w:r>
              <w:rPr>
                <w:rFonts w:hint="eastAsia"/>
                <w:sz w:val="21"/>
                <w:szCs w:val="21"/>
              </w:rPr>
              <w:t>设置1根</w:t>
            </w:r>
            <w:r>
              <w:rPr>
                <w:rFonts w:hint="eastAsia"/>
                <w:color w:val="000000" w:themeColor="text1"/>
                <w:sz w:val="21"/>
                <w:szCs w:val="21"/>
                <w14:textFill>
                  <w14:solidFill>
                    <w14:schemeClr w14:val="tx1"/>
                  </w14:solidFill>
                </w14:textFill>
              </w:rPr>
              <w:t>15m高的</w:t>
            </w:r>
            <w:r>
              <w:rPr>
                <w:rFonts w:hint="eastAsia"/>
                <w:sz w:val="21"/>
                <w:szCs w:val="21"/>
              </w:rPr>
              <w:t>排气筒排放。</w:t>
            </w:r>
          </w:p>
        </w:tc>
        <w:tc>
          <w:tcPr>
            <w:tcW w:w="2601" w:type="dxa"/>
            <w:vAlign w:val="center"/>
          </w:tcPr>
          <w:p w14:paraId="05F75A8F">
            <w:pPr>
              <w:adjustRightInd w:val="0"/>
              <w:snapToGrid w:val="0"/>
              <w:spacing w:line="240" w:lineRule="auto"/>
              <w:ind w:firstLine="0" w:firstLineChars="0"/>
              <w:jc w:val="center"/>
              <w:rPr>
                <w:sz w:val="21"/>
                <w:szCs w:val="21"/>
              </w:rPr>
            </w:pPr>
            <w:r>
              <w:rPr>
                <w:rFonts w:hint="eastAsia"/>
                <w:sz w:val="21"/>
                <w:szCs w:val="21"/>
              </w:rPr>
              <w:t>《锅炉大气污染物排放标准》（GB13271-2014）中表2大气污染物</w:t>
            </w:r>
          </w:p>
          <w:p w14:paraId="5F4DC226">
            <w:pPr>
              <w:adjustRightInd w:val="0"/>
              <w:snapToGrid w:val="0"/>
              <w:spacing w:line="240" w:lineRule="auto"/>
              <w:ind w:firstLine="0" w:firstLineChars="0"/>
              <w:jc w:val="center"/>
              <w:rPr>
                <w:sz w:val="21"/>
                <w:szCs w:val="21"/>
              </w:rPr>
            </w:pPr>
            <w:r>
              <w:rPr>
                <w:rFonts w:hint="eastAsia"/>
                <w:sz w:val="21"/>
                <w:szCs w:val="21"/>
              </w:rPr>
              <w:t>排放限值中的燃油锅炉浓度限值</w:t>
            </w:r>
          </w:p>
        </w:tc>
      </w:tr>
      <w:tr w14:paraId="7B0D9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vMerge w:val="continue"/>
            <w:vAlign w:val="center"/>
          </w:tcPr>
          <w:p w14:paraId="3AF87759">
            <w:pPr>
              <w:spacing w:line="240" w:lineRule="auto"/>
              <w:ind w:firstLine="0" w:firstLineChars="0"/>
              <w:jc w:val="center"/>
              <w:rPr>
                <w:sz w:val="21"/>
                <w:szCs w:val="21"/>
              </w:rPr>
            </w:pPr>
          </w:p>
        </w:tc>
        <w:tc>
          <w:tcPr>
            <w:tcW w:w="1299" w:type="dxa"/>
            <w:vAlign w:val="center"/>
          </w:tcPr>
          <w:p w14:paraId="668ACAF1">
            <w:pPr>
              <w:autoSpaceDE w:val="0"/>
              <w:autoSpaceDN w:val="0"/>
              <w:spacing w:line="240" w:lineRule="auto"/>
              <w:ind w:firstLine="0" w:firstLineChars="0"/>
              <w:jc w:val="center"/>
              <w:rPr>
                <w:sz w:val="21"/>
                <w:szCs w:val="21"/>
              </w:rPr>
            </w:pPr>
            <w:r>
              <w:rPr>
                <w:sz w:val="21"/>
                <w:szCs w:val="21"/>
              </w:rPr>
              <w:t>DA00</w:t>
            </w:r>
            <w:r>
              <w:rPr>
                <w:rFonts w:hint="eastAsia"/>
                <w:sz w:val="21"/>
                <w:szCs w:val="21"/>
              </w:rPr>
              <w:t>3沥青储罐、出料口</w:t>
            </w:r>
          </w:p>
        </w:tc>
        <w:tc>
          <w:tcPr>
            <w:tcW w:w="1375" w:type="dxa"/>
            <w:vAlign w:val="center"/>
          </w:tcPr>
          <w:p w14:paraId="7B402A37">
            <w:pPr>
              <w:autoSpaceDE w:val="0"/>
              <w:autoSpaceDN w:val="0"/>
              <w:spacing w:line="240" w:lineRule="auto"/>
              <w:ind w:firstLine="0" w:firstLineChars="0"/>
              <w:jc w:val="center"/>
              <w:rPr>
                <w:sz w:val="21"/>
                <w:szCs w:val="21"/>
              </w:rPr>
            </w:pPr>
            <w:r>
              <w:rPr>
                <w:sz w:val="21"/>
                <w:szCs w:val="21"/>
              </w:rPr>
              <w:t>沥青烟、苯并[a]芘</w:t>
            </w:r>
            <w:r>
              <w:rPr>
                <w:rFonts w:hint="eastAsia"/>
                <w:sz w:val="21"/>
                <w:szCs w:val="21"/>
              </w:rPr>
              <w:t>、</w:t>
            </w:r>
            <w:r>
              <w:rPr>
                <w:sz w:val="21"/>
                <w:szCs w:val="21"/>
              </w:rPr>
              <w:t>非甲烷总烃</w:t>
            </w:r>
          </w:p>
        </w:tc>
        <w:tc>
          <w:tcPr>
            <w:tcW w:w="2488" w:type="dxa"/>
            <w:vAlign w:val="center"/>
          </w:tcPr>
          <w:p w14:paraId="09C28E64">
            <w:pPr>
              <w:autoSpaceDE w:val="0"/>
              <w:autoSpaceDN w:val="0"/>
              <w:spacing w:line="240" w:lineRule="auto"/>
              <w:ind w:firstLine="0" w:firstLineChars="0"/>
              <w:jc w:val="center"/>
              <w:rPr>
                <w:sz w:val="21"/>
                <w:szCs w:val="21"/>
              </w:rPr>
            </w:pPr>
            <w:r>
              <w:rPr>
                <w:rFonts w:hint="eastAsia"/>
                <w:sz w:val="21"/>
                <w:szCs w:val="21"/>
              </w:rPr>
              <w:t>沥青储罐废气由管道收集、出料口废气由集气罩收集，一同引至“电捕焦油器+三级活性炭吸附装置”处理，后经15m高排气筒排放</w:t>
            </w:r>
          </w:p>
        </w:tc>
        <w:tc>
          <w:tcPr>
            <w:tcW w:w="2601" w:type="dxa"/>
            <w:vAlign w:val="center"/>
          </w:tcPr>
          <w:p w14:paraId="6F35C2AE">
            <w:pPr>
              <w:autoSpaceDE w:val="0"/>
              <w:autoSpaceDN w:val="0"/>
              <w:spacing w:line="240" w:lineRule="auto"/>
              <w:ind w:firstLine="0" w:firstLineChars="0"/>
              <w:jc w:val="center"/>
              <w:rPr>
                <w:sz w:val="21"/>
                <w:szCs w:val="21"/>
              </w:rPr>
            </w:pPr>
            <w:r>
              <w:rPr>
                <w:sz w:val="21"/>
                <w:szCs w:val="21"/>
              </w:rPr>
              <w:t>《大气污染物综合排放标准》（GB16297-1996）表2中二级标准</w:t>
            </w:r>
          </w:p>
        </w:tc>
      </w:tr>
      <w:tr w14:paraId="338B5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vMerge w:val="continue"/>
            <w:vAlign w:val="center"/>
          </w:tcPr>
          <w:p w14:paraId="71C13944">
            <w:pPr>
              <w:spacing w:line="240" w:lineRule="auto"/>
              <w:ind w:firstLine="0" w:firstLineChars="0"/>
              <w:jc w:val="center"/>
              <w:rPr>
                <w:sz w:val="21"/>
                <w:szCs w:val="21"/>
              </w:rPr>
            </w:pPr>
          </w:p>
        </w:tc>
        <w:tc>
          <w:tcPr>
            <w:tcW w:w="1299" w:type="dxa"/>
            <w:vAlign w:val="center"/>
          </w:tcPr>
          <w:p w14:paraId="5C5DDA81">
            <w:pPr>
              <w:autoSpaceDE w:val="0"/>
              <w:autoSpaceDN w:val="0"/>
              <w:spacing w:line="240" w:lineRule="auto"/>
              <w:ind w:firstLine="0" w:firstLineChars="0"/>
              <w:jc w:val="center"/>
              <w:rPr>
                <w:sz w:val="21"/>
                <w:szCs w:val="21"/>
              </w:rPr>
            </w:pPr>
            <w:r>
              <w:rPr>
                <w:sz w:val="21"/>
                <w:szCs w:val="21"/>
              </w:rPr>
              <w:t>沥</w:t>
            </w:r>
            <w:r>
              <w:rPr>
                <w:rFonts w:hint="eastAsia"/>
                <w:sz w:val="21"/>
              </w:rPr>
              <w:t>砂石料卸料、装载机上料</w:t>
            </w:r>
          </w:p>
        </w:tc>
        <w:tc>
          <w:tcPr>
            <w:tcW w:w="1375" w:type="dxa"/>
            <w:vAlign w:val="center"/>
          </w:tcPr>
          <w:p w14:paraId="379FACCD">
            <w:pPr>
              <w:autoSpaceDE w:val="0"/>
              <w:autoSpaceDN w:val="0"/>
              <w:spacing w:line="240" w:lineRule="auto"/>
              <w:ind w:firstLine="0" w:firstLineChars="0"/>
              <w:jc w:val="center"/>
              <w:rPr>
                <w:sz w:val="21"/>
                <w:szCs w:val="21"/>
              </w:rPr>
            </w:pPr>
            <w:r>
              <w:rPr>
                <w:rFonts w:hint="eastAsia"/>
                <w:sz w:val="21"/>
                <w:szCs w:val="21"/>
              </w:rPr>
              <w:t>粉尘</w:t>
            </w:r>
          </w:p>
        </w:tc>
        <w:tc>
          <w:tcPr>
            <w:tcW w:w="2488" w:type="dxa"/>
            <w:vAlign w:val="center"/>
          </w:tcPr>
          <w:p w14:paraId="10D11D77">
            <w:pPr>
              <w:autoSpaceDE w:val="0"/>
              <w:autoSpaceDN w:val="0"/>
              <w:spacing w:line="240" w:lineRule="auto"/>
              <w:ind w:firstLine="0" w:firstLineChars="0"/>
              <w:jc w:val="center"/>
              <w:rPr>
                <w:sz w:val="21"/>
                <w:szCs w:val="21"/>
              </w:rPr>
            </w:pPr>
            <w:r>
              <w:rPr>
                <w:rFonts w:hint="eastAsia" w:eastAsia="Times New Roman"/>
                <w:sz w:val="21"/>
                <w:szCs w:val="21"/>
              </w:rPr>
              <w:t>原料仓三面封闭并设置顶棚，仓内设有水喷淋装置，在卸料、物料转移和上料过程进行喷淋降尘，保持物料表面薇湿</w:t>
            </w:r>
          </w:p>
        </w:tc>
        <w:tc>
          <w:tcPr>
            <w:tcW w:w="2601" w:type="dxa"/>
            <w:vMerge w:val="restart"/>
            <w:vAlign w:val="center"/>
          </w:tcPr>
          <w:p w14:paraId="063C353A">
            <w:pPr>
              <w:adjustRightInd w:val="0"/>
              <w:snapToGrid w:val="0"/>
              <w:spacing w:line="240" w:lineRule="auto"/>
              <w:ind w:firstLine="0" w:firstLineChars="0"/>
              <w:jc w:val="center"/>
              <w:rPr>
                <w:sz w:val="21"/>
                <w:szCs w:val="21"/>
              </w:rPr>
            </w:pPr>
            <w:r>
              <w:rPr>
                <w:rFonts w:hint="eastAsia"/>
                <w:sz w:val="21"/>
                <w:szCs w:val="21"/>
              </w:rPr>
              <w:t>执行《大气污染物综合排放标准》（GB16297-1996）表2中厂界无组织排放</w:t>
            </w:r>
          </w:p>
          <w:p w14:paraId="26EC3841">
            <w:pPr>
              <w:adjustRightInd w:val="0"/>
              <w:snapToGrid w:val="0"/>
              <w:spacing w:line="240" w:lineRule="auto"/>
              <w:ind w:firstLine="0" w:firstLineChars="0"/>
              <w:jc w:val="center"/>
              <w:rPr>
                <w:sz w:val="21"/>
                <w:szCs w:val="21"/>
              </w:rPr>
            </w:pPr>
            <w:r>
              <w:rPr>
                <w:rFonts w:hint="eastAsia"/>
                <w:sz w:val="21"/>
                <w:szCs w:val="21"/>
              </w:rPr>
              <w:t>监控限值、非甲烷总烃同时满足《挥发性有机物无组织排放控制标准》（GB37822-2019）中无组织排放控制要求</w:t>
            </w:r>
          </w:p>
        </w:tc>
      </w:tr>
      <w:tr w14:paraId="40AE0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vMerge w:val="continue"/>
            <w:vAlign w:val="center"/>
          </w:tcPr>
          <w:p w14:paraId="4D4EA32D">
            <w:pPr>
              <w:spacing w:line="240" w:lineRule="auto"/>
              <w:ind w:firstLine="0" w:firstLineChars="0"/>
              <w:jc w:val="center"/>
              <w:rPr>
                <w:sz w:val="21"/>
                <w:szCs w:val="21"/>
              </w:rPr>
            </w:pPr>
          </w:p>
        </w:tc>
        <w:tc>
          <w:tcPr>
            <w:tcW w:w="1299" w:type="dxa"/>
            <w:vAlign w:val="center"/>
          </w:tcPr>
          <w:p w14:paraId="1FC3E6B1">
            <w:pPr>
              <w:autoSpaceDE w:val="0"/>
              <w:autoSpaceDN w:val="0"/>
              <w:spacing w:line="240" w:lineRule="auto"/>
              <w:ind w:firstLine="0" w:firstLineChars="0"/>
              <w:jc w:val="center"/>
              <w:rPr>
                <w:sz w:val="21"/>
                <w:szCs w:val="21"/>
              </w:rPr>
            </w:pPr>
            <w:r>
              <w:rPr>
                <w:rFonts w:hint="eastAsia"/>
                <w:sz w:val="21"/>
                <w:szCs w:val="21"/>
              </w:rPr>
              <w:t>矿粉筒仓</w:t>
            </w:r>
          </w:p>
        </w:tc>
        <w:tc>
          <w:tcPr>
            <w:tcW w:w="1375" w:type="dxa"/>
            <w:vAlign w:val="center"/>
          </w:tcPr>
          <w:p w14:paraId="7915FD9F">
            <w:pPr>
              <w:autoSpaceDE w:val="0"/>
              <w:autoSpaceDN w:val="0"/>
              <w:spacing w:line="240" w:lineRule="auto"/>
              <w:ind w:firstLine="0" w:firstLineChars="0"/>
              <w:jc w:val="center"/>
              <w:rPr>
                <w:sz w:val="21"/>
                <w:szCs w:val="21"/>
              </w:rPr>
            </w:pPr>
            <w:r>
              <w:rPr>
                <w:rFonts w:hint="eastAsia"/>
                <w:sz w:val="21"/>
                <w:szCs w:val="21"/>
              </w:rPr>
              <w:t>粉尘</w:t>
            </w:r>
          </w:p>
        </w:tc>
        <w:tc>
          <w:tcPr>
            <w:tcW w:w="2488" w:type="dxa"/>
            <w:vAlign w:val="center"/>
          </w:tcPr>
          <w:p w14:paraId="6C23ABA1">
            <w:pPr>
              <w:autoSpaceDE w:val="0"/>
              <w:autoSpaceDN w:val="0"/>
              <w:spacing w:line="240" w:lineRule="auto"/>
              <w:ind w:firstLine="0" w:firstLineChars="0"/>
              <w:jc w:val="center"/>
              <w:rPr>
                <w:sz w:val="21"/>
                <w:szCs w:val="21"/>
              </w:rPr>
            </w:pPr>
            <w:r>
              <w:rPr>
                <w:rFonts w:hint="eastAsia"/>
                <w:bCs/>
                <w:sz w:val="21"/>
                <w:szCs w:val="21"/>
              </w:rPr>
              <w:t>仓顶排气孔处设置1套脉冲布袋除尘器处理后无组织排放</w:t>
            </w:r>
          </w:p>
        </w:tc>
        <w:tc>
          <w:tcPr>
            <w:tcW w:w="2601" w:type="dxa"/>
            <w:vMerge w:val="continue"/>
            <w:vAlign w:val="center"/>
          </w:tcPr>
          <w:p w14:paraId="2C7E07B5">
            <w:pPr>
              <w:adjustRightInd w:val="0"/>
              <w:snapToGrid w:val="0"/>
              <w:spacing w:line="240" w:lineRule="auto"/>
              <w:ind w:firstLine="0" w:firstLineChars="0"/>
              <w:jc w:val="center"/>
              <w:rPr>
                <w:sz w:val="21"/>
                <w:szCs w:val="21"/>
              </w:rPr>
            </w:pPr>
          </w:p>
        </w:tc>
      </w:tr>
      <w:tr w14:paraId="52D06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vMerge w:val="continue"/>
            <w:vAlign w:val="center"/>
          </w:tcPr>
          <w:p w14:paraId="3A3D9F7B">
            <w:pPr>
              <w:spacing w:line="240" w:lineRule="auto"/>
              <w:ind w:firstLine="0" w:firstLineChars="0"/>
              <w:jc w:val="center"/>
              <w:rPr>
                <w:sz w:val="21"/>
                <w:szCs w:val="21"/>
              </w:rPr>
            </w:pPr>
          </w:p>
        </w:tc>
        <w:tc>
          <w:tcPr>
            <w:tcW w:w="1299" w:type="dxa"/>
            <w:vAlign w:val="center"/>
          </w:tcPr>
          <w:p w14:paraId="0989C7A3">
            <w:pPr>
              <w:autoSpaceDE w:val="0"/>
              <w:autoSpaceDN w:val="0"/>
              <w:spacing w:line="240" w:lineRule="auto"/>
              <w:ind w:firstLine="0" w:firstLineChars="0"/>
              <w:jc w:val="center"/>
              <w:rPr>
                <w:sz w:val="21"/>
                <w:szCs w:val="21"/>
              </w:rPr>
            </w:pPr>
            <w:r>
              <w:rPr>
                <w:rFonts w:hint="eastAsia"/>
                <w:sz w:val="21"/>
                <w:szCs w:val="21"/>
              </w:rPr>
              <w:t>厂内运输</w:t>
            </w:r>
          </w:p>
        </w:tc>
        <w:tc>
          <w:tcPr>
            <w:tcW w:w="1375" w:type="dxa"/>
            <w:vAlign w:val="center"/>
          </w:tcPr>
          <w:p w14:paraId="135C20A0">
            <w:pPr>
              <w:autoSpaceDE w:val="0"/>
              <w:autoSpaceDN w:val="0"/>
              <w:spacing w:line="240" w:lineRule="auto"/>
              <w:ind w:firstLine="0" w:firstLineChars="0"/>
              <w:jc w:val="center"/>
              <w:rPr>
                <w:sz w:val="21"/>
                <w:szCs w:val="21"/>
              </w:rPr>
            </w:pPr>
            <w:r>
              <w:rPr>
                <w:rFonts w:hint="eastAsia"/>
                <w:sz w:val="21"/>
                <w:szCs w:val="21"/>
              </w:rPr>
              <w:t>粉尘</w:t>
            </w:r>
          </w:p>
        </w:tc>
        <w:tc>
          <w:tcPr>
            <w:tcW w:w="2488" w:type="dxa"/>
            <w:vAlign w:val="center"/>
          </w:tcPr>
          <w:p w14:paraId="4C12DBCB">
            <w:pPr>
              <w:autoSpaceDE w:val="0"/>
              <w:autoSpaceDN w:val="0"/>
              <w:spacing w:line="240" w:lineRule="auto"/>
              <w:ind w:firstLine="0" w:firstLineChars="0"/>
              <w:jc w:val="center"/>
              <w:rPr>
                <w:sz w:val="21"/>
                <w:szCs w:val="21"/>
              </w:rPr>
            </w:pPr>
            <w:r>
              <w:rPr>
                <w:rFonts w:hint="eastAsia"/>
                <w:bCs/>
                <w:sz w:val="21"/>
                <w:szCs w:val="21"/>
              </w:rPr>
              <w:t>厂区进行水泥道路地面硬化，每天2次定期清扫路面及洒水降尘</w:t>
            </w:r>
          </w:p>
        </w:tc>
        <w:tc>
          <w:tcPr>
            <w:tcW w:w="2601" w:type="dxa"/>
            <w:vMerge w:val="continue"/>
            <w:vAlign w:val="center"/>
          </w:tcPr>
          <w:p w14:paraId="15702F37">
            <w:pPr>
              <w:adjustRightInd w:val="0"/>
              <w:snapToGrid w:val="0"/>
              <w:spacing w:line="240" w:lineRule="auto"/>
              <w:ind w:firstLine="0" w:firstLineChars="0"/>
              <w:jc w:val="center"/>
              <w:rPr>
                <w:sz w:val="21"/>
                <w:szCs w:val="21"/>
              </w:rPr>
            </w:pPr>
          </w:p>
        </w:tc>
      </w:tr>
      <w:tr w14:paraId="017B5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vMerge w:val="restart"/>
            <w:vAlign w:val="center"/>
          </w:tcPr>
          <w:p w14:paraId="30558FDE">
            <w:pPr>
              <w:spacing w:line="240" w:lineRule="auto"/>
              <w:ind w:firstLine="0" w:firstLineChars="0"/>
              <w:jc w:val="center"/>
              <w:rPr>
                <w:sz w:val="21"/>
                <w:szCs w:val="21"/>
              </w:rPr>
            </w:pPr>
            <w:r>
              <w:rPr>
                <w:rFonts w:hint="eastAsia"/>
                <w:sz w:val="21"/>
                <w:szCs w:val="21"/>
              </w:rPr>
              <w:t>地表水环境</w:t>
            </w:r>
          </w:p>
        </w:tc>
        <w:tc>
          <w:tcPr>
            <w:tcW w:w="1299" w:type="dxa"/>
            <w:vAlign w:val="center"/>
          </w:tcPr>
          <w:p w14:paraId="76A077B8">
            <w:pPr>
              <w:adjustRightInd w:val="0"/>
              <w:snapToGrid w:val="0"/>
              <w:spacing w:line="240" w:lineRule="auto"/>
              <w:ind w:firstLine="0" w:firstLineChars="0"/>
              <w:jc w:val="center"/>
              <w:rPr>
                <w:sz w:val="21"/>
                <w:szCs w:val="21"/>
              </w:rPr>
            </w:pPr>
            <w:r>
              <w:rPr>
                <w:rFonts w:hint="eastAsia"/>
                <w:sz w:val="21"/>
                <w:szCs w:val="21"/>
              </w:rPr>
              <w:t>生活污水</w:t>
            </w:r>
          </w:p>
        </w:tc>
        <w:tc>
          <w:tcPr>
            <w:tcW w:w="1375" w:type="dxa"/>
            <w:vAlign w:val="center"/>
          </w:tcPr>
          <w:p w14:paraId="15834C97">
            <w:pPr>
              <w:adjustRightInd w:val="0"/>
              <w:snapToGrid w:val="0"/>
              <w:spacing w:line="240" w:lineRule="auto"/>
              <w:ind w:firstLine="0" w:firstLineChars="0"/>
              <w:jc w:val="center"/>
              <w:rPr>
                <w:sz w:val="21"/>
                <w:szCs w:val="21"/>
              </w:rPr>
            </w:pPr>
            <w:r>
              <w:rPr>
                <w:rFonts w:hint="eastAsia"/>
                <w:sz w:val="21"/>
                <w:szCs w:val="21"/>
              </w:rPr>
              <w:t>pH、COD</w:t>
            </w:r>
            <w:r>
              <w:rPr>
                <w:rFonts w:hint="eastAsia"/>
                <w:sz w:val="21"/>
                <w:szCs w:val="21"/>
                <w:vertAlign w:val="subscript"/>
              </w:rPr>
              <w:t>C</w:t>
            </w:r>
            <w:r>
              <w:rPr>
                <w:rFonts w:hint="eastAsia"/>
                <w:sz w:val="21"/>
                <w:szCs w:val="21"/>
              </w:rPr>
              <w:t>r、BOD</w:t>
            </w:r>
            <w:r>
              <w:rPr>
                <w:rFonts w:hint="eastAsia"/>
                <w:sz w:val="21"/>
                <w:szCs w:val="21"/>
                <w:vertAlign w:val="subscript"/>
              </w:rPr>
              <w:t>5</w:t>
            </w:r>
            <w:r>
              <w:rPr>
                <w:rFonts w:hint="eastAsia"/>
                <w:sz w:val="21"/>
                <w:szCs w:val="21"/>
              </w:rPr>
              <w:t>、SS、动植物油、氨氮、总磷</w:t>
            </w:r>
          </w:p>
        </w:tc>
        <w:tc>
          <w:tcPr>
            <w:tcW w:w="2488" w:type="dxa"/>
            <w:vAlign w:val="center"/>
          </w:tcPr>
          <w:p w14:paraId="584B1204">
            <w:pPr>
              <w:adjustRightInd w:val="0"/>
              <w:snapToGrid w:val="0"/>
              <w:spacing w:line="240" w:lineRule="auto"/>
              <w:ind w:firstLine="0" w:firstLineChars="0"/>
              <w:jc w:val="center"/>
              <w:rPr>
                <w:sz w:val="21"/>
                <w:szCs w:val="21"/>
              </w:rPr>
            </w:pPr>
            <w:r>
              <w:rPr>
                <w:rFonts w:hint="eastAsia"/>
                <w:sz w:val="21"/>
                <w:szCs w:val="21"/>
              </w:rPr>
              <w:t>食堂废水经油水分离器预处理后与其他生活污水一起进入化粪池、一体化污水处理设备处理后，回用绿化及降尘。</w:t>
            </w:r>
          </w:p>
        </w:tc>
        <w:tc>
          <w:tcPr>
            <w:tcW w:w="2601" w:type="dxa"/>
            <w:vAlign w:val="center"/>
          </w:tcPr>
          <w:p w14:paraId="3B840E3C">
            <w:pPr>
              <w:adjustRightInd w:val="0"/>
              <w:snapToGrid w:val="0"/>
              <w:spacing w:line="240" w:lineRule="auto"/>
              <w:ind w:firstLine="0" w:firstLineChars="0"/>
              <w:jc w:val="center"/>
              <w:rPr>
                <w:sz w:val="21"/>
                <w:szCs w:val="21"/>
              </w:rPr>
            </w:pPr>
            <w:r>
              <w:rPr>
                <w:rFonts w:hint="eastAsia"/>
                <w:sz w:val="21"/>
                <w:szCs w:val="21"/>
              </w:rPr>
              <w:t>不外排</w:t>
            </w:r>
          </w:p>
        </w:tc>
      </w:tr>
      <w:tr w14:paraId="1400D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vMerge w:val="continue"/>
            <w:vAlign w:val="center"/>
          </w:tcPr>
          <w:p w14:paraId="537770E0">
            <w:pPr>
              <w:spacing w:line="240" w:lineRule="auto"/>
              <w:ind w:firstLine="0" w:firstLineChars="0"/>
              <w:jc w:val="center"/>
              <w:rPr>
                <w:sz w:val="21"/>
                <w:szCs w:val="21"/>
              </w:rPr>
            </w:pPr>
          </w:p>
        </w:tc>
        <w:tc>
          <w:tcPr>
            <w:tcW w:w="1299" w:type="dxa"/>
            <w:vAlign w:val="center"/>
          </w:tcPr>
          <w:p w14:paraId="79644829">
            <w:pPr>
              <w:adjustRightInd w:val="0"/>
              <w:snapToGrid w:val="0"/>
              <w:spacing w:line="240" w:lineRule="auto"/>
              <w:ind w:firstLine="0" w:firstLineChars="0"/>
              <w:jc w:val="center"/>
              <w:rPr>
                <w:sz w:val="21"/>
                <w:szCs w:val="21"/>
              </w:rPr>
            </w:pPr>
            <w:r>
              <w:rPr>
                <w:rFonts w:hint="eastAsia"/>
                <w:sz w:val="21"/>
                <w:szCs w:val="21"/>
              </w:rPr>
              <w:t>运输车辆清洗废水</w:t>
            </w:r>
          </w:p>
        </w:tc>
        <w:tc>
          <w:tcPr>
            <w:tcW w:w="1375" w:type="dxa"/>
            <w:vAlign w:val="center"/>
          </w:tcPr>
          <w:p w14:paraId="68A42806">
            <w:pPr>
              <w:adjustRightInd w:val="0"/>
              <w:snapToGrid w:val="0"/>
              <w:spacing w:line="240" w:lineRule="auto"/>
              <w:ind w:firstLine="0" w:firstLineChars="0"/>
              <w:jc w:val="center"/>
              <w:rPr>
                <w:sz w:val="21"/>
                <w:szCs w:val="21"/>
              </w:rPr>
            </w:pPr>
            <w:r>
              <w:rPr>
                <w:rFonts w:hint="eastAsia"/>
                <w:sz w:val="21"/>
                <w:szCs w:val="21"/>
              </w:rPr>
              <w:t>SS</w:t>
            </w:r>
          </w:p>
        </w:tc>
        <w:tc>
          <w:tcPr>
            <w:tcW w:w="2488" w:type="dxa"/>
            <w:vAlign w:val="center"/>
          </w:tcPr>
          <w:p w14:paraId="41FD8EB4">
            <w:pPr>
              <w:adjustRightInd w:val="0"/>
              <w:snapToGrid w:val="0"/>
              <w:spacing w:line="240" w:lineRule="auto"/>
              <w:ind w:firstLine="0" w:firstLineChars="0"/>
              <w:jc w:val="center"/>
              <w:rPr>
                <w:sz w:val="21"/>
                <w:szCs w:val="21"/>
              </w:rPr>
            </w:pPr>
            <w:r>
              <w:rPr>
                <w:rFonts w:hint="eastAsia"/>
                <w:sz w:val="21"/>
                <w:szCs w:val="21"/>
              </w:rPr>
              <w:t>进出口</w:t>
            </w:r>
            <w:r>
              <w:rPr>
                <w:rFonts w:hint="eastAsia"/>
                <w:color w:val="000000" w:themeColor="text1"/>
                <w:sz w:val="21"/>
                <w:szCs w:val="21"/>
                <w14:textFill>
                  <w14:solidFill>
                    <w14:schemeClr w14:val="tx1"/>
                  </w14:solidFill>
                </w14:textFill>
              </w:rPr>
              <w:t>处设置2个容积为1m</w:t>
            </w:r>
            <w:r>
              <w:rPr>
                <w:rFonts w:hint="eastAsia"/>
                <w:color w:val="000000" w:themeColor="text1"/>
                <w:sz w:val="21"/>
                <w:szCs w:val="21"/>
                <w:vertAlign w:val="superscript"/>
                <w14:textFill>
                  <w14:solidFill>
                    <w14:schemeClr w14:val="tx1"/>
                  </w14:solidFill>
                </w14:textFill>
              </w:rPr>
              <w:t>3</w:t>
            </w:r>
            <w:r>
              <w:rPr>
                <w:rFonts w:hint="eastAsia"/>
                <w:color w:val="000000" w:themeColor="text1"/>
                <w:sz w:val="21"/>
                <w:szCs w:val="21"/>
                <w14:textFill>
                  <w14:solidFill>
                    <w14:schemeClr w14:val="tx1"/>
                  </w14:solidFill>
                </w14:textFill>
              </w:rPr>
              <w:t>洗车池收集运输车辆清洗废水，清洗废</w:t>
            </w:r>
            <w:r>
              <w:rPr>
                <w:rFonts w:hint="eastAsia"/>
                <w:sz w:val="21"/>
                <w:szCs w:val="21"/>
              </w:rPr>
              <w:t>水循环使用，当不能满足洗车条件后用于厂区洒水降尘，不外排。</w:t>
            </w:r>
          </w:p>
        </w:tc>
        <w:tc>
          <w:tcPr>
            <w:tcW w:w="2601" w:type="dxa"/>
            <w:vAlign w:val="center"/>
          </w:tcPr>
          <w:p w14:paraId="4AB4CA5A">
            <w:pPr>
              <w:adjustRightInd w:val="0"/>
              <w:snapToGrid w:val="0"/>
              <w:spacing w:line="240" w:lineRule="auto"/>
              <w:ind w:firstLine="0" w:firstLineChars="0"/>
              <w:jc w:val="center"/>
              <w:rPr>
                <w:sz w:val="21"/>
                <w:szCs w:val="21"/>
              </w:rPr>
            </w:pPr>
            <w:r>
              <w:rPr>
                <w:rFonts w:hint="eastAsia"/>
                <w:sz w:val="21"/>
                <w:szCs w:val="21"/>
              </w:rPr>
              <w:t>不外排</w:t>
            </w:r>
          </w:p>
        </w:tc>
      </w:tr>
      <w:tr w14:paraId="63B3D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vMerge w:val="continue"/>
            <w:vAlign w:val="center"/>
          </w:tcPr>
          <w:p w14:paraId="6922830A">
            <w:pPr>
              <w:spacing w:line="240" w:lineRule="auto"/>
              <w:ind w:firstLine="0" w:firstLineChars="0"/>
              <w:jc w:val="center"/>
              <w:rPr>
                <w:sz w:val="21"/>
                <w:szCs w:val="21"/>
              </w:rPr>
            </w:pPr>
          </w:p>
        </w:tc>
        <w:tc>
          <w:tcPr>
            <w:tcW w:w="1299" w:type="dxa"/>
            <w:vAlign w:val="center"/>
          </w:tcPr>
          <w:p w14:paraId="3F105ABA">
            <w:pPr>
              <w:adjustRightInd w:val="0"/>
              <w:snapToGrid w:val="0"/>
              <w:spacing w:line="240" w:lineRule="auto"/>
              <w:ind w:firstLine="0" w:firstLineChars="0"/>
              <w:jc w:val="center"/>
              <w:rPr>
                <w:sz w:val="21"/>
                <w:szCs w:val="21"/>
              </w:rPr>
            </w:pPr>
            <w:r>
              <w:rPr>
                <w:rFonts w:hint="eastAsia"/>
                <w:sz w:val="21"/>
                <w:szCs w:val="21"/>
              </w:rPr>
              <w:t>初期雨水</w:t>
            </w:r>
          </w:p>
        </w:tc>
        <w:tc>
          <w:tcPr>
            <w:tcW w:w="1375" w:type="dxa"/>
            <w:vAlign w:val="center"/>
          </w:tcPr>
          <w:p w14:paraId="1E95CC9F">
            <w:pPr>
              <w:adjustRightInd w:val="0"/>
              <w:snapToGrid w:val="0"/>
              <w:spacing w:line="240" w:lineRule="auto"/>
              <w:ind w:firstLine="0" w:firstLineChars="0"/>
              <w:jc w:val="center"/>
              <w:rPr>
                <w:sz w:val="21"/>
                <w:szCs w:val="21"/>
              </w:rPr>
            </w:pPr>
            <w:r>
              <w:rPr>
                <w:rFonts w:hint="eastAsia"/>
                <w:sz w:val="21"/>
                <w:szCs w:val="21"/>
              </w:rPr>
              <w:t>SS</w:t>
            </w:r>
          </w:p>
        </w:tc>
        <w:tc>
          <w:tcPr>
            <w:tcW w:w="2488" w:type="dxa"/>
            <w:vAlign w:val="center"/>
          </w:tcPr>
          <w:p w14:paraId="335D5336">
            <w:pPr>
              <w:adjustRightInd w:val="0"/>
              <w:snapToGrid w:val="0"/>
              <w:spacing w:line="240" w:lineRule="auto"/>
              <w:ind w:firstLine="0" w:firstLineChars="0"/>
              <w:jc w:val="center"/>
              <w:rPr>
                <w:sz w:val="21"/>
                <w:szCs w:val="21"/>
              </w:rPr>
            </w:pPr>
            <w:r>
              <w:rPr>
                <w:rFonts w:hint="eastAsia"/>
                <w:sz w:val="21"/>
                <w:szCs w:val="21"/>
              </w:rPr>
              <w:t>厂区东南侧地势低洼处设置1座</w:t>
            </w:r>
            <w:r>
              <w:rPr>
                <w:rFonts w:hint="eastAsia"/>
                <w:color w:val="000000" w:themeColor="text1"/>
                <w:sz w:val="21"/>
                <w:szCs w:val="21"/>
                <w14:textFill>
                  <w14:solidFill>
                    <w14:schemeClr w14:val="tx1"/>
                  </w14:solidFill>
                </w14:textFill>
              </w:rPr>
              <w:t>15m</w:t>
            </w:r>
            <w:r>
              <w:rPr>
                <w:rFonts w:hint="eastAsia"/>
                <w:color w:val="000000" w:themeColor="text1"/>
                <w:sz w:val="21"/>
                <w:szCs w:val="21"/>
                <w:vertAlign w:val="superscript"/>
                <w14:textFill>
                  <w14:solidFill>
                    <w14:schemeClr w14:val="tx1"/>
                  </w14:solidFill>
                </w14:textFill>
              </w:rPr>
              <w:t>3</w:t>
            </w:r>
            <w:r>
              <w:rPr>
                <w:rFonts w:hint="eastAsia"/>
                <w:color w:val="000000" w:themeColor="text1"/>
                <w:sz w:val="21"/>
                <w:szCs w:val="21"/>
                <w14:textFill>
                  <w14:solidFill>
                    <w14:schemeClr w14:val="tx1"/>
                  </w14:solidFill>
                </w14:textFill>
              </w:rPr>
              <w:t>的</w:t>
            </w:r>
            <w:r>
              <w:rPr>
                <w:rFonts w:hint="eastAsia"/>
                <w:sz w:val="21"/>
                <w:szCs w:val="21"/>
              </w:rPr>
              <w:t>初期雨水收集沉淀池处理初期雨水，处理后回用项目降尘</w:t>
            </w:r>
          </w:p>
        </w:tc>
        <w:tc>
          <w:tcPr>
            <w:tcW w:w="2601" w:type="dxa"/>
            <w:vAlign w:val="center"/>
          </w:tcPr>
          <w:p w14:paraId="6CE16B66">
            <w:pPr>
              <w:adjustRightInd w:val="0"/>
              <w:snapToGrid w:val="0"/>
              <w:spacing w:line="240" w:lineRule="auto"/>
              <w:ind w:firstLine="0" w:firstLineChars="0"/>
              <w:jc w:val="center"/>
              <w:rPr>
                <w:sz w:val="21"/>
                <w:szCs w:val="21"/>
              </w:rPr>
            </w:pPr>
            <w:r>
              <w:rPr>
                <w:rFonts w:hint="eastAsia"/>
                <w:sz w:val="21"/>
                <w:szCs w:val="21"/>
              </w:rPr>
              <w:t>不外排</w:t>
            </w:r>
          </w:p>
        </w:tc>
      </w:tr>
      <w:tr w14:paraId="1A60E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vAlign w:val="center"/>
          </w:tcPr>
          <w:p w14:paraId="01E1671D">
            <w:pPr>
              <w:spacing w:line="240" w:lineRule="auto"/>
              <w:ind w:firstLine="0" w:firstLineChars="0"/>
              <w:jc w:val="center"/>
              <w:rPr>
                <w:sz w:val="21"/>
                <w:szCs w:val="21"/>
              </w:rPr>
            </w:pPr>
            <w:r>
              <w:rPr>
                <w:rFonts w:hint="eastAsia"/>
                <w:sz w:val="21"/>
                <w:szCs w:val="21"/>
              </w:rPr>
              <w:t>声环境</w:t>
            </w:r>
          </w:p>
        </w:tc>
        <w:tc>
          <w:tcPr>
            <w:tcW w:w="1299" w:type="dxa"/>
            <w:vAlign w:val="center"/>
          </w:tcPr>
          <w:p w14:paraId="01F4472B">
            <w:pPr>
              <w:adjustRightInd w:val="0"/>
              <w:snapToGrid w:val="0"/>
              <w:spacing w:line="240" w:lineRule="auto"/>
              <w:ind w:firstLine="0" w:firstLineChars="0"/>
              <w:jc w:val="center"/>
              <w:rPr>
                <w:sz w:val="21"/>
                <w:szCs w:val="21"/>
              </w:rPr>
            </w:pPr>
            <w:r>
              <w:rPr>
                <w:rFonts w:hint="eastAsia"/>
                <w:sz w:val="21"/>
                <w:szCs w:val="21"/>
              </w:rPr>
              <w:t>生产设备</w:t>
            </w:r>
          </w:p>
        </w:tc>
        <w:tc>
          <w:tcPr>
            <w:tcW w:w="1375" w:type="dxa"/>
            <w:vAlign w:val="center"/>
          </w:tcPr>
          <w:p w14:paraId="2D682301">
            <w:pPr>
              <w:adjustRightInd w:val="0"/>
              <w:snapToGrid w:val="0"/>
              <w:spacing w:line="240" w:lineRule="auto"/>
              <w:ind w:firstLine="0" w:firstLineChars="0"/>
              <w:jc w:val="center"/>
              <w:rPr>
                <w:sz w:val="21"/>
                <w:szCs w:val="21"/>
              </w:rPr>
            </w:pPr>
            <w:r>
              <w:rPr>
                <w:rFonts w:hint="eastAsia"/>
                <w:sz w:val="21"/>
                <w:szCs w:val="21"/>
              </w:rPr>
              <w:t>等效连续A声级，Leq</w:t>
            </w:r>
          </w:p>
        </w:tc>
        <w:tc>
          <w:tcPr>
            <w:tcW w:w="2488" w:type="dxa"/>
            <w:vAlign w:val="center"/>
          </w:tcPr>
          <w:p w14:paraId="5CC3393F">
            <w:pPr>
              <w:adjustRightInd w:val="0"/>
              <w:snapToGrid w:val="0"/>
              <w:spacing w:line="240" w:lineRule="auto"/>
              <w:ind w:firstLine="0" w:firstLineChars="0"/>
              <w:jc w:val="center"/>
              <w:rPr>
                <w:sz w:val="21"/>
                <w:szCs w:val="21"/>
              </w:rPr>
            </w:pPr>
            <w:r>
              <w:rPr>
                <w:rFonts w:hint="eastAsia"/>
                <w:sz w:val="21"/>
                <w:szCs w:val="21"/>
              </w:rPr>
              <w:t>高噪声设备采取基础减振、厂房隔声、定期对设备进行维护保养、风机进出口安装消音器等。</w:t>
            </w:r>
          </w:p>
        </w:tc>
        <w:tc>
          <w:tcPr>
            <w:tcW w:w="2601" w:type="dxa"/>
            <w:vAlign w:val="center"/>
          </w:tcPr>
          <w:p w14:paraId="10D80A73">
            <w:pPr>
              <w:adjustRightInd w:val="0"/>
              <w:snapToGrid w:val="0"/>
              <w:spacing w:line="240" w:lineRule="auto"/>
              <w:ind w:firstLine="0" w:firstLineChars="0"/>
              <w:jc w:val="center"/>
              <w:rPr>
                <w:sz w:val="21"/>
                <w:szCs w:val="21"/>
              </w:rPr>
            </w:pPr>
            <w:r>
              <w:rPr>
                <w:rFonts w:hint="eastAsia"/>
                <w:sz w:val="21"/>
                <w:szCs w:val="21"/>
              </w:rPr>
              <w:t>《工业企业厂界环境噪声排放标准》（GB12348-200</w:t>
            </w:r>
            <w:r>
              <w:rPr>
                <w:rFonts w:hint="eastAsia"/>
                <w:color w:val="000000" w:themeColor="text1"/>
                <w:sz w:val="21"/>
                <w:szCs w:val="21"/>
                <w14:textFill>
                  <w14:solidFill>
                    <w14:schemeClr w14:val="tx1"/>
                  </w14:solidFill>
                </w14:textFill>
              </w:rPr>
              <w:t>8）1类标准</w:t>
            </w:r>
          </w:p>
        </w:tc>
      </w:tr>
      <w:tr w14:paraId="06224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093" w:type="dxa"/>
            <w:vAlign w:val="center"/>
          </w:tcPr>
          <w:p w14:paraId="1886DEA2">
            <w:pPr>
              <w:spacing w:line="240" w:lineRule="auto"/>
              <w:ind w:firstLine="0" w:firstLineChars="0"/>
              <w:jc w:val="center"/>
              <w:rPr>
                <w:sz w:val="21"/>
                <w:szCs w:val="21"/>
              </w:rPr>
            </w:pPr>
            <w:r>
              <w:rPr>
                <w:rFonts w:hint="eastAsia"/>
                <w:sz w:val="21"/>
                <w:szCs w:val="21"/>
              </w:rPr>
              <w:t>电磁辐射</w:t>
            </w:r>
          </w:p>
        </w:tc>
        <w:tc>
          <w:tcPr>
            <w:tcW w:w="1299" w:type="dxa"/>
            <w:vAlign w:val="center"/>
          </w:tcPr>
          <w:p w14:paraId="0C563D8B">
            <w:pPr>
              <w:spacing w:line="240" w:lineRule="auto"/>
              <w:ind w:firstLine="0" w:firstLineChars="0"/>
              <w:jc w:val="center"/>
              <w:rPr>
                <w:sz w:val="21"/>
                <w:szCs w:val="21"/>
              </w:rPr>
            </w:pPr>
            <w:r>
              <w:rPr>
                <w:rFonts w:hint="eastAsia"/>
                <w:sz w:val="21"/>
                <w:szCs w:val="21"/>
              </w:rPr>
              <w:t>无</w:t>
            </w:r>
          </w:p>
        </w:tc>
        <w:tc>
          <w:tcPr>
            <w:tcW w:w="1375" w:type="dxa"/>
            <w:vAlign w:val="center"/>
          </w:tcPr>
          <w:p w14:paraId="3E71B6E7">
            <w:pPr>
              <w:spacing w:line="240" w:lineRule="auto"/>
              <w:ind w:firstLine="0" w:firstLineChars="0"/>
              <w:jc w:val="center"/>
              <w:rPr>
                <w:sz w:val="21"/>
                <w:szCs w:val="21"/>
              </w:rPr>
            </w:pPr>
            <w:r>
              <w:rPr>
                <w:rFonts w:hint="eastAsia"/>
                <w:sz w:val="21"/>
                <w:szCs w:val="21"/>
              </w:rPr>
              <w:t>无</w:t>
            </w:r>
          </w:p>
        </w:tc>
        <w:tc>
          <w:tcPr>
            <w:tcW w:w="2488" w:type="dxa"/>
            <w:vAlign w:val="center"/>
          </w:tcPr>
          <w:p w14:paraId="305FF681">
            <w:pPr>
              <w:spacing w:line="240" w:lineRule="auto"/>
              <w:ind w:firstLine="0" w:firstLineChars="0"/>
              <w:jc w:val="center"/>
              <w:rPr>
                <w:sz w:val="21"/>
                <w:szCs w:val="21"/>
              </w:rPr>
            </w:pPr>
            <w:r>
              <w:rPr>
                <w:rFonts w:hint="eastAsia"/>
                <w:sz w:val="21"/>
                <w:szCs w:val="21"/>
              </w:rPr>
              <w:t>无</w:t>
            </w:r>
          </w:p>
        </w:tc>
        <w:tc>
          <w:tcPr>
            <w:tcW w:w="2601" w:type="dxa"/>
            <w:vAlign w:val="center"/>
          </w:tcPr>
          <w:p w14:paraId="5D98284E">
            <w:pPr>
              <w:spacing w:line="240" w:lineRule="auto"/>
              <w:ind w:firstLine="0" w:firstLineChars="0"/>
              <w:jc w:val="center"/>
              <w:rPr>
                <w:sz w:val="21"/>
                <w:szCs w:val="21"/>
              </w:rPr>
            </w:pPr>
            <w:r>
              <w:rPr>
                <w:rFonts w:hint="eastAsia"/>
                <w:sz w:val="21"/>
                <w:szCs w:val="21"/>
              </w:rPr>
              <w:t>无</w:t>
            </w:r>
          </w:p>
        </w:tc>
      </w:tr>
      <w:tr w14:paraId="2FD33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vAlign w:val="center"/>
          </w:tcPr>
          <w:p w14:paraId="7CF833B1">
            <w:pPr>
              <w:spacing w:line="240" w:lineRule="auto"/>
              <w:ind w:firstLine="0" w:firstLineChars="0"/>
              <w:jc w:val="center"/>
              <w:rPr>
                <w:sz w:val="21"/>
                <w:szCs w:val="21"/>
              </w:rPr>
            </w:pPr>
            <w:r>
              <w:rPr>
                <w:rFonts w:hint="eastAsia"/>
                <w:sz w:val="21"/>
                <w:szCs w:val="21"/>
              </w:rPr>
              <w:t>固体废物</w:t>
            </w:r>
          </w:p>
        </w:tc>
        <w:tc>
          <w:tcPr>
            <w:tcW w:w="7763" w:type="dxa"/>
            <w:gridSpan w:val="4"/>
            <w:vAlign w:val="center"/>
          </w:tcPr>
          <w:p w14:paraId="640E5D25">
            <w:pPr>
              <w:adjustRightInd w:val="0"/>
              <w:snapToGrid w:val="0"/>
              <w:spacing w:line="240" w:lineRule="auto"/>
              <w:ind w:firstLine="0" w:firstLineChars="0"/>
              <w:rPr>
                <w:sz w:val="21"/>
                <w:szCs w:val="21"/>
              </w:rPr>
            </w:pPr>
            <w:r>
              <w:rPr>
                <w:rFonts w:hint="eastAsia"/>
                <w:sz w:val="21"/>
                <w:szCs w:val="21"/>
              </w:rPr>
              <w:t>项目产生的布袋除尘器收尘灰回用于生产，废布袋由更换上带走处理，生活垃圾委托环卫部门清运，污泥委托环卫部门清掏、清运；废焦油、废活性炭、废矿物油、柴油罐油泥、废含油抹布和废劳保用品等危险废物分类使用闭口容器收集，和废油桶分区暂存于危废间，委托有资质的单位清运处置；废导热油由有资质的更换单位带走处理。</w:t>
            </w:r>
          </w:p>
        </w:tc>
      </w:tr>
      <w:tr w14:paraId="40E38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vAlign w:val="center"/>
          </w:tcPr>
          <w:p w14:paraId="4E68DF7E">
            <w:pPr>
              <w:spacing w:line="240" w:lineRule="auto"/>
              <w:ind w:firstLine="0" w:firstLineChars="0"/>
              <w:jc w:val="center"/>
              <w:rPr>
                <w:sz w:val="21"/>
                <w:szCs w:val="21"/>
              </w:rPr>
            </w:pPr>
            <w:r>
              <w:rPr>
                <w:rFonts w:hint="eastAsia"/>
                <w:sz w:val="21"/>
                <w:szCs w:val="21"/>
              </w:rPr>
              <w:t>土壤及地下水污染防治措施</w:t>
            </w:r>
          </w:p>
        </w:tc>
        <w:tc>
          <w:tcPr>
            <w:tcW w:w="7763" w:type="dxa"/>
            <w:gridSpan w:val="4"/>
            <w:vAlign w:val="center"/>
          </w:tcPr>
          <w:p w14:paraId="1027F10F">
            <w:pPr>
              <w:spacing w:line="240" w:lineRule="auto"/>
              <w:ind w:firstLine="0" w:firstLineChars="0"/>
              <w:jc w:val="left"/>
              <w:rPr>
                <w:sz w:val="21"/>
                <w:szCs w:val="21"/>
              </w:rPr>
            </w:pPr>
            <w:r>
              <w:rPr>
                <w:rFonts w:hint="eastAsia"/>
                <w:sz w:val="21"/>
                <w:szCs w:val="21"/>
              </w:rPr>
              <w:t>①柴油罐和沥青罐区地面及围堰采用“水泥+2mm厚HDPE膜+环氧树脂涂料”防渗，防止油品及沥青下渗污染地下水水质，</w:t>
            </w:r>
            <w:r>
              <w:rPr>
                <w:rFonts w:hint="eastAsia"/>
                <w:kern w:val="0"/>
                <w:sz w:val="21"/>
              </w:rPr>
              <w:t>渗透系数不大于10</w:t>
            </w:r>
            <w:r>
              <w:rPr>
                <w:rFonts w:hint="eastAsia"/>
                <w:kern w:val="0"/>
                <w:sz w:val="21"/>
                <w:vertAlign w:val="superscript"/>
              </w:rPr>
              <w:t>-7</w:t>
            </w:r>
            <w:r>
              <w:rPr>
                <w:rFonts w:hint="eastAsia"/>
                <w:kern w:val="0"/>
                <w:sz w:val="21"/>
              </w:rPr>
              <w:t>cm/s。</w:t>
            </w:r>
          </w:p>
          <w:p w14:paraId="6234AAFE">
            <w:pPr>
              <w:spacing w:line="240" w:lineRule="auto"/>
              <w:ind w:firstLine="0" w:firstLineChars="0"/>
              <w:jc w:val="left"/>
              <w:rPr>
                <w:sz w:val="21"/>
                <w:szCs w:val="21"/>
              </w:rPr>
            </w:pPr>
            <w:r>
              <w:rPr>
                <w:rFonts w:hint="eastAsia"/>
                <w:sz w:val="21"/>
                <w:szCs w:val="21"/>
              </w:rPr>
              <w:t>②储罐区围堰容积不小于50m</w:t>
            </w:r>
            <w:r>
              <w:rPr>
                <w:rFonts w:hint="eastAsia"/>
                <w:sz w:val="21"/>
                <w:szCs w:val="21"/>
                <w:vertAlign w:val="superscript"/>
              </w:rPr>
              <w:t>3</w:t>
            </w:r>
            <w:r>
              <w:rPr>
                <w:rFonts w:hint="eastAsia"/>
                <w:sz w:val="21"/>
                <w:szCs w:val="21"/>
              </w:rPr>
              <w:t>，并按照要求进行重点防渗处理，</w:t>
            </w:r>
            <w:r>
              <w:rPr>
                <w:rFonts w:hint="eastAsia"/>
                <w:kern w:val="0"/>
                <w:sz w:val="21"/>
              </w:rPr>
              <w:t>渗透系数不大于10</w:t>
            </w:r>
            <w:r>
              <w:rPr>
                <w:rFonts w:hint="eastAsia"/>
                <w:kern w:val="0"/>
                <w:sz w:val="21"/>
                <w:vertAlign w:val="superscript"/>
              </w:rPr>
              <w:t>-7</w:t>
            </w:r>
            <w:r>
              <w:rPr>
                <w:rFonts w:hint="eastAsia"/>
                <w:kern w:val="0"/>
                <w:sz w:val="21"/>
              </w:rPr>
              <w:t>cm/s。</w:t>
            </w:r>
          </w:p>
          <w:p w14:paraId="70C564F4">
            <w:pPr>
              <w:spacing w:line="240" w:lineRule="auto"/>
              <w:ind w:firstLine="0" w:firstLineChars="0"/>
              <w:jc w:val="left"/>
              <w:rPr>
                <w:kern w:val="0"/>
                <w:sz w:val="21"/>
              </w:rPr>
            </w:pPr>
            <w:r>
              <w:rPr>
                <w:rFonts w:hint="eastAsia"/>
                <w:sz w:val="21"/>
                <w:szCs w:val="21"/>
              </w:rPr>
              <w:t>③危险废物贮存设施地面及裙脚采用“水泥+2mm厚HDPE膜+环氧树脂涂料”防渗，</w:t>
            </w:r>
            <w:r>
              <w:rPr>
                <w:rFonts w:hint="eastAsia"/>
                <w:kern w:val="0"/>
                <w:sz w:val="21"/>
              </w:rPr>
              <w:t>渗透系数不大于10</w:t>
            </w:r>
            <w:r>
              <w:rPr>
                <w:rFonts w:hint="eastAsia"/>
                <w:kern w:val="0"/>
                <w:sz w:val="21"/>
                <w:vertAlign w:val="superscript"/>
              </w:rPr>
              <w:t>-10</w:t>
            </w:r>
            <w:r>
              <w:rPr>
                <w:rFonts w:hint="eastAsia"/>
                <w:kern w:val="0"/>
                <w:sz w:val="21"/>
              </w:rPr>
              <w:t>cm/s。</w:t>
            </w:r>
          </w:p>
        </w:tc>
      </w:tr>
      <w:tr w14:paraId="71D40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vAlign w:val="center"/>
          </w:tcPr>
          <w:p w14:paraId="702193AC">
            <w:pPr>
              <w:spacing w:line="240" w:lineRule="auto"/>
              <w:ind w:firstLine="0" w:firstLineChars="0"/>
              <w:jc w:val="center"/>
              <w:rPr>
                <w:sz w:val="21"/>
                <w:szCs w:val="21"/>
              </w:rPr>
            </w:pPr>
            <w:r>
              <w:rPr>
                <w:rFonts w:hint="eastAsia"/>
                <w:sz w:val="21"/>
                <w:szCs w:val="21"/>
              </w:rPr>
              <w:t>生态保护措施</w:t>
            </w:r>
          </w:p>
        </w:tc>
        <w:tc>
          <w:tcPr>
            <w:tcW w:w="7763" w:type="dxa"/>
            <w:gridSpan w:val="4"/>
            <w:vAlign w:val="center"/>
          </w:tcPr>
          <w:p w14:paraId="42C12374">
            <w:pPr>
              <w:spacing w:line="240" w:lineRule="auto"/>
              <w:ind w:firstLine="0" w:firstLineChars="0"/>
              <w:jc w:val="center"/>
              <w:rPr>
                <w:sz w:val="21"/>
                <w:szCs w:val="21"/>
              </w:rPr>
            </w:pPr>
            <w:r>
              <w:rPr>
                <w:rFonts w:hint="eastAsia"/>
                <w:sz w:val="21"/>
                <w:szCs w:val="21"/>
              </w:rPr>
              <w:t>项目用地范围内无生态环境敏感目标，项目运行后保证污染物的达标排放，对生态环境影响不大。</w:t>
            </w:r>
          </w:p>
        </w:tc>
      </w:tr>
      <w:tr w14:paraId="37B2B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vAlign w:val="center"/>
          </w:tcPr>
          <w:p w14:paraId="410F3BF2">
            <w:pPr>
              <w:spacing w:line="240" w:lineRule="auto"/>
              <w:ind w:firstLine="0" w:firstLineChars="0"/>
              <w:jc w:val="center"/>
              <w:rPr>
                <w:sz w:val="21"/>
                <w:szCs w:val="21"/>
              </w:rPr>
            </w:pPr>
            <w:r>
              <w:rPr>
                <w:rFonts w:hint="eastAsia"/>
                <w:sz w:val="21"/>
                <w:szCs w:val="21"/>
              </w:rPr>
              <w:t>环境风险防范措施</w:t>
            </w:r>
          </w:p>
        </w:tc>
        <w:tc>
          <w:tcPr>
            <w:tcW w:w="7763" w:type="dxa"/>
            <w:gridSpan w:val="4"/>
            <w:vAlign w:val="center"/>
          </w:tcPr>
          <w:p w14:paraId="0C7A5FB7">
            <w:pPr>
              <w:autoSpaceDE w:val="0"/>
              <w:autoSpaceDN w:val="0"/>
              <w:spacing w:line="240" w:lineRule="auto"/>
              <w:ind w:firstLine="0" w:firstLineChars="0"/>
              <w:rPr>
                <w:sz w:val="21"/>
                <w:szCs w:val="21"/>
              </w:rPr>
            </w:pPr>
            <w:r>
              <w:rPr>
                <w:rFonts w:hint="eastAsia"/>
                <w:sz w:val="21"/>
                <w:szCs w:val="21"/>
              </w:rPr>
              <w:t>①柴油、导热油储罐应配有遮阳设施，防止暴晒；</w:t>
            </w:r>
          </w:p>
          <w:p w14:paraId="3B93497F">
            <w:pPr>
              <w:autoSpaceDE w:val="0"/>
              <w:autoSpaceDN w:val="0"/>
              <w:spacing w:line="240" w:lineRule="auto"/>
              <w:ind w:firstLine="0" w:firstLineChars="0"/>
              <w:rPr>
                <w:sz w:val="21"/>
                <w:szCs w:val="21"/>
              </w:rPr>
            </w:pPr>
            <w:r>
              <w:rPr>
                <w:rFonts w:hint="eastAsia"/>
                <w:sz w:val="21"/>
                <w:szCs w:val="21"/>
              </w:rPr>
              <w:t>②柴油、导热油运输过程中车辆上应备有必要的应急处理器材和防护用品；</w:t>
            </w:r>
          </w:p>
          <w:p w14:paraId="7020919A">
            <w:pPr>
              <w:autoSpaceDE w:val="0"/>
              <w:autoSpaceDN w:val="0"/>
              <w:spacing w:line="240" w:lineRule="auto"/>
              <w:ind w:firstLine="0" w:firstLineChars="0"/>
              <w:rPr>
                <w:sz w:val="21"/>
                <w:szCs w:val="21"/>
              </w:rPr>
            </w:pPr>
            <w:r>
              <w:rPr>
                <w:rFonts w:hint="eastAsia"/>
                <w:sz w:val="21"/>
                <w:szCs w:val="21"/>
              </w:rPr>
              <w:t>③柴油、导热油储罐区域附近不得存储其它易燃易爆物品、氧化剂、腐蚀性物品等；</w:t>
            </w:r>
          </w:p>
          <w:p w14:paraId="0DCF56EF">
            <w:pPr>
              <w:autoSpaceDE w:val="0"/>
              <w:autoSpaceDN w:val="0"/>
              <w:spacing w:line="240" w:lineRule="auto"/>
              <w:ind w:firstLine="0" w:firstLineChars="0"/>
              <w:rPr>
                <w:sz w:val="21"/>
                <w:szCs w:val="21"/>
              </w:rPr>
            </w:pPr>
            <w:r>
              <w:rPr>
                <w:rFonts w:hint="eastAsia"/>
                <w:sz w:val="21"/>
                <w:szCs w:val="21"/>
              </w:rPr>
              <w:t>④储罐区、危废暂存间等风险单元设置禁火标识牌等，严格禁火制度；</w:t>
            </w:r>
          </w:p>
          <w:p w14:paraId="7ACAAFD2">
            <w:pPr>
              <w:autoSpaceDE w:val="0"/>
              <w:autoSpaceDN w:val="0"/>
              <w:spacing w:line="240" w:lineRule="auto"/>
              <w:ind w:firstLine="0" w:firstLineChars="0"/>
              <w:rPr>
                <w:sz w:val="21"/>
                <w:szCs w:val="21"/>
              </w:rPr>
            </w:pPr>
            <w:r>
              <w:rPr>
                <w:rFonts w:hint="eastAsia"/>
                <w:sz w:val="21"/>
                <w:szCs w:val="21"/>
              </w:rPr>
              <w:t>⑤加热区、油罐区应做好防雷工作。</w:t>
            </w:r>
          </w:p>
          <w:p w14:paraId="4944A83C">
            <w:pPr>
              <w:autoSpaceDE w:val="0"/>
              <w:autoSpaceDN w:val="0"/>
              <w:spacing w:line="240" w:lineRule="auto"/>
              <w:ind w:firstLine="0" w:firstLineChars="0"/>
              <w:rPr>
                <w:sz w:val="21"/>
                <w:szCs w:val="21"/>
              </w:rPr>
            </w:pPr>
            <w:r>
              <w:rPr>
                <w:rFonts w:hint="eastAsia"/>
                <w:sz w:val="21"/>
                <w:szCs w:val="21"/>
              </w:rPr>
              <w:t>⑥危险废物贮存间、柴油储罐区进行重点防渗，其中危险废物贮存设施按照《危险废物贮存污染控制标准》（GB18597-2023）中贮存设施污染控制要求设计：“防渗材料可采用抗渗混凝土、高密度聚乙烯膜、钠基膨润土防水毯或其他防渗性能等效的材料，防渗层为至少1m厚黏土层（渗透系数不大于10</w:t>
            </w:r>
            <w:r>
              <w:rPr>
                <w:rFonts w:hint="eastAsia"/>
                <w:sz w:val="21"/>
                <w:szCs w:val="21"/>
                <w:vertAlign w:val="superscript"/>
              </w:rPr>
              <w:t>-7</w:t>
            </w:r>
            <w:r>
              <w:rPr>
                <w:rFonts w:hint="eastAsia"/>
                <w:sz w:val="21"/>
                <w:szCs w:val="21"/>
              </w:rPr>
              <w:t>cm/s），或至少2mm厚高密度聚乙烯膜等人工防渗材料（渗透系数不大于10</w:t>
            </w:r>
            <w:r>
              <w:rPr>
                <w:rFonts w:hint="eastAsia"/>
                <w:sz w:val="21"/>
                <w:szCs w:val="21"/>
                <w:vertAlign w:val="superscript"/>
              </w:rPr>
              <w:t>-10</w:t>
            </w:r>
            <w:r>
              <w:rPr>
                <w:rFonts w:hint="eastAsia"/>
                <w:sz w:val="21"/>
                <w:szCs w:val="21"/>
              </w:rPr>
              <w:t>cm/s），或其他防渗性能等效的材料。”</w:t>
            </w:r>
          </w:p>
          <w:p w14:paraId="5B5B2810">
            <w:pPr>
              <w:autoSpaceDE w:val="0"/>
              <w:autoSpaceDN w:val="0"/>
              <w:spacing w:line="240" w:lineRule="auto"/>
              <w:ind w:firstLine="0" w:firstLineChars="0"/>
              <w:rPr>
                <w:sz w:val="21"/>
                <w:szCs w:val="21"/>
              </w:rPr>
            </w:pPr>
            <w:r>
              <w:rPr>
                <w:rFonts w:hint="eastAsia"/>
                <w:sz w:val="21"/>
                <w:szCs w:val="21"/>
              </w:rPr>
              <w:t>⑦柴油储罐区设置围堰，容积不小于50m</w:t>
            </w:r>
            <w:r>
              <w:rPr>
                <w:rFonts w:hint="eastAsia"/>
                <w:sz w:val="21"/>
                <w:szCs w:val="21"/>
                <w:vertAlign w:val="superscript"/>
              </w:rPr>
              <w:t>3</w:t>
            </w:r>
            <w:r>
              <w:rPr>
                <w:rFonts w:hint="eastAsia"/>
                <w:sz w:val="21"/>
                <w:szCs w:val="21"/>
              </w:rPr>
              <w:t>，并按照要求进行重点防渗处理。</w:t>
            </w:r>
          </w:p>
          <w:p w14:paraId="00033668">
            <w:pPr>
              <w:spacing w:line="240" w:lineRule="auto"/>
              <w:ind w:firstLine="0" w:firstLineChars="0"/>
              <w:rPr>
                <w:sz w:val="21"/>
                <w:szCs w:val="21"/>
              </w:rPr>
            </w:pPr>
            <w:r>
              <w:rPr>
                <w:rFonts w:hint="eastAsia"/>
                <w:sz w:val="21"/>
                <w:szCs w:val="21"/>
              </w:rPr>
              <w:t>⑧建立健全安全环境管理制度，操作人员必须严格按照操作规程办事，认真执行巡检制度，避免因检查不到位或错误操作而发生事故；建立健全的环境管理制度，指定相关责任人；消防器材完好到位，并设置火灾报警装置。加强项目区安全环保管理，对所有职工进行安全环保的教育和培训。⑨</w:t>
            </w:r>
            <w:r>
              <w:rPr>
                <w:sz w:val="21"/>
                <w:szCs w:val="21"/>
              </w:rPr>
              <w:t>编制突发环境事件应急预案，并报昆明市生态环境局寻甸分局备案</w:t>
            </w:r>
            <w:r>
              <w:rPr>
                <w:rFonts w:hint="eastAsia"/>
                <w:sz w:val="21"/>
                <w:szCs w:val="21"/>
              </w:rPr>
              <w:t>，并加强演练</w:t>
            </w:r>
            <w:r>
              <w:rPr>
                <w:sz w:val="21"/>
                <w:szCs w:val="21"/>
              </w:rPr>
              <w:t>。</w:t>
            </w:r>
          </w:p>
        </w:tc>
      </w:tr>
      <w:tr w14:paraId="6169B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3" w:hRule="atLeast"/>
        </w:trPr>
        <w:tc>
          <w:tcPr>
            <w:tcW w:w="1093" w:type="dxa"/>
            <w:vAlign w:val="center"/>
          </w:tcPr>
          <w:p w14:paraId="4F2D0D71">
            <w:pPr>
              <w:spacing w:line="240" w:lineRule="auto"/>
              <w:ind w:firstLine="0" w:firstLineChars="0"/>
              <w:jc w:val="center"/>
              <w:rPr>
                <w:sz w:val="21"/>
                <w:szCs w:val="21"/>
              </w:rPr>
            </w:pPr>
            <w:r>
              <w:rPr>
                <w:rFonts w:hint="eastAsia"/>
                <w:sz w:val="21"/>
                <w:szCs w:val="21"/>
              </w:rPr>
              <w:t>其他环境管理要求</w:t>
            </w:r>
          </w:p>
        </w:tc>
        <w:tc>
          <w:tcPr>
            <w:tcW w:w="7763" w:type="dxa"/>
            <w:gridSpan w:val="4"/>
            <w:vAlign w:val="center"/>
          </w:tcPr>
          <w:p w14:paraId="6FC30C91">
            <w:pPr>
              <w:tabs>
                <w:tab w:val="left" w:pos="540"/>
                <w:tab w:val="left" w:pos="851"/>
                <w:tab w:val="left" w:pos="994"/>
                <w:tab w:val="left" w:pos="1260"/>
                <w:tab w:val="left" w:pos="3108"/>
                <w:tab w:val="left" w:pos="3150"/>
              </w:tabs>
              <w:ind w:firstLine="422"/>
              <w:rPr>
                <w:b/>
                <w:bCs/>
                <w:sz w:val="21"/>
                <w:szCs w:val="21"/>
              </w:rPr>
            </w:pPr>
            <w:r>
              <w:rPr>
                <w:rFonts w:hint="eastAsia"/>
                <w:b/>
                <w:bCs/>
                <w:sz w:val="21"/>
                <w:szCs w:val="21"/>
              </w:rPr>
              <w:t>1、环境管理</w:t>
            </w:r>
          </w:p>
          <w:p w14:paraId="24A9D206">
            <w:pPr>
              <w:tabs>
                <w:tab w:val="left" w:pos="540"/>
                <w:tab w:val="left" w:pos="851"/>
                <w:tab w:val="left" w:pos="994"/>
                <w:tab w:val="left" w:pos="1260"/>
                <w:tab w:val="left" w:pos="3108"/>
                <w:tab w:val="left" w:pos="3150"/>
              </w:tabs>
              <w:ind w:firstLine="420"/>
              <w:rPr>
                <w:sz w:val="21"/>
                <w:szCs w:val="21"/>
              </w:rPr>
            </w:pPr>
            <w:r>
              <w:rPr>
                <w:rFonts w:hint="eastAsia"/>
                <w:sz w:val="21"/>
                <w:szCs w:val="21"/>
              </w:rPr>
              <w:t>遵循国家及当地政府关于环境保护的方针、政策、法令、法规，应将项目的环境管理纳入日常管理之中。本项目制定了环境管理计划如表5-1。</w:t>
            </w:r>
          </w:p>
          <w:p w14:paraId="2FCFF3C8">
            <w:pPr>
              <w:ind w:firstLine="422"/>
              <w:jc w:val="center"/>
              <w:rPr>
                <w:b/>
                <w:bCs/>
                <w:sz w:val="21"/>
                <w:szCs w:val="21"/>
              </w:rPr>
            </w:pPr>
            <w:r>
              <w:rPr>
                <w:rFonts w:hint="eastAsia"/>
                <w:b/>
                <w:bCs/>
                <w:sz w:val="21"/>
                <w:szCs w:val="21"/>
              </w:rPr>
              <w:t>表5-1  环境管理计划</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8"/>
              <w:gridCol w:w="1119"/>
              <w:gridCol w:w="1145"/>
              <w:gridCol w:w="4195"/>
            </w:tblGrid>
            <w:tr w14:paraId="2834B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vAlign w:val="center"/>
                </w:tcPr>
                <w:p w14:paraId="4334EABA">
                  <w:pPr>
                    <w:spacing w:line="240" w:lineRule="auto"/>
                    <w:ind w:firstLine="0" w:firstLineChars="0"/>
                    <w:jc w:val="center"/>
                    <w:rPr>
                      <w:b/>
                      <w:bCs/>
                      <w:sz w:val="21"/>
                      <w:szCs w:val="21"/>
                    </w:rPr>
                  </w:pPr>
                  <w:r>
                    <w:rPr>
                      <w:rFonts w:hint="eastAsia"/>
                      <w:b/>
                      <w:bCs/>
                      <w:sz w:val="21"/>
                      <w:szCs w:val="21"/>
                    </w:rPr>
                    <w:t>管理阶段</w:t>
                  </w:r>
                </w:p>
              </w:tc>
              <w:tc>
                <w:tcPr>
                  <w:tcW w:w="1119" w:type="dxa"/>
                  <w:vAlign w:val="center"/>
                </w:tcPr>
                <w:p w14:paraId="25CBCCA0">
                  <w:pPr>
                    <w:spacing w:line="240" w:lineRule="auto"/>
                    <w:ind w:firstLine="0" w:firstLineChars="0"/>
                    <w:jc w:val="center"/>
                    <w:rPr>
                      <w:b/>
                      <w:bCs/>
                      <w:sz w:val="21"/>
                      <w:szCs w:val="21"/>
                    </w:rPr>
                  </w:pPr>
                  <w:r>
                    <w:rPr>
                      <w:rFonts w:hint="eastAsia"/>
                      <w:b/>
                      <w:bCs/>
                      <w:sz w:val="21"/>
                      <w:szCs w:val="21"/>
                    </w:rPr>
                    <w:t>责任人</w:t>
                  </w:r>
                </w:p>
              </w:tc>
              <w:tc>
                <w:tcPr>
                  <w:tcW w:w="1145" w:type="dxa"/>
                  <w:vAlign w:val="center"/>
                </w:tcPr>
                <w:p w14:paraId="5EA36CA8">
                  <w:pPr>
                    <w:spacing w:line="240" w:lineRule="auto"/>
                    <w:ind w:firstLine="0" w:firstLineChars="0"/>
                    <w:jc w:val="center"/>
                    <w:rPr>
                      <w:b/>
                      <w:bCs/>
                      <w:sz w:val="21"/>
                      <w:szCs w:val="21"/>
                    </w:rPr>
                  </w:pPr>
                  <w:r>
                    <w:rPr>
                      <w:rFonts w:hint="eastAsia"/>
                      <w:b/>
                      <w:bCs/>
                      <w:sz w:val="21"/>
                      <w:szCs w:val="21"/>
                    </w:rPr>
                    <w:t>监督单位</w:t>
                  </w:r>
                </w:p>
              </w:tc>
              <w:tc>
                <w:tcPr>
                  <w:tcW w:w="4195" w:type="dxa"/>
                  <w:vAlign w:val="center"/>
                </w:tcPr>
                <w:p w14:paraId="710C2088">
                  <w:pPr>
                    <w:spacing w:line="240" w:lineRule="auto"/>
                    <w:ind w:firstLine="0" w:firstLineChars="0"/>
                    <w:jc w:val="center"/>
                    <w:rPr>
                      <w:b/>
                      <w:bCs/>
                      <w:sz w:val="21"/>
                      <w:szCs w:val="21"/>
                    </w:rPr>
                  </w:pPr>
                  <w:r>
                    <w:rPr>
                      <w:rFonts w:hint="eastAsia"/>
                      <w:b/>
                      <w:bCs/>
                      <w:sz w:val="21"/>
                      <w:szCs w:val="21"/>
                    </w:rPr>
                    <w:t>管理内容</w:t>
                  </w:r>
                </w:p>
              </w:tc>
            </w:tr>
            <w:tr w14:paraId="55E1B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vAlign w:val="center"/>
                </w:tcPr>
                <w:p w14:paraId="7585BA20">
                  <w:pPr>
                    <w:spacing w:line="240" w:lineRule="auto"/>
                    <w:ind w:firstLine="0" w:firstLineChars="0"/>
                    <w:jc w:val="center"/>
                    <w:rPr>
                      <w:sz w:val="21"/>
                      <w:szCs w:val="21"/>
                    </w:rPr>
                  </w:pPr>
                  <w:r>
                    <w:rPr>
                      <w:rFonts w:hint="eastAsia"/>
                      <w:sz w:val="21"/>
                      <w:szCs w:val="21"/>
                    </w:rPr>
                    <w:t>运营阶段</w:t>
                  </w:r>
                </w:p>
              </w:tc>
              <w:tc>
                <w:tcPr>
                  <w:tcW w:w="1119" w:type="dxa"/>
                  <w:vAlign w:val="center"/>
                </w:tcPr>
                <w:p w14:paraId="47691C1D">
                  <w:pPr>
                    <w:spacing w:line="240" w:lineRule="auto"/>
                    <w:ind w:firstLine="0" w:firstLineChars="0"/>
                    <w:jc w:val="center"/>
                    <w:rPr>
                      <w:sz w:val="21"/>
                      <w:szCs w:val="21"/>
                    </w:rPr>
                  </w:pPr>
                  <w:r>
                    <w:rPr>
                      <w:rFonts w:hint="eastAsia"/>
                      <w:sz w:val="21"/>
                      <w:szCs w:val="21"/>
                    </w:rPr>
                    <w:t>建设单位管理人员</w:t>
                  </w:r>
                </w:p>
              </w:tc>
              <w:tc>
                <w:tcPr>
                  <w:tcW w:w="1145" w:type="dxa"/>
                  <w:vAlign w:val="center"/>
                </w:tcPr>
                <w:p w14:paraId="5DD91E9C">
                  <w:pPr>
                    <w:spacing w:line="240" w:lineRule="auto"/>
                    <w:ind w:firstLine="0" w:firstLineChars="0"/>
                    <w:jc w:val="center"/>
                    <w:rPr>
                      <w:sz w:val="21"/>
                      <w:szCs w:val="21"/>
                    </w:rPr>
                  </w:pPr>
                  <w:r>
                    <w:rPr>
                      <w:rFonts w:hint="eastAsia"/>
                      <w:sz w:val="21"/>
                      <w:szCs w:val="21"/>
                    </w:rPr>
                    <w:t>昆明市生态环境局寻甸分局</w:t>
                  </w:r>
                </w:p>
              </w:tc>
              <w:tc>
                <w:tcPr>
                  <w:tcW w:w="4195" w:type="dxa"/>
                  <w:vAlign w:val="center"/>
                </w:tcPr>
                <w:p w14:paraId="35785A1B">
                  <w:pPr>
                    <w:spacing w:line="240" w:lineRule="auto"/>
                    <w:ind w:firstLine="0" w:firstLineChars="0"/>
                    <w:rPr>
                      <w:sz w:val="21"/>
                      <w:szCs w:val="21"/>
                    </w:rPr>
                  </w:pPr>
                  <w:r>
                    <w:rPr>
                      <w:rFonts w:hint="eastAsia"/>
                      <w:sz w:val="21"/>
                      <w:szCs w:val="21"/>
                    </w:rPr>
                    <w:t>（1）建设单位应严格按照环评及批复要求建设相应环保设施，并进行自主验收；</w:t>
                  </w:r>
                </w:p>
                <w:p w14:paraId="7899BA5E">
                  <w:pPr>
                    <w:spacing w:line="240" w:lineRule="auto"/>
                    <w:ind w:firstLine="0" w:firstLineChars="0"/>
                    <w:rPr>
                      <w:sz w:val="21"/>
                      <w:szCs w:val="21"/>
                    </w:rPr>
                  </w:pPr>
                  <w:r>
                    <w:rPr>
                      <w:rFonts w:hint="eastAsia"/>
                      <w:sz w:val="21"/>
                      <w:szCs w:val="21"/>
                    </w:rPr>
                    <w:t>（2）制定项目运营期环境管理计划，根据项目的环境保护设施及措施，拟定项目运营期环境管理的具体内容。</w:t>
                  </w:r>
                </w:p>
                <w:p w14:paraId="712EF334">
                  <w:pPr>
                    <w:spacing w:line="240" w:lineRule="auto"/>
                    <w:ind w:firstLine="0" w:firstLineChars="0"/>
                    <w:rPr>
                      <w:sz w:val="21"/>
                      <w:szCs w:val="21"/>
                    </w:rPr>
                  </w:pPr>
                  <w:r>
                    <w:rPr>
                      <w:rFonts w:hint="eastAsia"/>
                      <w:sz w:val="21"/>
                      <w:szCs w:val="21"/>
                    </w:rPr>
                    <w:t>（3）定期对环保措施的正常情况和实际效果，以及污染物达标排放情况进行检查，如废气处理设施、污水处理设施是否正常运行，厂界噪声是否达标等；及时处理和解决临时出现的环境污染事件和环保设施故障，并提出改进措施。</w:t>
                  </w:r>
                </w:p>
                <w:p w14:paraId="05800A0F">
                  <w:pPr>
                    <w:spacing w:line="240" w:lineRule="auto"/>
                    <w:ind w:firstLine="0" w:firstLineChars="0"/>
                    <w:rPr>
                      <w:sz w:val="21"/>
                      <w:szCs w:val="21"/>
                    </w:rPr>
                  </w:pPr>
                  <w:r>
                    <w:rPr>
                      <w:rFonts w:hint="eastAsia"/>
                      <w:sz w:val="21"/>
                      <w:szCs w:val="21"/>
                    </w:rPr>
                    <w:t>（4）在运营期间，做好管理记录及管理报告，落实环境监测的实施，审核有关环境监测报告等，按要求填写运营期环境统计表、污染源申报表等，并定期向主管部门汇报项目环保工作情况。</w:t>
                  </w:r>
                </w:p>
                <w:p w14:paraId="444B187F">
                  <w:pPr>
                    <w:spacing w:line="240" w:lineRule="auto"/>
                    <w:ind w:firstLine="0" w:firstLineChars="0"/>
                    <w:rPr>
                      <w:sz w:val="21"/>
                      <w:szCs w:val="21"/>
                    </w:rPr>
                  </w:pPr>
                  <w:r>
                    <w:rPr>
                      <w:rFonts w:hint="eastAsia"/>
                      <w:sz w:val="21"/>
                      <w:szCs w:val="21"/>
                    </w:rPr>
                    <w:t>（5）向社会公布项目基础信息，包括单位名称，组织机构代码、法定代表人、生产地址、联系方式、产品及规模、防治污染设施的建设和运行情况、排污信息（包括主要污染物及特征污染物的名称、排放方式、排放口数量和分布情况、排放浓度和总量、超标情况、执行标准等）、建设项目环境影响评价文件及行政许可文件、突发环境事件应急预案等。</w:t>
                  </w:r>
                </w:p>
              </w:tc>
            </w:tr>
          </w:tbl>
          <w:p w14:paraId="2B588C40">
            <w:pPr>
              <w:tabs>
                <w:tab w:val="left" w:pos="540"/>
                <w:tab w:val="left" w:pos="851"/>
                <w:tab w:val="left" w:pos="994"/>
                <w:tab w:val="left" w:pos="1260"/>
                <w:tab w:val="left" w:pos="3108"/>
                <w:tab w:val="left" w:pos="3150"/>
              </w:tabs>
              <w:ind w:firstLine="422"/>
              <w:rPr>
                <w:b/>
                <w:bCs/>
                <w:sz w:val="21"/>
                <w:szCs w:val="21"/>
              </w:rPr>
            </w:pPr>
            <w:r>
              <w:rPr>
                <w:rFonts w:hint="eastAsia"/>
                <w:b/>
                <w:bCs/>
                <w:sz w:val="21"/>
                <w:szCs w:val="21"/>
              </w:rPr>
              <w:t>2、排污许可管理</w:t>
            </w:r>
          </w:p>
          <w:p w14:paraId="7ACF1527">
            <w:pPr>
              <w:tabs>
                <w:tab w:val="left" w:pos="540"/>
                <w:tab w:val="left" w:pos="851"/>
                <w:tab w:val="left" w:pos="994"/>
                <w:tab w:val="left" w:pos="1260"/>
                <w:tab w:val="left" w:pos="3108"/>
                <w:tab w:val="left" w:pos="3150"/>
              </w:tabs>
              <w:ind w:firstLine="420"/>
              <w:rPr>
                <w:sz w:val="21"/>
                <w:szCs w:val="21"/>
              </w:rPr>
            </w:pPr>
            <w:r>
              <w:rPr>
                <w:rFonts w:hint="eastAsia"/>
                <w:sz w:val="21"/>
                <w:szCs w:val="21"/>
              </w:rPr>
              <w:t>根据生态环境部办公厅于2017年11月15日发布《关于做好环境影响评价制度与排污许可制衔接相关工作的通知》（环办环评[2017]84号）、《固定污染源排污许可分类管理名录（2019年版）》，本次项目自主行业类别属于“C3099  其他非金属矿物制品制造”，属于简化管理，按照相关要求进行填报。</w:t>
            </w:r>
          </w:p>
          <w:p w14:paraId="1DC4488B">
            <w:pPr>
              <w:tabs>
                <w:tab w:val="left" w:pos="540"/>
                <w:tab w:val="left" w:pos="851"/>
                <w:tab w:val="left" w:pos="994"/>
                <w:tab w:val="left" w:pos="1260"/>
                <w:tab w:val="left" w:pos="3108"/>
                <w:tab w:val="left" w:pos="3150"/>
              </w:tabs>
              <w:ind w:firstLine="422"/>
              <w:rPr>
                <w:b/>
                <w:bCs/>
                <w:sz w:val="21"/>
                <w:szCs w:val="21"/>
              </w:rPr>
            </w:pPr>
            <w:r>
              <w:rPr>
                <w:rFonts w:hint="eastAsia"/>
                <w:b/>
                <w:bCs/>
                <w:sz w:val="21"/>
                <w:szCs w:val="21"/>
              </w:rPr>
              <w:t>3、排污口设置要求</w:t>
            </w:r>
          </w:p>
          <w:p w14:paraId="4B36A544">
            <w:pPr>
              <w:tabs>
                <w:tab w:val="left" w:pos="540"/>
                <w:tab w:val="left" w:pos="851"/>
                <w:tab w:val="left" w:pos="994"/>
                <w:tab w:val="left" w:pos="1260"/>
                <w:tab w:val="left" w:pos="3108"/>
                <w:tab w:val="left" w:pos="3150"/>
              </w:tabs>
              <w:ind w:firstLine="420"/>
              <w:rPr>
                <w:sz w:val="21"/>
                <w:szCs w:val="21"/>
              </w:rPr>
            </w:pPr>
            <w:r>
              <w:rPr>
                <w:rFonts w:hint="eastAsia"/>
                <w:sz w:val="21"/>
                <w:szCs w:val="21"/>
              </w:rPr>
              <w:t>排污口是项目运营期污染物进入环境、污染环境的通道，强化总排口管理是实施污染物总量控制的基础工作之一，也是环境管理逐步实现污染物科学化、定量化的主要手段。项目排放口设置满足以下要求：</w:t>
            </w:r>
          </w:p>
          <w:p w14:paraId="0B3A1D66">
            <w:pPr>
              <w:tabs>
                <w:tab w:val="left" w:pos="540"/>
                <w:tab w:val="left" w:pos="851"/>
                <w:tab w:val="left" w:pos="994"/>
                <w:tab w:val="left" w:pos="1260"/>
                <w:tab w:val="left" w:pos="3108"/>
                <w:tab w:val="left" w:pos="3150"/>
              </w:tabs>
              <w:ind w:firstLine="420"/>
              <w:rPr>
                <w:sz w:val="21"/>
                <w:szCs w:val="21"/>
              </w:rPr>
            </w:pPr>
            <w:r>
              <w:rPr>
                <w:sz w:val="21"/>
                <w:szCs w:val="21"/>
              </w:rPr>
              <w:t>①</w:t>
            </w:r>
            <w:r>
              <w:rPr>
                <w:rFonts w:hint="eastAsia"/>
                <w:sz w:val="21"/>
                <w:szCs w:val="21"/>
              </w:rPr>
              <w:t>基本原则</w:t>
            </w:r>
          </w:p>
          <w:p w14:paraId="774C8114">
            <w:pPr>
              <w:tabs>
                <w:tab w:val="left" w:pos="540"/>
                <w:tab w:val="left" w:pos="851"/>
                <w:tab w:val="left" w:pos="994"/>
                <w:tab w:val="left" w:pos="1260"/>
                <w:tab w:val="left" w:pos="3108"/>
                <w:tab w:val="left" w:pos="3150"/>
              </w:tabs>
              <w:ind w:firstLine="420"/>
              <w:rPr>
                <w:sz w:val="21"/>
                <w:szCs w:val="21"/>
              </w:rPr>
            </w:pPr>
            <w:r>
              <w:rPr>
                <w:rFonts w:hint="eastAsia"/>
                <w:sz w:val="21"/>
                <w:szCs w:val="21"/>
              </w:rPr>
              <w:t>排污口设置必须规范化，便于采样与计量监测，便于日常现场监督检查。</w:t>
            </w:r>
          </w:p>
          <w:p w14:paraId="694E8EA9">
            <w:pPr>
              <w:tabs>
                <w:tab w:val="left" w:pos="540"/>
                <w:tab w:val="left" w:pos="851"/>
                <w:tab w:val="left" w:pos="994"/>
                <w:tab w:val="left" w:pos="1260"/>
                <w:tab w:val="left" w:pos="3108"/>
                <w:tab w:val="left" w:pos="3150"/>
              </w:tabs>
              <w:ind w:firstLine="420"/>
              <w:rPr>
                <w:sz w:val="21"/>
                <w:szCs w:val="21"/>
              </w:rPr>
            </w:pPr>
            <w:r>
              <w:rPr>
                <w:sz w:val="21"/>
                <w:szCs w:val="21"/>
              </w:rPr>
              <w:t>②</w:t>
            </w:r>
            <w:r>
              <w:rPr>
                <w:rFonts w:hint="eastAsia"/>
                <w:sz w:val="21"/>
                <w:szCs w:val="21"/>
              </w:rPr>
              <w:t>排污口技术要求</w:t>
            </w:r>
          </w:p>
          <w:p w14:paraId="736B40EC">
            <w:pPr>
              <w:tabs>
                <w:tab w:val="left" w:pos="540"/>
                <w:tab w:val="left" w:pos="851"/>
                <w:tab w:val="left" w:pos="994"/>
                <w:tab w:val="left" w:pos="1260"/>
                <w:tab w:val="left" w:pos="3108"/>
                <w:tab w:val="left" w:pos="3150"/>
              </w:tabs>
              <w:ind w:firstLine="420"/>
              <w:rPr>
                <w:sz w:val="21"/>
                <w:szCs w:val="21"/>
              </w:rPr>
            </w:pPr>
            <w:r>
              <w:rPr>
                <w:rFonts w:hint="eastAsia"/>
                <w:sz w:val="21"/>
                <w:szCs w:val="21"/>
              </w:rPr>
              <w:t>排污口的位置必须合理确定，按环监（1996）470号文件要求进行规范化管理；采样点设置应按《污染源监测技术规范》要求，设置在项目总排口处。</w:t>
            </w:r>
          </w:p>
          <w:p w14:paraId="0098BCE9">
            <w:pPr>
              <w:tabs>
                <w:tab w:val="left" w:pos="540"/>
                <w:tab w:val="left" w:pos="851"/>
                <w:tab w:val="left" w:pos="994"/>
                <w:tab w:val="left" w:pos="1260"/>
                <w:tab w:val="left" w:pos="3108"/>
                <w:tab w:val="left" w:pos="3150"/>
              </w:tabs>
              <w:ind w:firstLine="420"/>
              <w:rPr>
                <w:sz w:val="21"/>
                <w:szCs w:val="21"/>
              </w:rPr>
            </w:pPr>
            <w:r>
              <w:rPr>
                <w:sz w:val="21"/>
                <w:szCs w:val="21"/>
              </w:rPr>
              <w:t>③</w:t>
            </w:r>
            <w:r>
              <w:rPr>
                <w:rFonts w:hint="eastAsia"/>
                <w:sz w:val="21"/>
                <w:szCs w:val="21"/>
              </w:rPr>
              <w:t>排污口立标管理</w:t>
            </w:r>
          </w:p>
          <w:p w14:paraId="0CD7F725">
            <w:pPr>
              <w:tabs>
                <w:tab w:val="left" w:pos="540"/>
                <w:tab w:val="left" w:pos="851"/>
                <w:tab w:val="left" w:pos="994"/>
                <w:tab w:val="left" w:pos="1260"/>
                <w:tab w:val="left" w:pos="3108"/>
                <w:tab w:val="left" w:pos="3150"/>
              </w:tabs>
              <w:ind w:firstLine="420"/>
              <w:rPr>
                <w:sz w:val="21"/>
                <w:szCs w:val="21"/>
              </w:rPr>
            </w:pPr>
            <w:r>
              <w:rPr>
                <w:rFonts w:hint="eastAsia"/>
                <w:sz w:val="21"/>
                <w:szCs w:val="21"/>
              </w:rPr>
              <w:t>排污口应按国家《环境保护图形标志 排放口》（GB15562.1-1995）设置图形标志牌，并且应设置在采样点醒目位置，标志牌设置高度为其上缘距地面2m。危废贮存间按《危险废物识别标志设置技术规范》（HJ1276-2022）设置危险识别标志牌。</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1"/>
              <w:gridCol w:w="3156"/>
              <w:gridCol w:w="568"/>
              <w:gridCol w:w="3136"/>
            </w:tblGrid>
            <w:tr w14:paraId="2FEEC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dxa"/>
                  <w:vAlign w:val="center"/>
                </w:tcPr>
                <w:p w14:paraId="188C6092">
                  <w:pPr>
                    <w:spacing w:line="240" w:lineRule="auto"/>
                    <w:ind w:firstLine="0" w:firstLineChars="0"/>
                    <w:jc w:val="center"/>
                    <w:rPr>
                      <w:sz w:val="21"/>
                      <w:szCs w:val="21"/>
                    </w:rPr>
                  </w:pPr>
                  <w:r>
                    <w:rPr>
                      <w:rFonts w:hint="eastAsia"/>
                      <w:sz w:val="21"/>
                      <w:szCs w:val="21"/>
                    </w:rPr>
                    <w:t>废气排放口</w:t>
                  </w:r>
                </w:p>
              </w:tc>
              <w:tc>
                <w:tcPr>
                  <w:tcW w:w="3156" w:type="dxa"/>
                  <w:vAlign w:val="center"/>
                </w:tcPr>
                <w:p w14:paraId="2D255AF9">
                  <w:pPr>
                    <w:spacing w:line="240" w:lineRule="auto"/>
                    <w:ind w:firstLine="0" w:firstLineChars="0"/>
                    <w:jc w:val="center"/>
                    <w:rPr>
                      <w:sz w:val="21"/>
                      <w:szCs w:val="21"/>
                    </w:rPr>
                  </w:pPr>
                  <w:r>
                    <w:rPr>
                      <w:sz w:val="21"/>
                      <w:szCs w:val="21"/>
                    </w:rPr>
                    <w:drawing>
                      <wp:inline distT="0" distB="0" distL="0" distR="0">
                        <wp:extent cx="1854835" cy="1172210"/>
                        <wp:effectExtent l="0" t="0" r="12065" b="8890"/>
                        <wp:docPr id="1083" name="图片 2" descr="5c15e6bc5aa6ad0c2d16c95e02d7b54"/>
                        <wp:cNvGraphicFramePr/>
                        <a:graphic xmlns:a="http://schemas.openxmlformats.org/drawingml/2006/main">
                          <a:graphicData uri="http://schemas.openxmlformats.org/drawingml/2006/picture">
                            <pic:pic xmlns:pic="http://schemas.openxmlformats.org/drawingml/2006/picture">
                              <pic:nvPicPr>
                                <pic:cNvPr id="1083" name="图片 2" descr="5c15e6bc5aa6ad0c2d16c95e02d7b54"/>
                                <pic:cNvPicPr/>
                              </pic:nvPicPr>
                              <pic:blipFill>
                                <a:blip r:embed="rId20" cstate="print"/>
                                <a:srcRect/>
                                <a:stretch>
                                  <a:fillRect/>
                                </a:stretch>
                              </pic:blipFill>
                              <pic:spPr>
                                <a:xfrm>
                                  <a:off x="0" y="0"/>
                                  <a:ext cx="1854835" cy="1172210"/>
                                </a:xfrm>
                                <a:prstGeom prst="rect">
                                  <a:avLst/>
                                </a:prstGeom>
                              </pic:spPr>
                            </pic:pic>
                          </a:graphicData>
                        </a:graphic>
                      </wp:inline>
                    </w:drawing>
                  </w:r>
                </w:p>
              </w:tc>
              <w:tc>
                <w:tcPr>
                  <w:tcW w:w="568" w:type="dxa"/>
                  <w:vAlign w:val="center"/>
                </w:tcPr>
                <w:p w14:paraId="2D974528">
                  <w:pPr>
                    <w:spacing w:line="240" w:lineRule="auto"/>
                    <w:ind w:firstLine="0" w:firstLineChars="0"/>
                    <w:jc w:val="center"/>
                    <w:rPr>
                      <w:sz w:val="21"/>
                      <w:szCs w:val="21"/>
                    </w:rPr>
                  </w:pPr>
                  <w:r>
                    <w:rPr>
                      <w:rFonts w:hint="eastAsia"/>
                      <w:sz w:val="21"/>
                      <w:szCs w:val="21"/>
                    </w:rPr>
                    <w:t>危废贮存间</w:t>
                  </w:r>
                </w:p>
              </w:tc>
              <w:tc>
                <w:tcPr>
                  <w:tcW w:w="3136" w:type="dxa"/>
                  <w:vAlign w:val="center"/>
                </w:tcPr>
                <w:p w14:paraId="3750206A">
                  <w:pPr>
                    <w:spacing w:line="240" w:lineRule="auto"/>
                    <w:ind w:firstLine="0" w:firstLineChars="0"/>
                    <w:jc w:val="center"/>
                    <w:rPr>
                      <w:sz w:val="21"/>
                      <w:szCs w:val="21"/>
                    </w:rPr>
                  </w:pPr>
                  <w:r>
                    <w:drawing>
                      <wp:anchor distT="0" distB="0" distL="0" distR="0" simplePos="0" relativeHeight="251660288" behindDoc="0" locked="0" layoutInCell="1" allowOverlap="1">
                        <wp:simplePos x="0" y="0"/>
                        <wp:positionH relativeFrom="column">
                          <wp:posOffset>-4445</wp:posOffset>
                        </wp:positionH>
                        <wp:positionV relativeFrom="paragraph">
                          <wp:posOffset>145415</wp:posOffset>
                        </wp:positionV>
                        <wp:extent cx="1870710" cy="1273810"/>
                        <wp:effectExtent l="0" t="0" r="15240" b="2540"/>
                        <wp:wrapTopAndBottom/>
                        <wp:docPr id="1084" name="图片 4"/>
                        <wp:cNvGraphicFramePr/>
                        <a:graphic xmlns:a="http://schemas.openxmlformats.org/drawingml/2006/main">
                          <a:graphicData uri="http://schemas.openxmlformats.org/drawingml/2006/picture">
                            <pic:pic xmlns:pic="http://schemas.openxmlformats.org/drawingml/2006/picture">
                              <pic:nvPicPr>
                                <pic:cNvPr id="1084" name="图片 4"/>
                                <pic:cNvPicPr/>
                              </pic:nvPicPr>
                              <pic:blipFill>
                                <a:blip r:embed="rId21" cstate="print"/>
                                <a:srcRect/>
                                <a:stretch>
                                  <a:fillRect/>
                                </a:stretch>
                              </pic:blipFill>
                              <pic:spPr>
                                <a:xfrm>
                                  <a:off x="0" y="0"/>
                                  <a:ext cx="1870710" cy="1273810"/>
                                </a:xfrm>
                                <a:prstGeom prst="rect">
                                  <a:avLst/>
                                </a:prstGeom>
                                <a:ln>
                                  <a:noFill/>
                                </a:ln>
                              </pic:spPr>
                            </pic:pic>
                          </a:graphicData>
                        </a:graphic>
                      </wp:anchor>
                    </w:drawing>
                  </w:r>
                </w:p>
              </w:tc>
            </w:tr>
            <w:tr w14:paraId="7A8E4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dxa"/>
                  <w:vAlign w:val="center"/>
                </w:tcPr>
                <w:p w14:paraId="40607872">
                  <w:pPr>
                    <w:spacing w:line="240" w:lineRule="auto"/>
                    <w:ind w:firstLine="0" w:firstLineChars="0"/>
                    <w:jc w:val="center"/>
                    <w:rPr>
                      <w:sz w:val="21"/>
                      <w:szCs w:val="21"/>
                    </w:rPr>
                  </w:pPr>
                  <w:r>
                    <w:rPr>
                      <w:rFonts w:hint="eastAsia"/>
                      <w:sz w:val="21"/>
                      <w:szCs w:val="21"/>
                    </w:rPr>
                    <w:t>雨水排放口</w:t>
                  </w:r>
                </w:p>
              </w:tc>
              <w:tc>
                <w:tcPr>
                  <w:tcW w:w="6860" w:type="dxa"/>
                  <w:gridSpan w:val="3"/>
                  <w:vAlign w:val="center"/>
                </w:tcPr>
                <w:p w14:paraId="0A2CF3A2">
                  <w:pPr>
                    <w:spacing w:line="240" w:lineRule="auto"/>
                    <w:ind w:firstLine="0" w:firstLineChars="0"/>
                    <w:jc w:val="center"/>
                  </w:pPr>
                  <w:r>
                    <w:rPr>
                      <w:position w:val="-34"/>
                    </w:rPr>
                    <w:drawing>
                      <wp:inline distT="0" distB="0" distL="0" distR="0">
                        <wp:extent cx="1771015" cy="1097280"/>
                        <wp:effectExtent l="0" t="0" r="635" b="7620"/>
                        <wp:docPr id="306" name="IM 306"/>
                        <wp:cNvGraphicFramePr/>
                        <a:graphic xmlns:a="http://schemas.openxmlformats.org/drawingml/2006/main">
                          <a:graphicData uri="http://schemas.openxmlformats.org/drawingml/2006/picture">
                            <pic:pic xmlns:pic="http://schemas.openxmlformats.org/drawingml/2006/picture">
                              <pic:nvPicPr>
                                <pic:cNvPr id="306" name="IM 306"/>
                                <pic:cNvPicPr/>
                              </pic:nvPicPr>
                              <pic:blipFill>
                                <a:blip r:embed="rId22" cstate="print"/>
                                <a:stretch>
                                  <a:fillRect/>
                                </a:stretch>
                              </pic:blipFill>
                              <pic:spPr>
                                <a:xfrm>
                                  <a:off x="0" y="0"/>
                                  <a:ext cx="1771015" cy="1097280"/>
                                </a:xfrm>
                                <a:prstGeom prst="rect">
                                  <a:avLst/>
                                </a:prstGeom>
                              </pic:spPr>
                            </pic:pic>
                          </a:graphicData>
                        </a:graphic>
                      </wp:inline>
                    </w:drawing>
                  </w:r>
                </w:p>
              </w:tc>
            </w:tr>
          </w:tbl>
          <w:p w14:paraId="66906B5A">
            <w:pPr>
              <w:tabs>
                <w:tab w:val="left" w:pos="540"/>
                <w:tab w:val="left" w:pos="851"/>
                <w:tab w:val="left" w:pos="994"/>
                <w:tab w:val="left" w:pos="1260"/>
                <w:tab w:val="left" w:pos="3108"/>
                <w:tab w:val="left" w:pos="3150"/>
              </w:tabs>
              <w:ind w:firstLine="422"/>
              <w:rPr>
                <w:b/>
                <w:bCs/>
                <w:sz w:val="21"/>
                <w:szCs w:val="21"/>
              </w:rPr>
            </w:pPr>
            <w:r>
              <w:rPr>
                <w:rFonts w:hint="eastAsia"/>
                <w:b/>
                <w:bCs/>
                <w:sz w:val="21"/>
                <w:szCs w:val="21"/>
              </w:rPr>
              <w:t>4、竣工环境保护验收</w:t>
            </w:r>
          </w:p>
          <w:p w14:paraId="19B75F6D">
            <w:pPr>
              <w:tabs>
                <w:tab w:val="left" w:pos="540"/>
                <w:tab w:val="left" w:pos="851"/>
                <w:tab w:val="left" w:pos="994"/>
                <w:tab w:val="left" w:pos="1260"/>
                <w:tab w:val="left" w:pos="3108"/>
                <w:tab w:val="left" w:pos="3150"/>
              </w:tabs>
              <w:ind w:firstLine="420"/>
              <w:rPr>
                <w:sz w:val="21"/>
                <w:szCs w:val="21"/>
              </w:rPr>
            </w:pPr>
            <w:r>
              <w:rPr>
                <w:rFonts w:hint="eastAsia"/>
                <w:sz w:val="21"/>
                <w:szCs w:val="21"/>
              </w:rPr>
              <w:t>根据《建设项目竣工环境保护验收暂行办法》（国环评规[2017]4号），建设单位是项目竣工环境保护验收的责任主体，建设单位应当如实查验、监测、记载建设项目环境保护设施的建设和调试情况，组织对配套建设的环境保护设施进行验收，编制验收报告，公开相关信息，接受社会监督，并对验收内容、结论和所公开信息的真实性、准确性和完整性负责，不得在验收过程中弄虚作假。</w:t>
            </w:r>
          </w:p>
          <w:p w14:paraId="2E77D764">
            <w:pPr>
              <w:tabs>
                <w:tab w:val="left" w:pos="540"/>
                <w:tab w:val="left" w:pos="851"/>
                <w:tab w:val="left" w:pos="994"/>
                <w:tab w:val="left" w:pos="1260"/>
                <w:tab w:val="left" w:pos="3108"/>
                <w:tab w:val="left" w:pos="3150"/>
              </w:tabs>
              <w:ind w:firstLine="420"/>
              <w:rPr>
                <w:sz w:val="21"/>
                <w:szCs w:val="21"/>
              </w:rPr>
            </w:pPr>
            <w:r>
              <w:rPr>
                <w:rFonts w:hint="eastAsia"/>
                <w:sz w:val="21"/>
                <w:szCs w:val="21"/>
              </w:rPr>
              <w:t>项目在完成环评审批后，应严格按照本评价“环境保护措施监督检查清单”和批复要求完善项目环保设施和措施，除需要取得排污许可证的水和大气污染防治设施外，其他环境保护设施的验收期限一般不超过3个月；需要对该类环境保护设施进行调试或者整改的，验收期限可以适当延期，但最长不超过12个月。</w:t>
            </w:r>
          </w:p>
          <w:p w14:paraId="23BFE0BE">
            <w:pPr>
              <w:tabs>
                <w:tab w:val="left" w:pos="540"/>
                <w:tab w:val="left" w:pos="851"/>
                <w:tab w:val="left" w:pos="994"/>
                <w:tab w:val="left" w:pos="1260"/>
                <w:tab w:val="left" w:pos="3108"/>
                <w:tab w:val="left" w:pos="3150"/>
              </w:tabs>
              <w:ind w:firstLine="420"/>
              <w:rPr>
                <w:sz w:val="21"/>
                <w:szCs w:val="21"/>
              </w:rPr>
            </w:pPr>
            <w:r>
              <w:rPr>
                <w:rFonts w:hint="eastAsia"/>
                <w:sz w:val="21"/>
                <w:szCs w:val="21"/>
              </w:rPr>
              <w:t>该项目竣工验收内容见表5-2。</w:t>
            </w:r>
          </w:p>
          <w:p w14:paraId="0D7FC83E">
            <w:pPr>
              <w:pStyle w:val="51"/>
              <w:widowControl/>
              <w:spacing w:line="360" w:lineRule="auto"/>
              <w:textAlignment w:val="baseline"/>
              <w:rPr>
                <w:rFonts w:hAnsi="Times New Roman"/>
                <w:bCs/>
                <w:kern w:val="2"/>
                <w:sz w:val="21"/>
                <w:szCs w:val="21"/>
              </w:rPr>
            </w:pPr>
            <w:r>
              <w:rPr>
                <w:rFonts w:hAnsi="Times New Roman"/>
                <w:bCs/>
                <w:kern w:val="2"/>
                <w:sz w:val="21"/>
                <w:szCs w:val="21"/>
              </w:rPr>
              <w:t xml:space="preserve">表5-2 </w:t>
            </w:r>
            <w:r>
              <w:rPr>
                <w:rFonts w:hint="eastAsia" w:hAnsi="Times New Roman"/>
                <w:bCs/>
                <w:kern w:val="2"/>
                <w:sz w:val="21"/>
                <w:szCs w:val="21"/>
              </w:rPr>
              <w:t xml:space="preserve"> </w:t>
            </w:r>
            <w:r>
              <w:rPr>
                <w:rFonts w:hAnsi="Times New Roman"/>
                <w:bCs/>
                <w:kern w:val="2"/>
                <w:sz w:val="21"/>
                <w:szCs w:val="21"/>
              </w:rPr>
              <w:t>项目营运期竣工验收一览表</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5"/>
              <w:gridCol w:w="1154"/>
              <w:gridCol w:w="1318"/>
              <w:gridCol w:w="1949"/>
              <w:gridCol w:w="2671"/>
            </w:tblGrid>
            <w:tr w14:paraId="5ACC7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exact"/>
                <w:jc w:val="center"/>
              </w:trPr>
              <w:tc>
                <w:tcPr>
                  <w:tcW w:w="0" w:type="auto"/>
                  <w:vAlign w:val="center"/>
                </w:tcPr>
                <w:p w14:paraId="20E42BB6">
                  <w:pPr>
                    <w:autoSpaceDE w:val="0"/>
                    <w:autoSpaceDN w:val="0"/>
                    <w:spacing w:line="240" w:lineRule="auto"/>
                    <w:ind w:firstLine="0" w:firstLineChars="0"/>
                    <w:jc w:val="center"/>
                    <w:rPr>
                      <w:b/>
                      <w:bCs/>
                      <w:sz w:val="21"/>
                      <w:szCs w:val="21"/>
                    </w:rPr>
                  </w:pPr>
                  <w:r>
                    <w:rPr>
                      <w:rFonts w:hint="eastAsia"/>
                      <w:b/>
                      <w:bCs/>
                      <w:sz w:val="21"/>
                      <w:szCs w:val="21"/>
                    </w:rPr>
                    <w:t>类别</w:t>
                  </w:r>
                </w:p>
              </w:tc>
              <w:tc>
                <w:tcPr>
                  <w:tcW w:w="1154" w:type="dxa"/>
                  <w:vAlign w:val="center"/>
                </w:tcPr>
                <w:p w14:paraId="17BB1EB6">
                  <w:pPr>
                    <w:autoSpaceDE w:val="0"/>
                    <w:autoSpaceDN w:val="0"/>
                    <w:spacing w:line="240" w:lineRule="auto"/>
                    <w:ind w:firstLine="0" w:firstLineChars="0"/>
                    <w:jc w:val="center"/>
                    <w:rPr>
                      <w:b/>
                      <w:bCs/>
                      <w:sz w:val="21"/>
                      <w:szCs w:val="21"/>
                    </w:rPr>
                  </w:pPr>
                  <w:r>
                    <w:rPr>
                      <w:rFonts w:hint="eastAsia"/>
                      <w:b/>
                      <w:bCs/>
                      <w:sz w:val="21"/>
                      <w:szCs w:val="21"/>
                    </w:rPr>
                    <w:t>污染源</w:t>
                  </w:r>
                </w:p>
              </w:tc>
              <w:tc>
                <w:tcPr>
                  <w:tcW w:w="1318" w:type="dxa"/>
                  <w:vAlign w:val="center"/>
                </w:tcPr>
                <w:p w14:paraId="2BA04024">
                  <w:pPr>
                    <w:autoSpaceDE w:val="0"/>
                    <w:autoSpaceDN w:val="0"/>
                    <w:spacing w:line="240" w:lineRule="auto"/>
                    <w:ind w:firstLine="0" w:firstLineChars="0"/>
                    <w:jc w:val="center"/>
                    <w:rPr>
                      <w:b/>
                      <w:bCs/>
                      <w:sz w:val="21"/>
                      <w:szCs w:val="21"/>
                    </w:rPr>
                  </w:pPr>
                  <w:r>
                    <w:rPr>
                      <w:rFonts w:hint="eastAsia"/>
                      <w:b/>
                      <w:bCs/>
                      <w:sz w:val="21"/>
                      <w:szCs w:val="21"/>
                    </w:rPr>
                    <w:t>污染物名称</w:t>
                  </w:r>
                </w:p>
              </w:tc>
              <w:tc>
                <w:tcPr>
                  <w:tcW w:w="1949" w:type="dxa"/>
                  <w:vAlign w:val="center"/>
                </w:tcPr>
                <w:p w14:paraId="34F0728B">
                  <w:pPr>
                    <w:autoSpaceDE w:val="0"/>
                    <w:autoSpaceDN w:val="0"/>
                    <w:spacing w:line="240" w:lineRule="auto"/>
                    <w:ind w:firstLine="0" w:firstLineChars="0"/>
                    <w:jc w:val="center"/>
                    <w:rPr>
                      <w:b/>
                      <w:bCs/>
                      <w:sz w:val="21"/>
                      <w:szCs w:val="21"/>
                    </w:rPr>
                  </w:pPr>
                  <w:r>
                    <w:rPr>
                      <w:rFonts w:hint="eastAsia"/>
                      <w:b/>
                      <w:bCs/>
                      <w:sz w:val="21"/>
                      <w:szCs w:val="21"/>
                    </w:rPr>
                    <w:t>验收内容</w:t>
                  </w:r>
                </w:p>
              </w:tc>
              <w:tc>
                <w:tcPr>
                  <w:tcW w:w="2671" w:type="dxa"/>
                  <w:vAlign w:val="center"/>
                </w:tcPr>
                <w:p w14:paraId="2FF52ED7">
                  <w:pPr>
                    <w:autoSpaceDE w:val="0"/>
                    <w:autoSpaceDN w:val="0"/>
                    <w:spacing w:line="240" w:lineRule="auto"/>
                    <w:ind w:firstLine="0" w:firstLineChars="0"/>
                    <w:jc w:val="center"/>
                    <w:rPr>
                      <w:b/>
                      <w:bCs/>
                      <w:sz w:val="21"/>
                      <w:szCs w:val="21"/>
                    </w:rPr>
                  </w:pPr>
                  <w:r>
                    <w:rPr>
                      <w:rFonts w:hint="eastAsia"/>
                      <w:b/>
                      <w:bCs/>
                      <w:sz w:val="21"/>
                      <w:szCs w:val="21"/>
                    </w:rPr>
                    <w:t>验收标准</w:t>
                  </w:r>
                </w:p>
              </w:tc>
            </w:tr>
            <w:tr w14:paraId="2A985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restart"/>
                  <w:vAlign w:val="center"/>
                </w:tcPr>
                <w:p w14:paraId="6DFA8094">
                  <w:pPr>
                    <w:autoSpaceDE w:val="0"/>
                    <w:autoSpaceDN w:val="0"/>
                    <w:spacing w:line="240" w:lineRule="auto"/>
                    <w:ind w:firstLine="0" w:firstLineChars="0"/>
                    <w:rPr>
                      <w:sz w:val="21"/>
                      <w:szCs w:val="21"/>
                    </w:rPr>
                  </w:pPr>
                  <w:r>
                    <w:rPr>
                      <w:rFonts w:hint="eastAsia"/>
                      <w:sz w:val="21"/>
                      <w:szCs w:val="21"/>
                    </w:rPr>
                    <w:t>废气</w:t>
                  </w:r>
                </w:p>
              </w:tc>
              <w:tc>
                <w:tcPr>
                  <w:tcW w:w="1154" w:type="dxa"/>
                  <w:vAlign w:val="center"/>
                </w:tcPr>
                <w:p w14:paraId="67504551">
                  <w:pPr>
                    <w:autoSpaceDE w:val="0"/>
                    <w:autoSpaceDN w:val="0"/>
                    <w:spacing w:line="240" w:lineRule="auto"/>
                    <w:ind w:firstLine="0" w:firstLineChars="0"/>
                    <w:jc w:val="center"/>
                    <w:rPr>
                      <w:sz w:val="21"/>
                      <w:szCs w:val="21"/>
                    </w:rPr>
                  </w:pPr>
                  <w:r>
                    <w:rPr>
                      <w:sz w:val="21"/>
                      <w:szCs w:val="21"/>
                    </w:rPr>
                    <w:t>DA00</w:t>
                  </w:r>
                  <w:r>
                    <w:rPr>
                      <w:rFonts w:hint="eastAsia"/>
                      <w:sz w:val="21"/>
                      <w:szCs w:val="21"/>
                    </w:rPr>
                    <w:t>（烘干烟粉尘，筛分、提升、计量粉尘）</w:t>
                  </w:r>
                </w:p>
              </w:tc>
              <w:tc>
                <w:tcPr>
                  <w:tcW w:w="1318" w:type="dxa"/>
                  <w:vAlign w:val="center"/>
                </w:tcPr>
                <w:p w14:paraId="0220E97C">
                  <w:pPr>
                    <w:autoSpaceDE w:val="0"/>
                    <w:autoSpaceDN w:val="0"/>
                    <w:spacing w:line="240" w:lineRule="auto"/>
                    <w:ind w:firstLine="0" w:firstLineChars="0"/>
                    <w:jc w:val="center"/>
                    <w:rPr>
                      <w:sz w:val="21"/>
                      <w:szCs w:val="21"/>
                    </w:rPr>
                  </w:pPr>
                  <w:r>
                    <w:rPr>
                      <w:rFonts w:hint="eastAsia"/>
                      <w:sz w:val="21"/>
                      <w:szCs w:val="21"/>
                    </w:rPr>
                    <w:t>颗粒物、SO</w:t>
                  </w:r>
                  <w:r>
                    <w:rPr>
                      <w:rFonts w:hint="eastAsia"/>
                      <w:sz w:val="21"/>
                      <w:szCs w:val="21"/>
                      <w:vertAlign w:val="subscript"/>
                    </w:rPr>
                    <w:t>2</w:t>
                  </w:r>
                  <w:r>
                    <w:rPr>
                      <w:rFonts w:hint="eastAsia"/>
                      <w:sz w:val="21"/>
                      <w:szCs w:val="21"/>
                    </w:rPr>
                    <w:t>、NOx</w:t>
                  </w:r>
                </w:p>
              </w:tc>
              <w:tc>
                <w:tcPr>
                  <w:tcW w:w="1949" w:type="dxa"/>
                  <w:vAlign w:val="center"/>
                </w:tcPr>
                <w:p w14:paraId="4D3EE823">
                  <w:pPr>
                    <w:autoSpaceDE w:val="0"/>
                    <w:autoSpaceDN w:val="0"/>
                    <w:spacing w:line="240" w:lineRule="auto"/>
                    <w:ind w:firstLine="0" w:firstLineChars="0"/>
                    <w:jc w:val="center"/>
                    <w:rPr>
                      <w:sz w:val="21"/>
                      <w:szCs w:val="21"/>
                    </w:rPr>
                  </w:pPr>
                  <w:r>
                    <w:rPr>
                      <w:rFonts w:hint="eastAsia"/>
                      <w:kern w:val="0"/>
                      <w:sz w:val="21"/>
                      <w:szCs w:val="21"/>
                    </w:rPr>
                    <w:t>密闭管道</w:t>
                  </w:r>
                  <w:r>
                    <w:rPr>
                      <w:kern w:val="0"/>
                      <w:sz w:val="21"/>
                      <w:szCs w:val="21"/>
                    </w:rPr>
                    <w:t>收集后进入</w:t>
                  </w:r>
                  <w:r>
                    <w:rPr>
                      <w:rStyle w:val="73"/>
                      <w:rFonts w:hint="default" w:ascii="Times New Roman" w:hAnsi="Times New Roman" w:cs="Times New Roman"/>
                      <w:color w:val="auto"/>
                    </w:rPr>
                    <w:t>布袋除尘器处理</w:t>
                  </w:r>
                  <w:r>
                    <w:rPr>
                      <w:rStyle w:val="73"/>
                      <w:rFonts w:hint="default" w:cs="Times New Roman"/>
                      <w:color w:val="auto"/>
                    </w:rPr>
                    <w:t>，</w:t>
                  </w:r>
                  <w:r>
                    <w:rPr>
                      <w:rFonts w:hint="eastAsia"/>
                      <w:sz w:val="21"/>
                      <w:szCs w:val="21"/>
                    </w:rPr>
                    <w:t>后通过1根15m高排气筒排放</w:t>
                  </w:r>
                </w:p>
              </w:tc>
              <w:tc>
                <w:tcPr>
                  <w:tcW w:w="2671" w:type="dxa"/>
                  <w:vAlign w:val="center"/>
                </w:tcPr>
                <w:p w14:paraId="3D7662EB">
                  <w:pPr>
                    <w:autoSpaceDE w:val="0"/>
                    <w:autoSpaceDN w:val="0"/>
                    <w:spacing w:line="240" w:lineRule="auto"/>
                    <w:ind w:firstLine="0" w:firstLineChars="0"/>
                    <w:jc w:val="center"/>
                    <w:rPr>
                      <w:sz w:val="21"/>
                      <w:szCs w:val="21"/>
                    </w:rPr>
                  </w:pPr>
                  <w:r>
                    <w:rPr>
                      <w:rFonts w:hint="eastAsia"/>
                      <w:sz w:val="21"/>
                      <w:szCs w:val="21"/>
                    </w:rPr>
                    <w:t>颗粒物和</w:t>
                  </w:r>
                  <w:r>
                    <w:rPr>
                      <w:sz w:val="21"/>
                      <w:szCs w:val="21"/>
                    </w:rPr>
                    <w:t>氮氧化物</w:t>
                  </w:r>
                  <w:r>
                    <w:rPr>
                      <w:rFonts w:hint="eastAsia"/>
                      <w:sz w:val="21"/>
                      <w:szCs w:val="21"/>
                    </w:rPr>
                    <w:t>执行</w:t>
                  </w:r>
                  <w:r>
                    <w:rPr>
                      <w:sz w:val="21"/>
                      <w:szCs w:val="21"/>
                    </w:rPr>
                    <w:t>《大气污染物综合排放标准》（GB16297-1996）表2中二级标准</w:t>
                  </w:r>
                  <w:r>
                    <w:rPr>
                      <w:rFonts w:hint="eastAsia"/>
                      <w:sz w:val="21"/>
                      <w:szCs w:val="21"/>
                    </w:rPr>
                    <w:t>，SO</w:t>
                  </w:r>
                  <w:r>
                    <w:rPr>
                      <w:rFonts w:hint="eastAsia"/>
                      <w:sz w:val="21"/>
                      <w:szCs w:val="21"/>
                      <w:vertAlign w:val="subscript"/>
                    </w:rPr>
                    <w:t>2</w:t>
                  </w:r>
                  <w:r>
                    <w:rPr>
                      <w:rFonts w:hint="eastAsia"/>
                      <w:sz w:val="21"/>
                      <w:szCs w:val="21"/>
                    </w:rPr>
                    <w:t>执行</w:t>
                  </w:r>
                  <w:r>
                    <w:rPr>
                      <w:sz w:val="21"/>
                      <w:szCs w:val="21"/>
                    </w:rPr>
                    <w:t>《工业炉窑大气污染物排放标准》（GB9078-1996）</w:t>
                  </w:r>
                </w:p>
              </w:tc>
            </w:tr>
            <w:tr w14:paraId="033FC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79C32FCF">
                  <w:pPr>
                    <w:autoSpaceDE w:val="0"/>
                    <w:autoSpaceDN w:val="0"/>
                    <w:spacing w:line="240" w:lineRule="auto"/>
                    <w:ind w:firstLine="0" w:firstLineChars="0"/>
                    <w:rPr>
                      <w:sz w:val="21"/>
                      <w:szCs w:val="21"/>
                    </w:rPr>
                  </w:pPr>
                </w:p>
              </w:tc>
              <w:tc>
                <w:tcPr>
                  <w:tcW w:w="1154" w:type="dxa"/>
                  <w:vAlign w:val="center"/>
                </w:tcPr>
                <w:p w14:paraId="69D0D18D">
                  <w:pPr>
                    <w:autoSpaceDE w:val="0"/>
                    <w:autoSpaceDN w:val="0"/>
                    <w:spacing w:line="240" w:lineRule="auto"/>
                    <w:ind w:firstLine="0" w:firstLineChars="0"/>
                    <w:jc w:val="center"/>
                    <w:rPr>
                      <w:sz w:val="21"/>
                      <w:szCs w:val="21"/>
                    </w:rPr>
                  </w:pPr>
                  <w:r>
                    <w:rPr>
                      <w:sz w:val="21"/>
                      <w:szCs w:val="21"/>
                    </w:rPr>
                    <w:t>DA002</w:t>
                  </w:r>
                  <w:r>
                    <w:rPr>
                      <w:rFonts w:hint="eastAsia"/>
                      <w:sz w:val="21"/>
                      <w:szCs w:val="21"/>
                    </w:rPr>
                    <w:t>导热油炉</w:t>
                  </w:r>
                </w:p>
              </w:tc>
              <w:tc>
                <w:tcPr>
                  <w:tcW w:w="1318" w:type="dxa"/>
                  <w:vAlign w:val="center"/>
                </w:tcPr>
                <w:p w14:paraId="03918B7E">
                  <w:pPr>
                    <w:autoSpaceDE w:val="0"/>
                    <w:autoSpaceDN w:val="0"/>
                    <w:spacing w:line="240" w:lineRule="auto"/>
                    <w:ind w:firstLine="0" w:firstLineChars="0"/>
                    <w:jc w:val="center"/>
                    <w:rPr>
                      <w:sz w:val="21"/>
                      <w:szCs w:val="21"/>
                    </w:rPr>
                  </w:pPr>
                  <w:r>
                    <w:rPr>
                      <w:rFonts w:hint="eastAsia"/>
                      <w:sz w:val="21"/>
                      <w:szCs w:val="21"/>
                    </w:rPr>
                    <w:t>颗粒物、SO</w:t>
                  </w:r>
                  <w:r>
                    <w:rPr>
                      <w:rFonts w:hint="eastAsia"/>
                      <w:sz w:val="21"/>
                      <w:szCs w:val="21"/>
                      <w:vertAlign w:val="subscript"/>
                    </w:rPr>
                    <w:t>2</w:t>
                  </w:r>
                  <w:r>
                    <w:rPr>
                      <w:rFonts w:hint="eastAsia"/>
                      <w:sz w:val="21"/>
                      <w:szCs w:val="21"/>
                    </w:rPr>
                    <w:t>、NOx、林格曼黑度</w:t>
                  </w:r>
                </w:p>
              </w:tc>
              <w:tc>
                <w:tcPr>
                  <w:tcW w:w="1949" w:type="dxa"/>
                  <w:vAlign w:val="center"/>
                </w:tcPr>
                <w:p w14:paraId="37AF5A7F">
                  <w:pPr>
                    <w:autoSpaceDE w:val="0"/>
                    <w:autoSpaceDN w:val="0"/>
                    <w:spacing w:line="240" w:lineRule="auto"/>
                    <w:ind w:firstLine="0" w:firstLineChars="0"/>
                    <w:jc w:val="center"/>
                    <w:rPr>
                      <w:sz w:val="21"/>
                      <w:szCs w:val="21"/>
                    </w:rPr>
                  </w:pPr>
                  <w:r>
                    <w:rPr>
                      <w:rFonts w:hint="eastAsia"/>
                      <w:sz w:val="21"/>
                      <w:szCs w:val="21"/>
                    </w:rPr>
                    <w:t>经</w:t>
                  </w:r>
                  <w:r>
                    <w:rPr>
                      <w:rFonts w:hint="eastAsia"/>
                      <w:color w:val="000000" w:themeColor="text1"/>
                      <w:sz w:val="21"/>
                      <w:szCs w:val="21"/>
                      <w14:textFill>
                        <w14:solidFill>
                          <w14:schemeClr w14:val="tx1"/>
                        </w14:solidFill>
                      </w14:textFill>
                    </w:rPr>
                    <w:t>15m高的</w:t>
                  </w:r>
                  <w:r>
                    <w:rPr>
                      <w:rFonts w:hint="eastAsia"/>
                      <w:sz w:val="21"/>
                      <w:szCs w:val="21"/>
                    </w:rPr>
                    <w:t>排气筒排放</w:t>
                  </w:r>
                </w:p>
              </w:tc>
              <w:tc>
                <w:tcPr>
                  <w:tcW w:w="2671" w:type="dxa"/>
                  <w:vAlign w:val="center"/>
                </w:tcPr>
                <w:p w14:paraId="39328369">
                  <w:pPr>
                    <w:autoSpaceDE w:val="0"/>
                    <w:autoSpaceDN w:val="0"/>
                    <w:spacing w:line="240" w:lineRule="auto"/>
                    <w:ind w:firstLine="0" w:firstLineChars="0"/>
                    <w:jc w:val="center"/>
                    <w:rPr>
                      <w:sz w:val="21"/>
                      <w:szCs w:val="21"/>
                    </w:rPr>
                  </w:pPr>
                  <w:r>
                    <w:rPr>
                      <w:sz w:val="21"/>
                      <w:szCs w:val="21"/>
                    </w:rPr>
                    <w:t>《锅炉大气污染物排放标准》（GB13271-2014）</w:t>
                  </w:r>
                </w:p>
              </w:tc>
            </w:tr>
            <w:tr w14:paraId="075E5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527D738C">
                  <w:pPr>
                    <w:autoSpaceDE w:val="0"/>
                    <w:autoSpaceDN w:val="0"/>
                    <w:spacing w:line="240" w:lineRule="auto"/>
                    <w:ind w:firstLine="0" w:firstLineChars="0"/>
                    <w:rPr>
                      <w:sz w:val="21"/>
                      <w:szCs w:val="21"/>
                    </w:rPr>
                  </w:pPr>
                </w:p>
              </w:tc>
              <w:tc>
                <w:tcPr>
                  <w:tcW w:w="1154" w:type="dxa"/>
                  <w:vAlign w:val="center"/>
                </w:tcPr>
                <w:p w14:paraId="3322E43B">
                  <w:pPr>
                    <w:autoSpaceDE w:val="0"/>
                    <w:autoSpaceDN w:val="0"/>
                    <w:spacing w:line="240" w:lineRule="auto"/>
                    <w:ind w:firstLine="0" w:firstLineChars="0"/>
                    <w:jc w:val="center"/>
                    <w:rPr>
                      <w:sz w:val="21"/>
                      <w:szCs w:val="21"/>
                    </w:rPr>
                  </w:pPr>
                  <w:r>
                    <w:rPr>
                      <w:sz w:val="21"/>
                      <w:szCs w:val="21"/>
                    </w:rPr>
                    <w:t>DA00</w:t>
                  </w:r>
                  <w:r>
                    <w:rPr>
                      <w:rFonts w:hint="eastAsia"/>
                      <w:sz w:val="21"/>
                      <w:szCs w:val="21"/>
                    </w:rPr>
                    <w:t>3沥青储罐、出料口</w:t>
                  </w:r>
                </w:p>
              </w:tc>
              <w:tc>
                <w:tcPr>
                  <w:tcW w:w="1318" w:type="dxa"/>
                  <w:vAlign w:val="center"/>
                </w:tcPr>
                <w:p w14:paraId="285271CA">
                  <w:pPr>
                    <w:autoSpaceDE w:val="0"/>
                    <w:autoSpaceDN w:val="0"/>
                    <w:spacing w:line="240" w:lineRule="auto"/>
                    <w:ind w:firstLine="0" w:firstLineChars="0"/>
                    <w:jc w:val="center"/>
                    <w:rPr>
                      <w:sz w:val="21"/>
                      <w:szCs w:val="21"/>
                    </w:rPr>
                  </w:pPr>
                  <w:r>
                    <w:rPr>
                      <w:sz w:val="21"/>
                      <w:szCs w:val="21"/>
                    </w:rPr>
                    <w:t>沥青烟、苯并[a]芘</w:t>
                  </w:r>
                  <w:r>
                    <w:rPr>
                      <w:rFonts w:hint="eastAsia"/>
                      <w:sz w:val="21"/>
                      <w:szCs w:val="21"/>
                    </w:rPr>
                    <w:t>、</w:t>
                  </w:r>
                  <w:r>
                    <w:rPr>
                      <w:sz w:val="21"/>
                      <w:szCs w:val="21"/>
                    </w:rPr>
                    <w:t>非甲烷总烃</w:t>
                  </w:r>
                </w:p>
              </w:tc>
              <w:tc>
                <w:tcPr>
                  <w:tcW w:w="1949" w:type="dxa"/>
                  <w:vAlign w:val="center"/>
                </w:tcPr>
                <w:p w14:paraId="4A2A941C">
                  <w:pPr>
                    <w:autoSpaceDE w:val="0"/>
                    <w:autoSpaceDN w:val="0"/>
                    <w:spacing w:line="240" w:lineRule="auto"/>
                    <w:ind w:firstLine="0" w:firstLineChars="0"/>
                    <w:jc w:val="center"/>
                    <w:rPr>
                      <w:sz w:val="21"/>
                      <w:szCs w:val="21"/>
                    </w:rPr>
                  </w:pPr>
                  <w:r>
                    <w:rPr>
                      <w:rFonts w:hint="eastAsia"/>
                      <w:sz w:val="21"/>
                      <w:szCs w:val="21"/>
                    </w:rPr>
                    <w:t>沥青储罐废气由管道收集、出料口废气由集气罩收集，一同引至“电捕焦油器+三级活性炭吸附装置”处理，后经15m高排气筒排放</w:t>
                  </w:r>
                </w:p>
              </w:tc>
              <w:tc>
                <w:tcPr>
                  <w:tcW w:w="2671" w:type="dxa"/>
                  <w:vAlign w:val="center"/>
                </w:tcPr>
                <w:p w14:paraId="3B34A199">
                  <w:pPr>
                    <w:autoSpaceDE w:val="0"/>
                    <w:autoSpaceDN w:val="0"/>
                    <w:spacing w:line="240" w:lineRule="auto"/>
                    <w:ind w:firstLine="0" w:firstLineChars="0"/>
                    <w:jc w:val="center"/>
                    <w:rPr>
                      <w:sz w:val="21"/>
                      <w:szCs w:val="21"/>
                    </w:rPr>
                  </w:pPr>
                  <w:r>
                    <w:rPr>
                      <w:sz w:val="21"/>
                      <w:szCs w:val="21"/>
                    </w:rPr>
                    <w:t>《大气污染物综合排放标准》（GB16297-1996）表2中二级标准</w:t>
                  </w:r>
                </w:p>
              </w:tc>
            </w:tr>
            <w:tr w14:paraId="0DACD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4316DB6E">
                  <w:pPr>
                    <w:autoSpaceDE w:val="0"/>
                    <w:autoSpaceDN w:val="0"/>
                    <w:spacing w:line="240" w:lineRule="auto"/>
                    <w:ind w:firstLine="0" w:firstLineChars="0"/>
                    <w:rPr>
                      <w:sz w:val="21"/>
                      <w:szCs w:val="21"/>
                    </w:rPr>
                  </w:pPr>
                </w:p>
              </w:tc>
              <w:tc>
                <w:tcPr>
                  <w:tcW w:w="1154" w:type="dxa"/>
                  <w:vAlign w:val="center"/>
                </w:tcPr>
                <w:p w14:paraId="7B5E3162">
                  <w:pPr>
                    <w:autoSpaceDE w:val="0"/>
                    <w:autoSpaceDN w:val="0"/>
                    <w:spacing w:line="240" w:lineRule="auto"/>
                    <w:ind w:firstLine="0" w:firstLineChars="0"/>
                    <w:jc w:val="center"/>
                    <w:rPr>
                      <w:sz w:val="21"/>
                      <w:szCs w:val="21"/>
                    </w:rPr>
                  </w:pPr>
                  <w:r>
                    <w:rPr>
                      <w:sz w:val="21"/>
                      <w:szCs w:val="21"/>
                    </w:rPr>
                    <w:t>沥</w:t>
                  </w:r>
                  <w:r>
                    <w:rPr>
                      <w:rFonts w:hint="eastAsia"/>
                      <w:sz w:val="21"/>
                    </w:rPr>
                    <w:t>砂石料卸料、装载机上料</w:t>
                  </w:r>
                </w:p>
              </w:tc>
              <w:tc>
                <w:tcPr>
                  <w:tcW w:w="1318" w:type="dxa"/>
                  <w:vAlign w:val="center"/>
                </w:tcPr>
                <w:p w14:paraId="028F298A">
                  <w:pPr>
                    <w:autoSpaceDE w:val="0"/>
                    <w:autoSpaceDN w:val="0"/>
                    <w:spacing w:line="240" w:lineRule="auto"/>
                    <w:ind w:firstLine="0" w:firstLineChars="0"/>
                    <w:jc w:val="center"/>
                    <w:rPr>
                      <w:sz w:val="21"/>
                      <w:szCs w:val="21"/>
                    </w:rPr>
                  </w:pPr>
                  <w:r>
                    <w:rPr>
                      <w:rFonts w:hint="eastAsia"/>
                      <w:sz w:val="21"/>
                      <w:szCs w:val="21"/>
                    </w:rPr>
                    <w:t>粉尘</w:t>
                  </w:r>
                </w:p>
              </w:tc>
              <w:tc>
                <w:tcPr>
                  <w:tcW w:w="1949" w:type="dxa"/>
                  <w:vAlign w:val="center"/>
                </w:tcPr>
                <w:p w14:paraId="255E3DCA">
                  <w:pPr>
                    <w:autoSpaceDE w:val="0"/>
                    <w:autoSpaceDN w:val="0"/>
                    <w:spacing w:line="240" w:lineRule="auto"/>
                    <w:ind w:firstLine="0" w:firstLineChars="0"/>
                    <w:jc w:val="center"/>
                    <w:rPr>
                      <w:sz w:val="21"/>
                      <w:szCs w:val="21"/>
                    </w:rPr>
                  </w:pPr>
                  <w:r>
                    <w:rPr>
                      <w:rFonts w:hint="eastAsia" w:eastAsia="Times New Roman"/>
                      <w:sz w:val="21"/>
                      <w:szCs w:val="21"/>
                    </w:rPr>
                    <w:t>原料仓三面封闭并设置顶棚，仓内设有水喷淋装置，在卸料、物料转移和上料过程进行喷淋降尘，保持物料表面薇湿</w:t>
                  </w:r>
                </w:p>
              </w:tc>
              <w:tc>
                <w:tcPr>
                  <w:tcW w:w="2671" w:type="dxa"/>
                  <w:vAlign w:val="center"/>
                </w:tcPr>
                <w:p w14:paraId="439726F9">
                  <w:pPr>
                    <w:autoSpaceDE w:val="0"/>
                    <w:autoSpaceDN w:val="0"/>
                    <w:spacing w:line="240" w:lineRule="auto"/>
                    <w:ind w:firstLine="0" w:firstLineChars="0"/>
                    <w:jc w:val="center"/>
                    <w:rPr>
                      <w:sz w:val="21"/>
                      <w:szCs w:val="21"/>
                    </w:rPr>
                  </w:pPr>
                  <w:r>
                    <w:rPr>
                      <w:sz w:val="21"/>
                      <w:szCs w:val="21"/>
                    </w:rPr>
                    <w:t>《大气污染物综合排放标准》（GB16297-1996）表2中</w:t>
                  </w:r>
                  <w:r>
                    <w:rPr>
                      <w:rFonts w:hint="eastAsia"/>
                      <w:sz w:val="21"/>
                      <w:szCs w:val="21"/>
                    </w:rPr>
                    <w:t>厂界无组织排放限值，非甲烷总烃同时满足《挥发性有机物无组织排放控制标准》（GB37822-2019）中无组织排放控制要求</w:t>
                  </w:r>
                </w:p>
              </w:tc>
            </w:tr>
            <w:tr w14:paraId="71D53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707AD9F8">
                  <w:pPr>
                    <w:autoSpaceDE w:val="0"/>
                    <w:autoSpaceDN w:val="0"/>
                    <w:spacing w:line="240" w:lineRule="auto"/>
                    <w:ind w:firstLine="0" w:firstLineChars="0"/>
                    <w:rPr>
                      <w:sz w:val="21"/>
                      <w:szCs w:val="21"/>
                    </w:rPr>
                  </w:pPr>
                </w:p>
              </w:tc>
              <w:tc>
                <w:tcPr>
                  <w:tcW w:w="1154" w:type="dxa"/>
                  <w:vAlign w:val="center"/>
                </w:tcPr>
                <w:p w14:paraId="49DFF65A">
                  <w:pPr>
                    <w:autoSpaceDE w:val="0"/>
                    <w:autoSpaceDN w:val="0"/>
                    <w:spacing w:line="240" w:lineRule="auto"/>
                    <w:ind w:firstLine="0" w:firstLineChars="0"/>
                    <w:jc w:val="center"/>
                    <w:rPr>
                      <w:sz w:val="21"/>
                      <w:szCs w:val="21"/>
                    </w:rPr>
                  </w:pPr>
                  <w:r>
                    <w:rPr>
                      <w:rFonts w:hint="eastAsia"/>
                      <w:sz w:val="21"/>
                      <w:szCs w:val="21"/>
                    </w:rPr>
                    <w:t>矿粉筒仓</w:t>
                  </w:r>
                </w:p>
              </w:tc>
              <w:tc>
                <w:tcPr>
                  <w:tcW w:w="1318" w:type="dxa"/>
                  <w:vAlign w:val="center"/>
                </w:tcPr>
                <w:p w14:paraId="50A268EE">
                  <w:pPr>
                    <w:autoSpaceDE w:val="0"/>
                    <w:autoSpaceDN w:val="0"/>
                    <w:spacing w:line="240" w:lineRule="auto"/>
                    <w:ind w:firstLine="0" w:firstLineChars="0"/>
                    <w:jc w:val="center"/>
                    <w:rPr>
                      <w:sz w:val="21"/>
                      <w:szCs w:val="21"/>
                    </w:rPr>
                  </w:pPr>
                  <w:r>
                    <w:rPr>
                      <w:rFonts w:hint="eastAsia"/>
                      <w:sz w:val="21"/>
                      <w:szCs w:val="21"/>
                    </w:rPr>
                    <w:t>粉尘</w:t>
                  </w:r>
                </w:p>
              </w:tc>
              <w:tc>
                <w:tcPr>
                  <w:tcW w:w="1949" w:type="dxa"/>
                  <w:vAlign w:val="center"/>
                </w:tcPr>
                <w:p w14:paraId="0C31CC43">
                  <w:pPr>
                    <w:autoSpaceDE w:val="0"/>
                    <w:autoSpaceDN w:val="0"/>
                    <w:spacing w:line="240" w:lineRule="auto"/>
                    <w:ind w:firstLine="0" w:firstLineChars="0"/>
                    <w:jc w:val="center"/>
                    <w:rPr>
                      <w:sz w:val="21"/>
                      <w:szCs w:val="21"/>
                    </w:rPr>
                  </w:pPr>
                  <w:r>
                    <w:rPr>
                      <w:rFonts w:hint="eastAsia"/>
                      <w:bCs/>
                      <w:sz w:val="21"/>
                      <w:szCs w:val="21"/>
                    </w:rPr>
                    <w:t>仓顶排气孔处设置1套脉冲布袋除尘器收集处理后无组织排放</w:t>
                  </w:r>
                </w:p>
              </w:tc>
              <w:tc>
                <w:tcPr>
                  <w:tcW w:w="2671" w:type="dxa"/>
                  <w:vMerge w:val="restart"/>
                  <w:vAlign w:val="center"/>
                </w:tcPr>
                <w:p w14:paraId="66B29C7B">
                  <w:pPr>
                    <w:autoSpaceDE w:val="0"/>
                    <w:autoSpaceDN w:val="0"/>
                    <w:spacing w:line="240" w:lineRule="auto"/>
                    <w:ind w:firstLine="0" w:firstLineChars="0"/>
                    <w:jc w:val="center"/>
                    <w:rPr>
                      <w:sz w:val="21"/>
                      <w:szCs w:val="21"/>
                    </w:rPr>
                  </w:pPr>
                  <w:r>
                    <w:rPr>
                      <w:sz w:val="21"/>
                      <w:szCs w:val="21"/>
                    </w:rPr>
                    <w:t>《大气污染物综合排放标准》（GB16297-1996）表2中</w:t>
                  </w:r>
                  <w:r>
                    <w:rPr>
                      <w:rFonts w:hint="eastAsia"/>
                      <w:sz w:val="21"/>
                      <w:szCs w:val="21"/>
                    </w:rPr>
                    <w:t>厂界无组织排放限值</w:t>
                  </w:r>
                </w:p>
              </w:tc>
            </w:tr>
            <w:tr w14:paraId="3C510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7D08D477">
                  <w:pPr>
                    <w:autoSpaceDE w:val="0"/>
                    <w:autoSpaceDN w:val="0"/>
                    <w:spacing w:line="240" w:lineRule="auto"/>
                    <w:ind w:firstLine="0" w:firstLineChars="0"/>
                    <w:rPr>
                      <w:sz w:val="21"/>
                      <w:szCs w:val="21"/>
                    </w:rPr>
                  </w:pPr>
                </w:p>
              </w:tc>
              <w:tc>
                <w:tcPr>
                  <w:tcW w:w="1154" w:type="dxa"/>
                  <w:vAlign w:val="center"/>
                </w:tcPr>
                <w:p w14:paraId="08AFE0F6">
                  <w:pPr>
                    <w:autoSpaceDE w:val="0"/>
                    <w:autoSpaceDN w:val="0"/>
                    <w:spacing w:line="240" w:lineRule="auto"/>
                    <w:ind w:firstLine="0" w:firstLineChars="0"/>
                    <w:jc w:val="center"/>
                    <w:rPr>
                      <w:sz w:val="21"/>
                      <w:szCs w:val="21"/>
                    </w:rPr>
                  </w:pPr>
                  <w:r>
                    <w:rPr>
                      <w:rFonts w:hint="eastAsia"/>
                      <w:sz w:val="21"/>
                      <w:szCs w:val="21"/>
                    </w:rPr>
                    <w:t>厂内运输</w:t>
                  </w:r>
                </w:p>
              </w:tc>
              <w:tc>
                <w:tcPr>
                  <w:tcW w:w="1318" w:type="dxa"/>
                  <w:vAlign w:val="center"/>
                </w:tcPr>
                <w:p w14:paraId="168D83F9">
                  <w:pPr>
                    <w:autoSpaceDE w:val="0"/>
                    <w:autoSpaceDN w:val="0"/>
                    <w:spacing w:line="240" w:lineRule="auto"/>
                    <w:ind w:firstLine="0" w:firstLineChars="0"/>
                    <w:jc w:val="center"/>
                    <w:rPr>
                      <w:sz w:val="21"/>
                      <w:szCs w:val="21"/>
                    </w:rPr>
                  </w:pPr>
                  <w:r>
                    <w:rPr>
                      <w:rFonts w:hint="eastAsia"/>
                      <w:sz w:val="21"/>
                      <w:szCs w:val="21"/>
                    </w:rPr>
                    <w:t>粉尘</w:t>
                  </w:r>
                </w:p>
              </w:tc>
              <w:tc>
                <w:tcPr>
                  <w:tcW w:w="1949" w:type="dxa"/>
                  <w:vAlign w:val="center"/>
                </w:tcPr>
                <w:p w14:paraId="3F16F4DC">
                  <w:pPr>
                    <w:autoSpaceDE w:val="0"/>
                    <w:autoSpaceDN w:val="0"/>
                    <w:spacing w:line="240" w:lineRule="auto"/>
                    <w:ind w:firstLine="0" w:firstLineChars="0"/>
                    <w:jc w:val="center"/>
                    <w:rPr>
                      <w:bCs/>
                      <w:sz w:val="21"/>
                      <w:szCs w:val="21"/>
                    </w:rPr>
                  </w:pPr>
                  <w:r>
                    <w:rPr>
                      <w:rFonts w:hint="eastAsia"/>
                      <w:bCs/>
                      <w:sz w:val="21"/>
                      <w:szCs w:val="21"/>
                    </w:rPr>
                    <w:t>厂区进行水泥道路地面硬化，每天2次定期清扫路面及洒水降尘</w:t>
                  </w:r>
                </w:p>
              </w:tc>
              <w:tc>
                <w:tcPr>
                  <w:tcW w:w="2671" w:type="dxa"/>
                  <w:vMerge w:val="continue"/>
                  <w:vAlign w:val="center"/>
                </w:tcPr>
                <w:p w14:paraId="2FD5F170">
                  <w:pPr>
                    <w:autoSpaceDE w:val="0"/>
                    <w:autoSpaceDN w:val="0"/>
                    <w:spacing w:line="240" w:lineRule="auto"/>
                    <w:ind w:firstLine="0" w:firstLineChars="0"/>
                    <w:jc w:val="center"/>
                    <w:rPr>
                      <w:sz w:val="21"/>
                      <w:szCs w:val="21"/>
                    </w:rPr>
                  </w:pPr>
                </w:p>
              </w:tc>
            </w:tr>
            <w:tr w14:paraId="0E475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restart"/>
                  <w:vAlign w:val="center"/>
                </w:tcPr>
                <w:p w14:paraId="1971AF6C">
                  <w:pPr>
                    <w:autoSpaceDE w:val="0"/>
                    <w:autoSpaceDN w:val="0"/>
                    <w:spacing w:line="240" w:lineRule="auto"/>
                    <w:ind w:firstLine="0" w:firstLineChars="0"/>
                    <w:rPr>
                      <w:sz w:val="21"/>
                      <w:szCs w:val="21"/>
                    </w:rPr>
                  </w:pPr>
                  <w:r>
                    <w:rPr>
                      <w:rFonts w:hint="eastAsia"/>
                      <w:sz w:val="21"/>
                      <w:szCs w:val="21"/>
                    </w:rPr>
                    <w:t>废水</w:t>
                  </w:r>
                </w:p>
              </w:tc>
              <w:tc>
                <w:tcPr>
                  <w:tcW w:w="1154" w:type="dxa"/>
                  <w:vAlign w:val="center"/>
                </w:tcPr>
                <w:p w14:paraId="4F132F1A">
                  <w:pPr>
                    <w:autoSpaceDE w:val="0"/>
                    <w:autoSpaceDN w:val="0"/>
                    <w:spacing w:line="240" w:lineRule="auto"/>
                    <w:ind w:firstLine="0" w:firstLineChars="0"/>
                    <w:jc w:val="center"/>
                    <w:rPr>
                      <w:sz w:val="21"/>
                      <w:szCs w:val="21"/>
                    </w:rPr>
                  </w:pPr>
                  <w:r>
                    <w:rPr>
                      <w:rFonts w:hint="eastAsia"/>
                      <w:sz w:val="21"/>
                      <w:szCs w:val="21"/>
                    </w:rPr>
                    <w:t>生活污水</w:t>
                  </w:r>
                </w:p>
              </w:tc>
              <w:tc>
                <w:tcPr>
                  <w:tcW w:w="1318" w:type="dxa"/>
                  <w:vAlign w:val="center"/>
                </w:tcPr>
                <w:p w14:paraId="62E773D8">
                  <w:pPr>
                    <w:autoSpaceDE w:val="0"/>
                    <w:autoSpaceDN w:val="0"/>
                    <w:spacing w:line="240" w:lineRule="auto"/>
                    <w:ind w:firstLine="0" w:firstLineChars="0"/>
                    <w:jc w:val="center"/>
                    <w:rPr>
                      <w:sz w:val="21"/>
                      <w:szCs w:val="21"/>
                    </w:rPr>
                  </w:pPr>
                  <w:r>
                    <w:rPr>
                      <w:sz w:val="21"/>
                      <w:szCs w:val="21"/>
                    </w:rPr>
                    <w:t>SS、COD、BOD</w:t>
                  </w:r>
                  <w:r>
                    <w:rPr>
                      <w:sz w:val="21"/>
                      <w:szCs w:val="21"/>
                      <w:vertAlign w:val="subscript"/>
                    </w:rPr>
                    <w:t>5</w:t>
                  </w:r>
                  <w:r>
                    <w:rPr>
                      <w:sz w:val="21"/>
                      <w:szCs w:val="21"/>
                    </w:rPr>
                    <w:t>、氨氮</w:t>
                  </w:r>
                  <w:r>
                    <w:rPr>
                      <w:rFonts w:hint="eastAsia"/>
                      <w:sz w:val="21"/>
                      <w:szCs w:val="21"/>
                    </w:rPr>
                    <w:t>、动植物油等</w:t>
                  </w:r>
                </w:p>
              </w:tc>
              <w:tc>
                <w:tcPr>
                  <w:tcW w:w="1949" w:type="dxa"/>
                  <w:vAlign w:val="center"/>
                </w:tcPr>
                <w:p w14:paraId="623874B0">
                  <w:pPr>
                    <w:autoSpaceDE w:val="0"/>
                    <w:autoSpaceDN w:val="0"/>
                    <w:spacing w:line="240" w:lineRule="auto"/>
                    <w:ind w:firstLine="0" w:firstLineChars="0"/>
                    <w:jc w:val="center"/>
                    <w:rPr>
                      <w:sz w:val="21"/>
                      <w:szCs w:val="21"/>
                    </w:rPr>
                  </w:pPr>
                  <w:r>
                    <w:rPr>
                      <w:rFonts w:hint="eastAsia"/>
                      <w:sz w:val="21"/>
                      <w:szCs w:val="21"/>
                    </w:rPr>
                    <w:t>一体化污水处理站、化粪池、油水分离器（食堂含油污水）</w:t>
                  </w:r>
                </w:p>
              </w:tc>
              <w:tc>
                <w:tcPr>
                  <w:tcW w:w="2671" w:type="dxa"/>
                  <w:vAlign w:val="center"/>
                </w:tcPr>
                <w:p w14:paraId="08B6A7C1">
                  <w:pPr>
                    <w:autoSpaceDE w:val="0"/>
                    <w:autoSpaceDN w:val="0"/>
                    <w:spacing w:line="240" w:lineRule="auto"/>
                    <w:ind w:firstLine="0" w:firstLineChars="0"/>
                    <w:jc w:val="center"/>
                    <w:rPr>
                      <w:sz w:val="21"/>
                      <w:szCs w:val="21"/>
                    </w:rPr>
                  </w:pPr>
                  <w:r>
                    <w:rPr>
                      <w:rFonts w:hint="eastAsia"/>
                      <w:sz w:val="21"/>
                      <w:szCs w:val="21"/>
                    </w:rPr>
                    <w:t>回用于绿化和洒水降尘，不外排</w:t>
                  </w:r>
                </w:p>
              </w:tc>
            </w:tr>
            <w:tr w14:paraId="61DE3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Pr>
                <w:p w14:paraId="0B49769B">
                  <w:pPr>
                    <w:autoSpaceDE w:val="0"/>
                    <w:autoSpaceDN w:val="0"/>
                    <w:spacing w:line="240" w:lineRule="auto"/>
                    <w:ind w:firstLine="0" w:firstLineChars="0"/>
                    <w:rPr>
                      <w:sz w:val="21"/>
                      <w:szCs w:val="21"/>
                    </w:rPr>
                  </w:pPr>
                </w:p>
              </w:tc>
              <w:tc>
                <w:tcPr>
                  <w:tcW w:w="1154" w:type="dxa"/>
                  <w:vAlign w:val="center"/>
                </w:tcPr>
                <w:p w14:paraId="4B32A362">
                  <w:pPr>
                    <w:autoSpaceDE w:val="0"/>
                    <w:autoSpaceDN w:val="0"/>
                    <w:spacing w:line="240" w:lineRule="auto"/>
                    <w:ind w:firstLine="0" w:firstLineChars="0"/>
                    <w:jc w:val="center"/>
                    <w:rPr>
                      <w:sz w:val="21"/>
                      <w:szCs w:val="21"/>
                    </w:rPr>
                  </w:pPr>
                  <w:r>
                    <w:rPr>
                      <w:rFonts w:hint="eastAsia"/>
                      <w:sz w:val="21"/>
                      <w:szCs w:val="21"/>
                    </w:rPr>
                    <w:t>初期雨水</w:t>
                  </w:r>
                </w:p>
              </w:tc>
              <w:tc>
                <w:tcPr>
                  <w:tcW w:w="1318" w:type="dxa"/>
                  <w:vAlign w:val="center"/>
                </w:tcPr>
                <w:p w14:paraId="228BAEE9">
                  <w:pPr>
                    <w:autoSpaceDE w:val="0"/>
                    <w:autoSpaceDN w:val="0"/>
                    <w:spacing w:line="240" w:lineRule="auto"/>
                    <w:ind w:firstLine="0" w:firstLineChars="0"/>
                    <w:jc w:val="center"/>
                    <w:rPr>
                      <w:sz w:val="21"/>
                      <w:szCs w:val="21"/>
                    </w:rPr>
                  </w:pPr>
                  <w:r>
                    <w:rPr>
                      <w:rFonts w:hint="eastAsia"/>
                      <w:sz w:val="21"/>
                      <w:szCs w:val="21"/>
                    </w:rPr>
                    <w:t>SS</w:t>
                  </w:r>
                </w:p>
              </w:tc>
              <w:tc>
                <w:tcPr>
                  <w:tcW w:w="1949" w:type="dxa"/>
                  <w:vAlign w:val="center"/>
                </w:tcPr>
                <w:p w14:paraId="266CF226">
                  <w:pPr>
                    <w:autoSpaceDE w:val="0"/>
                    <w:autoSpaceDN w:val="0"/>
                    <w:spacing w:line="240" w:lineRule="auto"/>
                    <w:ind w:firstLine="0" w:firstLineChars="0"/>
                    <w:jc w:val="center"/>
                    <w:rPr>
                      <w:sz w:val="21"/>
                      <w:szCs w:val="21"/>
                    </w:rPr>
                  </w:pPr>
                  <w:r>
                    <w:rPr>
                      <w:sz w:val="21"/>
                      <w:szCs w:val="21"/>
                    </w:rPr>
                    <w:t>经初期雨水收集池收集处理后回用于项目区降尘</w:t>
                  </w:r>
                </w:p>
              </w:tc>
              <w:tc>
                <w:tcPr>
                  <w:tcW w:w="2671" w:type="dxa"/>
                  <w:vAlign w:val="center"/>
                </w:tcPr>
                <w:p w14:paraId="3A54801C">
                  <w:pPr>
                    <w:autoSpaceDE w:val="0"/>
                    <w:autoSpaceDN w:val="0"/>
                    <w:spacing w:line="240" w:lineRule="auto"/>
                    <w:ind w:firstLine="0" w:firstLineChars="0"/>
                    <w:jc w:val="center"/>
                    <w:rPr>
                      <w:sz w:val="21"/>
                      <w:szCs w:val="21"/>
                    </w:rPr>
                  </w:pPr>
                  <w:r>
                    <w:rPr>
                      <w:sz w:val="21"/>
                      <w:szCs w:val="21"/>
                    </w:rPr>
                    <w:t>回用于项目区降尘，不外排</w:t>
                  </w:r>
                </w:p>
              </w:tc>
            </w:tr>
            <w:tr w14:paraId="72547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Pr>
                <w:p w14:paraId="5C8F38FB">
                  <w:pPr>
                    <w:autoSpaceDE w:val="0"/>
                    <w:autoSpaceDN w:val="0"/>
                    <w:spacing w:line="240" w:lineRule="auto"/>
                    <w:ind w:firstLine="0" w:firstLineChars="0"/>
                    <w:rPr>
                      <w:sz w:val="21"/>
                      <w:szCs w:val="21"/>
                    </w:rPr>
                  </w:pPr>
                </w:p>
              </w:tc>
              <w:tc>
                <w:tcPr>
                  <w:tcW w:w="1154" w:type="dxa"/>
                  <w:vAlign w:val="center"/>
                </w:tcPr>
                <w:p w14:paraId="7C91E289">
                  <w:pPr>
                    <w:autoSpaceDE w:val="0"/>
                    <w:autoSpaceDN w:val="0"/>
                    <w:spacing w:line="240" w:lineRule="auto"/>
                    <w:ind w:firstLine="0" w:firstLineChars="0"/>
                    <w:jc w:val="center"/>
                    <w:rPr>
                      <w:sz w:val="21"/>
                      <w:szCs w:val="21"/>
                    </w:rPr>
                  </w:pPr>
                  <w:r>
                    <w:rPr>
                      <w:rFonts w:hint="eastAsia"/>
                      <w:sz w:val="21"/>
                      <w:szCs w:val="21"/>
                    </w:rPr>
                    <w:t>车辆轮胎清洗废水</w:t>
                  </w:r>
                </w:p>
              </w:tc>
              <w:tc>
                <w:tcPr>
                  <w:tcW w:w="1318" w:type="dxa"/>
                  <w:vAlign w:val="center"/>
                </w:tcPr>
                <w:p w14:paraId="77B0CE17">
                  <w:pPr>
                    <w:autoSpaceDE w:val="0"/>
                    <w:autoSpaceDN w:val="0"/>
                    <w:spacing w:line="240" w:lineRule="auto"/>
                    <w:ind w:firstLine="0" w:firstLineChars="0"/>
                    <w:jc w:val="center"/>
                    <w:rPr>
                      <w:sz w:val="21"/>
                      <w:szCs w:val="21"/>
                    </w:rPr>
                  </w:pPr>
                  <w:r>
                    <w:rPr>
                      <w:rFonts w:hint="eastAsia"/>
                      <w:sz w:val="21"/>
                      <w:szCs w:val="21"/>
                    </w:rPr>
                    <w:t>SS</w:t>
                  </w:r>
                </w:p>
              </w:tc>
              <w:tc>
                <w:tcPr>
                  <w:tcW w:w="1949" w:type="dxa"/>
                  <w:vAlign w:val="center"/>
                </w:tcPr>
                <w:p w14:paraId="428C999D">
                  <w:pPr>
                    <w:autoSpaceDE w:val="0"/>
                    <w:autoSpaceDN w:val="0"/>
                    <w:spacing w:line="240" w:lineRule="auto"/>
                    <w:ind w:firstLine="0" w:firstLineChars="0"/>
                    <w:jc w:val="center"/>
                    <w:rPr>
                      <w:sz w:val="21"/>
                      <w:szCs w:val="21"/>
                    </w:rPr>
                  </w:pPr>
                  <w:r>
                    <w:rPr>
                      <w:rFonts w:hint="eastAsia"/>
                      <w:sz w:val="21"/>
                      <w:szCs w:val="21"/>
                    </w:rPr>
                    <w:t>收集沉淀处理后回用于车辆轮胎清洗</w:t>
                  </w:r>
                </w:p>
              </w:tc>
              <w:tc>
                <w:tcPr>
                  <w:tcW w:w="2671" w:type="dxa"/>
                  <w:vAlign w:val="center"/>
                </w:tcPr>
                <w:p w14:paraId="35C8DD2B">
                  <w:pPr>
                    <w:autoSpaceDE w:val="0"/>
                    <w:autoSpaceDN w:val="0"/>
                    <w:spacing w:line="240" w:lineRule="auto"/>
                    <w:ind w:firstLine="0" w:firstLineChars="0"/>
                    <w:jc w:val="center"/>
                    <w:rPr>
                      <w:sz w:val="21"/>
                      <w:szCs w:val="21"/>
                    </w:rPr>
                  </w:pPr>
                  <w:r>
                    <w:rPr>
                      <w:rFonts w:hint="eastAsia"/>
                      <w:sz w:val="21"/>
                      <w:szCs w:val="21"/>
                    </w:rPr>
                    <w:t>废水回用不外排</w:t>
                  </w:r>
                </w:p>
              </w:tc>
            </w:tr>
            <w:tr w14:paraId="548B2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1D6FD8B6">
                  <w:pPr>
                    <w:autoSpaceDE w:val="0"/>
                    <w:autoSpaceDN w:val="0"/>
                    <w:spacing w:line="240" w:lineRule="auto"/>
                    <w:ind w:firstLine="0" w:firstLineChars="0"/>
                    <w:rPr>
                      <w:sz w:val="21"/>
                      <w:szCs w:val="21"/>
                    </w:rPr>
                  </w:pPr>
                  <w:r>
                    <w:rPr>
                      <w:rFonts w:hint="eastAsia"/>
                      <w:sz w:val="21"/>
                      <w:szCs w:val="21"/>
                    </w:rPr>
                    <w:t>噪声</w:t>
                  </w:r>
                </w:p>
              </w:tc>
              <w:tc>
                <w:tcPr>
                  <w:tcW w:w="1154" w:type="dxa"/>
                  <w:vAlign w:val="center"/>
                </w:tcPr>
                <w:p w14:paraId="6D71DAA2">
                  <w:pPr>
                    <w:autoSpaceDE w:val="0"/>
                    <w:autoSpaceDN w:val="0"/>
                    <w:spacing w:line="240" w:lineRule="auto"/>
                    <w:ind w:firstLine="0" w:firstLineChars="0"/>
                    <w:jc w:val="center"/>
                    <w:rPr>
                      <w:sz w:val="21"/>
                      <w:szCs w:val="21"/>
                    </w:rPr>
                  </w:pPr>
                  <w:r>
                    <w:rPr>
                      <w:sz w:val="21"/>
                      <w:szCs w:val="21"/>
                    </w:rPr>
                    <w:t>设备噪声</w:t>
                  </w:r>
                </w:p>
              </w:tc>
              <w:tc>
                <w:tcPr>
                  <w:tcW w:w="1318" w:type="dxa"/>
                  <w:vAlign w:val="center"/>
                </w:tcPr>
                <w:p w14:paraId="2B5B0892">
                  <w:pPr>
                    <w:autoSpaceDE w:val="0"/>
                    <w:autoSpaceDN w:val="0"/>
                    <w:spacing w:line="240" w:lineRule="auto"/>
                    <w:ind w:firstLine="0" w:firstLineChars="0"/>
                    <w:jc w:val="center"/>
                    <w:rPr>
                      <w:sz w:val="21"/>
                      <w:szCs w:val="21"/>
                    </w:rPr>
                  </w:pPr>
                  <w:r>
                    <w:rPr>
                      <w:sz w:val="21"/>
                      <w:szCs w:val="21"/>
                    </w:rPr>
                    <w:t>等效连续A声级</w:t>
                  </w:r>
                </w:p>
              </w:tc>
              <w:tc>
                <w:tcPr>
                  <w:tcW w:w="1949" w:type="dxa"/>
                  <w:vAlign w:val="center"/>
                </w:tcPr>
                <w:p w14:paraId="679F9D7C">
                  <w:pPr>
                    <w:autoSpaceDE w:val="0"/>
                    <w:autoSpaceDN w:val="0"/>
                    <w:spacing w:line="240" w:lineRule="auto"/>
                    <w:ind w:firstLine="0" w:firstLineChars="0"/>
                    <w:jc w:val="center"/>
                    <w:rPr>
                      <w:sz w:val="21"/>
                      <w:szCs w:val="21"/>
                    </w:rPr>
                  </w:pPr>
                  <w:r>
                    <w:rPr>
                      <w:rFonts w:hint="eastAsia"/>
                      <w:sz w:val="21"/>
                      <w:szCs w:val="21"/>
                    </w:rPr>
                    <w:t>合理安排运营时间，夜间不生产，选用低噪声设备，设备做基础减振、风机进出口安装消音器等</w:t>
                  </w:r>
                </w:p>
              </w:tc>
              <w:tc>
                <w:tcPr>
                  <w:tcW w:w="2671" w:type="dxa"/>
                  <w:vAlign w:val="center"/>
                </w:tcPr>
                <w:p w14:paraId="5BC43279">
                  <w:pPr>
                    <w:autoSpaceDE w:val="0"/>
                    <w:autoSpaceDN w:val="0"/>
                    <w:spacing w:line="240" w:lineRule="auto"/>
                    <w:ind w:firstLine="0" w:firstLineChars="0"/>
                    <w:jc w:val="center"/>
                    <w:rPr>
                      <w:sz w:val="21"/>
                      <w:szCs w:val="21"/>
                    </w:rPr>
                  </w:pPr>
                  <w:r>
                    <w:rPr>
                      <w:sz w:val="21"/>
                      <w:szCs w:val="21"/>
                    </w:rPr>
                    <w:t>《工业企业厂界环境噪声排放标准》（GB12348-200</w:t>
                  </w:r>
                  <w:r>
                    <w:rPr>
                      <w:color w:val="000000" w:themeColor="text1"/>
                      <w:sz w:val="21"/>
                      <w:szCs w:val="21"/>
                      <w14:textFill>
                        <w14:solidFill>
                          <w14:schemeClr w14:val="tx1"/>
                        </w14:solidFill>
                      </w14:textFill>
                    </w:rPr>
                    <w:t>8）</w:t>
                  </w:r>
                  <w:r>
                    <w:rPr>
                      <w:rFonts w:hint="eastAsia"/>
                      <w:color w:val="000000" w:themeColor="text1"/>
                      <w:sz w:val="21"/>
                      <w:szCs w:val="21"/>
                      <w14:textFill>
                        <w14:solidFill>
                          <w14:schemeClr w14:val="tx1"/>
                        </w14:solidFill>
                      </w14:textFill>
                    </w:rPr>
                    <w:t>2</w:t>
                  </w:r>
                  <w:r>
                    <w:rPr>
                      <w:color w:val="000000" w:themeColor="text1"/>
                      <w:sz w:val="21"/>
                      <w:szCs w:val="21"/>
                      <w14:textFill>
                        <w14:solidFill>
                          <w14:schemeClr w14:val="tx1"/>
                        </w14:solidFill>
                      </w14:textFill>
                    </w:rPr>
                    <w:t>类标</w:t>
                  </w:r>
                  <w:r>
                    <w:rPr>
                      <w:sz w:val="21"/>
                      <w:szCs w:val="21"/>
                    </w:rPr>
                    <w:t>准</w:t>
                  </w:r>
                </w:p>
              </w:tc>
            </w:tr>
            <w:tr w14:paraId="6A456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7" w:hRule="atLeast"/>
                <w:jc w:val="center"/>
              </w:trPr>
              <w:tc>
                <w:tcPr>
                  <w:tcW w:w="1599" w:type="dxa"/>
                  <w:gridSpan w:val="2"/>
                  <w:vAlign w:val="center"/>
                </w:tcPr>
                <w:p w14:paraId="4161354C">
                  <w:pPr>
                    <w:autoSpaceDE w:val="0"/>
                    <w:autoSpaceDN w:val="0"/>
                    <w:spacing w:line="240" w:lineRule="auto"/>
                    <w:ind w:firstLine="0" w:firstLineChars="0"/>
                    <w:jc w:val="center"/>
                    <w:rPr>
                      <w:sz w:val="21"/>
                      <w:szCs w:val="21"/>
                    </w:rPr>
                  </w:pPr>
                  <w:r>
                    <w:rPr>
                      <w:sz w:val="21"/>
                      <w:szCs w:val="21"/>
                    </w:rPr>
                    <w:t>危险固废</w:t>
                  </w:r>
                </w:p>
              </w:tc>
              <w:tc>
                <w:tcPr>
                  <w:tcW w:w="3267" w:type="dxa"/>
                  <w:gridSpan w:val="2"/>
                  <w:vAlign w:val="center"/>
                </w:tcPr>
                <w:p w14:paraId="38EA1B90">
                  <w:pPr>
                    <w:autoSpaceDE w:val="0"/>
                    <w:autoSpaceDN w:val="0"/>
                    <w:spacing w:line="240" w:lineRule="auto"/>
                    <w:ind w:firstLine="0" w:firstLineChars="0"/>
                    <w:jc w:val="center"/>
                    <w:rPr>
                      <w:sz w:val="21"/>
                      <w:szCs w:val="21"/>
                    </w:rPr>
                  </w:pPr>
                  <w:r>
                    <w:rPr>
                      <w:sz w:val="21"/>
                      <w:szCs w:val="21"/>
                    </w:rPr>
                    <w:t>拟建</w:t>
                  </w:r>
                  <w:r>
                    <w:rPr>
                      <w:rFonts w:hint="eastAsia"/>
                      <w:sz w:val="21"/>
                      <w:szCs w:val="21"/>
                    </w:rPr>
                    <w:t>1间</w:t>
                  </w:r>
                  <w:r>
                    <w:rPr>
                      <w:sz w:val="21"/>
                      <w:szCs w:val="21"/>
                    </w:rPr>
                    <w:t>危废暂存间，面积约</w:t>
                  </w:r>
                  <w:r>
                    <w:rPr>
                      <w:rFonts w:hint="eastAsia"/>
                      <w:sz w:val="21"/>
                      <w:szCs w:val="21"/>
                    </w:rPr>
                    <w:t>10</w:t>
                  </w:r>
                  <w:r>
                    <w:rPr>
                      <w:sz w:val="21"/>
                      <w:szCs w:val="21"/>
                    </w:rPr>
                    <w:t>m</w:t>
                  </w:r>
                  <w:r>
                    <w:rPr>
                      <w:sz w:val="21"/>
                      <w:szCs w:val="21"/>
                      <w:vertAlign w:val="superscript"/>
                    </w:rPr>
                    <w:t>2</w:t>
                  </w:r>
                  <w:r>
                    <w:rPr>
                      <w:rFonts w:hint="eastAsia"/>
                      <w:sz w:val="21"/>
                      <w:szCs w:val="21"/>
                    </w:rPr>
                    <w:t>，防渗材料可采用抗渗混凝土、高密度聚乙烯膜、钠基膨润土防水毯或其他防渗性能等效的材料，防渗层为至少1m厚黏土层（渗透系数不大于10</w:t>
                  </w:r>
                  <w:r>
                    <w:rPr>
                      <w:rFonts w:hint="eastAsia"/>
                      <w:sz w:val="21"/>
                      <w:szCs w:val="21"/>
                      <w:vertAlign w:val="superscript"/>
                    </w:rPr>
                    <w:t>-7</w:t>
                  </w:r>
                  <w:r>
                    <w:rPr>
                      <w:rFonts w:hint="eastAsia"/>
                      <w:sz w:val="21"/>
                      <w:szCs w:val="21"/>
                    </w:rPr>
                    <w:t>cm/s），或至少2mm厚高密度聚乙烯膜等人工防渗材料（渗透系数不大于10</w:t>
                  </w:r>
                  <w:r>
                    <w:rPr>
                      <w:rFonts w:hint="eastAsia"/>
                      <w:sz w:val="21"/>
                      <w:szCs w:val="21"/>
                      <w:vertAlign w:val="superscript"/>
                    </w:rPr>
                    <w:t>-10</w:t>
                  </w:r>
                  <w:r>
                    <w:rPr>
                      <w:rFonts w:hint="eastAsia"/>
                      <w:sz w:val="21"/>
                      <w:szCs w:val="21"/>
                    </w:rPr>
                    <w:t>cm/s），或其他防渗性能等效的材料</w:t>
                  </w:r>
                </w:p>
              </w:tc>
              <w:tc>
                <w:tcPr>
                  <w:tcW w:w="2671" w:type="dxa"/>
                  <w:vAlign w:val="center"/>
                </w:tcPr>
                <w:p w14:paraId="01A410E7">
                  <w:pPr>
                    <w:autoSpaceDE w:val="0"/>
                    <w:autoSpaceDN w:val="0"/>
                    <w:spacing w:line="240" w:lineRule="auto"/>
                    <w:ind w:firstLine="0" w:firstLineChars="0"/>
                    <w:jc w:val="center"/>
                    <w:rPr>
                      <w:sz w:val="21"/>
                      <w:szCs w:val="21"/>
                    </w:rPr>
                  </w:pPr>
                  <w:r>
                    <w:rPr>
                      <w:sz w:val="21"/>
                      <w:szCs w:val="21"/>
                    </w:rPr>
                    <w:t>《危险废物贮存污染控制标准》（GB18597-2023）</w:t>
                  </w:r>
                </w:p>
              </w:tc>
            </w:tr>
          </w:tbl>
          <w:p w14:paraId="3EAD1B23">
            <w:pPr>
              <w:tabs>
                <w:tab w:val="left" w:pos="540"/>
                <w:tab w:val="left" w:pos="851"/>
                <w:tab w:val="left" w:pos="994"/>
                <w:tab w:val="left" w:pos="1260"/>
                <w:tab w:val="left" w:pos="3108"/>
                <w:tab w:val="left" w:pos="3150"/>
              </w:tabs>
              <w:ind w:firstLine="480"/>
              <w:rPr>
                <w:bCs/>
              </w:rPr>
            </w:pPr>
          </w:p>
          <w:p w14:paraId="4B546EAD">
            <w:pPr>
              <w:tabs>
                <w:tab w:val="left" w:pos="540"/>
                <w:tab w:val="left" w:pos="851"/>
                <w:tab w:val="left" w:pos="994"/>
                <w:tab w:val="left" w:pos="1260"/>
                <w:tab w:val="left" w:pos="3108"/>
                <w:tab w:val="left" w:pos="3150"/>
              </w:tabs>
              <w:ind w:firstLine="480"/>
              <w:rPr>
                <w:bCs/>
              </w:rPr>
            </w:pPr>
          </w:p>
          <w:p w14:paraId="601CBD55">
            <w:pPr>
              <w:tabs>
                <w:tab w:val="left" w:pos="540"/>
                <w:tab w:val="left" w:pos="851"/>
                <w:tab w:val="left" w:pos="994"/>
                <w:tab w:val="left" w:pos="1260"/>
                <w:tab w:val="left" w:pos="3108"/>
                <w:tab w:val="left" w:pos="3150"/>
              </w:tabs>
              <w:ind w:firstLine="480"/>
              <w:rPr>
                <w:bCs/>
              </w:rPr>
            </w:pPr>
          </w:p>
          <w:p w14:paraId="0F555B84">
            <w:pPr>
              <w:tabs>
                <w:tab w:val="left" w:pos="540"/>
                <w:tab w:val="left" w:pos="851"/>
                <w:tab w:val="left" w:pos="994"/>
                <w:tab w:val="left" w:pos="1260"/>
                <w:tab w:val="left" w:pos="3108"/>
                <w:tab w:val="left" w:pos="3150"/>
              </w:tabs>
              <w:ind w:firstLine="480"/>
              <w:rPr>
                <w:bCs/>
              </w:rPr>
            </w:pPr>
          </w:p>
        </w:tc>
      </w:tr>
    </w:tbl>
    <w:p w14:paraId="6541EA26">
      <w:pPr>
        <w:pStyle w:val="4"/>
        <w:tabs>
          <w:tab w:val="left" w:pos="332"/>
        </w:tabs>
        <w:spacing w:before="0" w:after="0" w:line="240" w:lineRule="auto"/>
        <w:ind w:left="0" w:firstLine="0" w:firstLineChars="0"/>
        <w:jc w:val="center"/>
        <w:rPr>
          <w:b w:val="0"/>
          <w:bCs w:val="0"/>
          <w:color w:val="auto"/>
        </w:rPr>
        <w:sectPr>
          <w:pgSz w:w="12240" w:h="15840"/>
          <w:pgMar w:top="1440" w:right="1800" w:bottom="1440" w:left="1800" w:header="720" w:footer="720" w:gutter="0"/>
          <w:cols w:space="0" w:num="1"/>
          <w:docGrid w:type="lines" w:linePitch="312" w:charSpace="0"/>
        </w:sectPr>
      </w:pPr>
      <w:bookmarkStart w:id="19" w:name="_Toc16524"/>
    </w:p>
    <w:p w14:paraId="3A4E3E7A">
      <w:pPr>
        <w:pStyle w:val="4"/>
        <w:tabs>
          <w:tab w:val="left" w:pos="332"/>
        </w:tabs>
        <w:spacing w:before="0" w:after="0" w:line="240" w:lineRule="auto"/>
        <w:ind w:left="0" w:firstLine="0" w:firstLineChars="0"/>
        <w:jc w:val="center"/>
        <w:rPr>
          <w:b w:val="0"/>
          <w:bCs w:val="0"/>
          <w:color w:val="auto"/>
        </w:rPr>
      </w:pPr>
      <w:bookmarkStart w:id="20" w:name="_Toc20151"/>
      <w:r>
        <w:rPr>
          <w:rFonts w:hint="eastAsia"/>
          <w:b w:val="0"/>
          <w:bCs w:val="0"/>
          <w:color w:val="auto"/>
        </w:rPr>
        <w:t>六、结论</w:t>
      </w:r>
      <w:bookmarkEnd w:id="19"/>
      <w:bookmarkEnd w:id="20"/>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56"/>
      </w:tblGrid>
      <w:tr w14:paraId="320BC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6" w:type="dxa"/>
          </w:tcPr>
          <w:p w14:paraId="2C6A1EA3">
            <w:pPr>
              <w:ind w:firstLine="480"/>
            </w:pPr>
            <w:r>
              <w:rPr>
                <w:rFonts w:hint="eastAsia"/>
              </w:rPr>
              <w:t>本项目的建设符合国家、地方产业政策，以及相关规划，所在区域环境质量现状符合相应环境质量标准，不涉及自然保护区、风景名胜区、水源保护区等环境敏感区，选址合理。在采取环评提出的措施后，项目产生的废水、废气、噪声可达标排放，固废处置率100%，对当地环境质量及主要关心点环境影响很小，符合达标排放和不降低当地环境功能的原则要求，符合国家法律法规要求。</w:t>
            </w:r>
          </w:p>
          <w:p w14:paraId="565F1560">
            <w:pPr>
              <w:ind w:firstLine="480"/>
            </w:pPr>
            <w:r>
              <w:rPr>
                <w:rFonts w:hint="eastAsia"/>
              </w:rPr>
              <w:t>本项目在严格执行环境保护“三同时”规定，严格进行环境管理，保证项目内的废气处理设施及其他环保设施的正常运行，污染物达标排放的条件下，从环境保护角度论证，本项目的建设是可行的。</w:t>
            </w:r>
          </w:p>
          <w:p w14:paraId="2FFBAAA1">
            <w:pPr>
              <w:ind w:firstLine="480"/>
            </w:pPr>
          </w:p>
          <w:p w14:paraId="3ECCCB00">
            <w:pPr>
              <w:ind w:firstLine="480"/>
            </w:pPr>
          </w:p>
          <w:p w14:paraId="60795120">
            <w:pPr>
              <w:ind w:firstLine="480"/>
            </w:pPr>
          </w:p>
          <w:p w14:paraId="29DB4B48">
            <w:pPr>
              <w:ind w:firstLine="480"/>
            </w:pPr>
          </w:p>
          <w:p w14:paraId="4D2D1D17">
            <w:pPr>
              <w:ind w:firstLine="480"/>
            </w:pPr>
          </w:p>
          <w:p w14:paraId="254D4263">
            <w:pPr>
              <w:ind w:firstLine="480"/>
            </w:pPr>
          </w:p>
          <w:p w14:paraId="11CFB0D1">
            <w:pPr>
              <w:ind w:firstLine="480"/>
            </w:pPr>
          </w:p>
          <w:p w14:paraId="5F0280E0">
            <w:pPr>
              <w:ind w:firstLine="480"/>
            </w:pPr>
          </w:p>
          <w:p w14:paraId="3FE86528">
            <w:pPr>
              <w:ind w:firstLine="480"/>
            </w:pPr>
          </w:p>
          <w:p w14:paraId="5A6E8D26">
            <w:pPr>
              <w:ind w:firstLine="480"/>
            </w:pPr>
          </w:p>
          <w:p w14:paraId="1963699A">
            <w:pPr>
              <w:ind w:firstLine="480"/>
            </w:pPr>
          </w:p>
          <w:p w14:paraId="2F1A9DBB">
            <w:pPr>
              <w:ind w:firstLine="480"/>
            </w:pPr>
          </w:p>
          <w:p w14:paraId="3C4AF12C">
            <w:pPr>
              <w:ind w:firstLine="480"/>
            </w:pPr>
          </w:p>
          <w:p w14:paraId="746D3DA5">
            <w:pPr>
              <w:ind w:firstLine="480"/>
            </w:pPr>
          </w:p>
          <w:p w14:paraId="48D5F0AE">
            <w:pPr>
              <w:ind w:firstLine="480"/>
            </w:pPr>
          </w:p>
          <w:p w14:paraId="00C39905">
            <w:pPr>
              <w:ind w:firstLine="480"/>
            </w:pPr>
          </w:p>
          <w:p w14:paraId="6B77BC39">
            <w:pPr>
              <w:ind w:firstLine="480"/>
            </w:pPr>
          </w:p>
        </w:tc>
      </w:tr>
    </w:tbl>
    <w:p w14:paraId="22B00A68">
      <w:pPr>
        <w:ind w:firstLine="480"/>
      </w:pPr>
    </w:p>
    <w:p w14:paraId="1F564828">
      <w:pPr>
        <w:ind w:firstLine="480"/>
        <w:sectPr>
          <w:pgSz w:w="12240" w:h="15840"/>
          <w:pgMar w:top="1440" w:right="1800" w:bottom="1440" w:left="1800" w:header="720" w:footer="720" w:gutter="0"/>
          <w:cols w:space="0" w:num="1"/>
          <w:docGrid w:type="lines" w:linePitch="312" w:charSpace="0"/>
        </w:sectPr>
      </w:pPr>
    </w:p>
    <w:p w14:paraId="52C58564">
      <w:pPr>
        <w:pStyle w:val="22"/>
        <w:adjustRightInd w:val="0"/>
        <w:snapToGrid w:val="0"/>
        <w:spacing w:before="0" w:beforeAutospacing="0" w:after="0" w:afterAutospacing="0" w:line="648" w:lineRule="auto"/>
        <w:ind w:firstLine="0" w:firstLineChars="0"/>
        <w:outlineLvl w:val="0"/>
        <w:rPr>
          <w:rFonts w:ascii="Times New Roman" w:hAnsi="Times New Roman" w:eastAsia="黑体"/>
          <w:snapToGrid w:val="0"/>
          <w:sz w:val="32"/>
          <w:szCs w:val="32"/>
        </w:rPr>
      </w:pPr>
      <w:bookmarkStart w:id="21" w:name="_Toc6578"/>
      <w:bookmarkStart w:id="22" w:name="_Toc10807"/>
      <w:r>
        <w:rPr>
          <w:rFonts w:hint="eastAsia" w:ascii="Times New Roman" w:hAnsi="Times New Roman" w:eastAsia="黑体"/>
          <w:snapToGrid w:val="0"/>
          <w:sz w:val="32"/>
          <w:szCs w:val="32"/>
        </w:rPr>
        <w:t>附表</w:t>
      </w:r>
      <w:bookmarkEnd w:id="21"/>
      <w:bookmarkEnd w:id="22"/>
    </w:p>
    <w:p w14:paraId="6363D2AA">
      <w:pPr>
        <w:pStyle w:val="22"/>
        <w:adjustRightInd w:val="0"/>
        <w:snapToGrid w:val="0"/>
        <w:spacing w:before="0" w:beforeAutospacing="0" w:after="0" w:afterAutospacing="0" w:line="552" w:lineRule="auto"/>
        <w:ind w:firstLine="0" w:firstLineChars="0"/>
        <w:jc w:val="center"/>
        <w:outlineLvl w:val="0"/>
        <w:rPr>
          <w:rFonts w:ascii="Times New Roman" w:hAnsi="Times New Roman" w:eastAsia="方正小标宋_GBK"/>
          <w:snapToGrid w:val="0"/>
          <w:sz w:val="38"/>
          <w:szCs w:val="38"/>
        </w:rPr>
      </w:pPr>
      <w:bookmarkStart w:id="23" w:name="_Toc17118"/>
      <w:bookmarkStart w:id="24" w:name="_Toc8835"/>
      <w:r>
        <w:rPr>
          <w:rFonts w:hint="eastAsia" w:ascii="Times New Roman" w:hAnsi="Times New Roman" w:eastAsia="方正小标宋_GBK"/>
          <w:snapToGrid w:val="0"/>
          <w:sz w:val="38"/>
          <w:szCs w:val="38"/>
        </w:rPr>
        <w:t>建设项目污染物排放量汇总表</w:t>
      </w:r>
      <w:bookmarkEnd w:id="23"/>
      <w:bookmarkEnd w:id="24"/>
    </w:p>
    <w:tbl>
      <w:tblPr>
        <w:tblStyle w:val="26"/>
        <w:tblW w:w="1378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180"/>
        <w:gridCol w:w="1823"/>
        <w:gridCol w:w="1701"/>
        <w:gridCol w:w="1275"/>
        <w:gridCol w:w="1701"/>
        <w:gridCol w:w="1558"/>
        <w:gridCol w:w="1760"/>
        <w:gridCol w:w="1467"/>
        <w:gridCol w:w="1316"/>
      </w:tblGrid>
      <w:tr w14:paraId="42940A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80" w:type="dxa"/>
            <w:tcBorders>
              <w:top w:val="single" w:color="auto" w:sz="8" w:space="0"/>
              <w:left w:val="single" w:color="auto" w:sz="8" w:space="0"/>
              <w:bottom w:val="single" w:color="auto" w:sz="4" w:space="0"/>
              <w:right w:val="single" w:color="auto" w:sz="4" w:space="0"/>
              <w:tl2br w:val="single" w:color="auto" w:sz="4" w:space="0"/>
            </w:tcBorders>
            <w:shd w:val="clear" w:color="auto" w:fill="auto"/>
            <w:tcMar>
              <w:left w:w="28" w:type="dxa"/>
              <w:right w:w="28" w:type="dxa"/>
            </w:tcMar>
            <w:vAlign w:val="center"/>
          </w:tcPr>
          <w:p w14:paraId="4542C2C5">
            <w:pPr>
              <w:pStyle w:val="22"/>
              <w:widowControl w:val="0"/>
              <w:adjustRightInd w:val="0"/>
              <w:snapToGrid w:val="0"/>
              <w:spacing w:before="0" w:beforeAutospacing="0" w:after="0" w:afterAutospacing="0" w:line="240" w:lineRule="auto"/>
              <w:ind w:firstLine="0" w:firstLineChars="0"/>
              <w:jc w:val="center"/>
              <w:rPr>
                <w:rFonts w:ascii="Times New Roman" w:hAnsi="Times New Roman" w:eastAsia="黑体" w:cs="宋体"/>
                <w:spacing w:val="-6"/>
                <w:kern w:val="21"/>
                <w:szCs w:val="21"/>
              </w:rPr>
            </w:pPr>
            <w:r>
              <w:rPr>
                <w:rFonts w:hint="eastAsia" w:ascii="Times New Roman" w:hAnsi="Times New Roman" w:eastAsia="黑体" w:cs="宋体"/>
                <w:snapToGrid w:val="0"/>
                <w:spacing w:val="-6"/>
                <w:kern w:val="21"/>
                <w:sz w:val="21"/>
                <w:szCs w:val="21"/>
              </w:rPr>
              <w:t xml:space="preserve">     项目</w:t>
            </w:r>
          </w:p>
          <w:p w14:paraId="347CF66B">
            <w:pPr>
              <w:pStyle w:val="22"/>
              <w:widowControl w:val="0"/>
              <w:adjustRightInd w:val="0"/>
              <w:snapToGrid w:val="0"/>
              <w:spacing w:before="0" w:beforeAutospacing="0" w:after="0" w:afterAutospacing="0" w:line="240" w:lineRule="auto"/>
              <w:ind w:firstLine="0" w:firstLineChars="0"/>
              <w:jc w:val="both"/>
              <w:rPr>
                <w:rFonts w:ascii="Times New Roman" w:hAnsi="Times New Roman" w:eastAsia="黑体" w:cs="宋体"/>
                <w:spacing w:val="-6"/>
                <w:kern w:val="21"/>
                <w:szCs w:val="21"/>
              </w:rPr>
            </w:pPr>
            <w:r>
              <w:rPr>
                <w:rFonts w:hint="eastAsia" w:ascii="Times New Roman" w:hAnsi="Times New Roman" w:eastAsia="黑体" w:cs="宋体"/>
                <w:snapToGrid w:val="0"/>
                <w:spacing w:val="-6"/>
                <w:kern w:val="21"/>
                <w:sz w:val="21"/>
                <w:szCs w:val="21"/>
              </w:rPr>
              <w:t>分类</w:t>
            </w:r>
          </w:p>
        </w:tc>
        <w:tc>
          <w:tcPr>
            <w:tcW w:w="1823" w:type="dxa"/>
            <w:tcBorders>
              <w:top w:val="single" w:color="auto" w:sz="8" w:space="0"/>
              <w:left w:val="single" w:color="auto" w:sz="4" w:space="0"/>
              <w:bottom w:val="single" w:color="auto" w:sz="4" w:space="0"/>
              <w:right w:val="single" w:color="auto" w:sz="4" w:space="0"/>
            </w:tcBorders>
            <w:shd w:val="clear" w:color="auto" w:fill="auto"/>
            <w:tcMar>
              <w:left w:w="28" w:type="dxa"/>
              <w:right w:w="28" w:type="dxa"/>
            </w:tcMar>
            <w:vAlign w:val="center"/>
          </w:tcPr>
          <w:p w14:paraId="41E1052D">
            <w:pPr>
              <w:pStyle w:val="22"/>
              <w:widowControl w:val="0"/>
              <w:adjustRightInd w:val="0"/>
              <w:snapToGrid w:val="0"/>
              <w:spacing w:before="0" w:beforeAutospacing="0" w:after="0" w:afterAutospacing="0" w:line="240" w:lineRule="auto"/>
              <w:ind w:firstLine="0" w:firstLineChars="0"/>
              <w:jc w:val="center"/>
              <w:rPr>
                <w:rFonts w:ascii="Times New Roman" w:hAnsi="Times New Roman" w:eastAsia="黑体" w:cs="宋体"/>
                <w:spacing w:val="-6"/>
                <w:kern w:val="21"/>
                <w:szCs w:val="21"/>
              </w:rPr>
            </w:pPr>
            <w:r>
              <w:rPr>
                <w:rFonts w:hint="eastAsia" w:ascii="Times New Roman" w:hAnsi="Times New Roman" w:eastAsia="黑体" w:cs="宋体"/>
                <w:snapToGrid w:val="0"/>
                <w:spacing w:val="-6"/>
                <w:kern w:val="21"/>
                <w:sz w:val="21"/>
                <w:szCs w:val="21"/>
              </w:rPr>
              <w:t>污染物名称</w:t>
            </w:r>
          </w:p>
        </w:tc>
        <w:tc>
          <w:tcPr>
            <w:tcW w:w="1701" w:type="dxa"/>
            <w:tcBorders>
              <w:top w:val="single" w:color="auto" w:sz="8" w:space="0"/>
              <w:left w:val="single" w:color="auto" w:sz="4" w:space="0"/>
              <w:bottom w:val="single" w:color="auto" w:sz="4" w:space="0"/>
              <w:right w:val="single" w:color="auto" w:sz="4" w:space="0"/>
            </w:tcBorders>
            <w:shd w:val="clear" w:color="auto" w:fill="auto"/>
            <w:tcMar>
              <w:left w:w="28" w:type="dxa"/>
              <w:right w:w="28" w:type="dxa"/>
            </w:tcMar>
            <w:vAlign w:val="center"/>
          </w:tcPr>
          <w:p w14:paraId="720484D7">
            <w:pPr>
              <w:pStyle w:val="22"/>
              <w:widowControl w:val="0"/>
              <w:adjustRightInd w:val="0"/>
              <w:snapToGrid w:val="0"/>
              <w:spacing w:before="0" w:beforeAutospacing="0" w:after="0" w:afterAutospacing="0" w:line="240" w:lineRule="auto"/>
              <w:ind w:firstLine="0" w:firstLineChars="0"/>
              <w:jc w:val="center"/>
              <w:rPr>
                <w:rFonts w:ascii="Times New Roman" w:hAnsi="Times New Roman" w:eastAsia="黑体" w:cs="黑体"/>
                <w:snapToGrid w:val="0"/>
                <w:spacing w:val="-6"/>
                <w:kern w:val="21"/>
                <w:szCs w:val="21"/>
              </w:rPr>
            </w:pPr>
            <w:r>
              <w:rPr>
                <w:rFonts w:hint="eastAsia" w:ascii="Times New Roman" w:hAnsi="Times New Roman" w:eastAsia="黑体" w:cs="黑体"/>
                <w:snapToGrid w:val="0"/>
                <w:spacing w:val="-6"/>
                <w:kern w:val="21"/>
                <w:sz w:val="21"/>
                <w:szCs w:val="21"/>
              </w:rPr>
              <w:t>现有工程排放量（固体废物产生量）</w:t>
            </w:r>
            <w:r>
              <w:rPr>
                <w:rFonts w:hint="eastAsia" w:ascii="Times New Roman" w:hAnsi="Times New Roman" w:eastAsia="黑体" w:cs="黑体"/>
                <w:spacing w:val="-6"/>
                <w:kern w:val="21"/>
                <w:sz w:val="21"/>
                <w:szCs w:val="21"/>
              </w:rPr>
              <w:fldChar w:fldCharType="begin"/>
            </w:r>
            <w:r>
              <w:rPr>
                <w:rFonts w:hint="eastAsia" w:ascii="Times New Roman" w:hAnsi="Times New Roman" w:eastAsia="黑体" w:cs="黑体"/>
                <w:snapToGrid w:val="0"/>
                <w:spacing w:val="-6"/>
                <w:kern w:val="21"/>
                <w:sz w:val="21"/>
                <w:szCs w:val="21"/>
              </w:rPr>
              <w:instrText xml:space="preserve"> = 1 \* GB3 \* MERGEFORMAT </w:instrText>
            </w:r>
            <w:r>
              <w:rPr>
                <w:rFonts w:hint="eastAsia" w:ascii="Times New Roman" w:hAnsi="Times New Roman" w:eastAsia="黑体" w:cs="黑体"/>
                <w:spacing w:val="-6"/>
                <w:kern w:val="21"/>
                <w:sz w:val="21"/>
                <w:szCs w:val="21"/>
              </w:rPr>
              <w:fldChar w:fldCharType="separate"/>
            </w:r>
            <w:r>
              <w:rPr>
                <w:rFonts w:hint="eastAsia" w:ascii="Times New Roman" w:hAnsi="Times New Roman" w:eastAsia="黑体" w:cs="宋体"/>
                <w:kern w:val="2"/>
                <w:sz w:val="21"/>
                <w:szCs w:val="21"/>
              </w:rPr>
              <w:t>①</w:t>
            </w:r>
            <w:r>
              <w:rPr>
                <w:rFonts w:hint="eastAsia" w:ascii="Times New Roman" w:hAnsi="Times New Roman" w:eastAsia="黑体" w:cs="黑体"/>
                <w:spacing w:val="-6"/>
                <w:kern w:val="21"/>
                <w:sz w:val="21"/>
                <w:szCs w:val="21"/>
              </w:rPr>
              <w:fldChar w:fldCharType="end"/>
            </w:r>
          </w:p>
        </w:tc>
        <w:tc>
          <w:tcPr>
            <w:tcW w:w="1275" w:type="dxa"/>
            <w:tcBorders>
              <w:top w:val="single" w:color="auto" w:sz="8" w:space="0"/>
              <w:left w:val="single" w:color="auto" w:sz="4" w:space="0"/>
              <w:bottom w:val="single" w:color="auto" w:sz="4" w:space="0"/>
              <w:right w:val="single" w:color="auto" w:sz="4" w:space="0"/>
            </w:tcBorders>
            <w:shd w:val="clear" w:color="auto" w:fill="auto"/>
            <w:tcMar>
              <w:left w:w="28" w:type="dxa"/>
              <w:right w:w="28" w:type="dxa"/>
            </w:tcMar>
            <w:vAlign w:val="center"/>
          </w:tcPr>
          <w:p w14:paraId="0E60D3E4">
            <w:pPr>
              <w:pStyle w:val="22"/>
              <w:widowControl w:val="0"/>
              <w:adjustRightInd w:val="0"/>
              <w:snapToGrid w:val="0"/>
              <w:spacing w:before="0" w:beforeAutospacing="0" w:after="0" w:afterAutospacing="0" w:line="240" w:lineRule="auto"/>
              <w:ind w:firstLine="0" w:firstLineChars="0"/>
              <w:jc w:val="center"/>
              <w:rPr>
                <w:rFonts w:ascii="Times New Roman" w:hAnsi="Times New Roman" w:eastAsia="黑体" w:cs="黑体"/>
                <w:spacing w:val="-6"/>
                <w:kern w:val="21"/>
                <w:szCs w:val="21"/>
              </w:rPr>
            </w:pPr>
            <w:r>
              <w:rPr>
                <w:rFonts w:hint="eastAsia" w:ascii="Times New Roman" w:hAnsi="Times New Roman" w:eastAsia="黑体" w:cs="黑体"/>
                <w:snapToGrid w:val="0"/>
                <w:spacing w:val="-6"/>
                <w:kern w:val="21"/>
                <w:sz w:val="21"/>
                <w:szCs w:val="21"/>
              </w:rPr>
              <w:t>现有工程许可排放量</w:t>
            </w:r>
          </w:p>
          <w:p w14:paraId="45AA522C">
            <w:pPr>
              <w:pStyle w:val="22"/>
              <w:widowControl w:val="0"/>
              <w:adjustRightInd w:val="0"/>
              <w:snapToGrid w:val="0"/>
              <w:spacing w:before="0" w:beforeAutospacing="0" w:after="0" w:afterAutospacing="0" w:line="240" w:lineRule="auto"/>
              <w:ind w:firstLine="0" w:firstLineChars="0"/>
              <w:jc w:val="center"/>
              <w:rPr>
                <w:rFonts w:ascii="Times New Roman" w:hAnsi="Times New Roman" w:eastAsia="黑体" w:cs="黑体"/>
                <w:snapToGrid w:val="0"/>
                <w:spacing w:val="-6"/>
                <w:kern w:val="21"/>
                <w:szCs w:val="21"/>
              </w:rPr>
            </w:pPr>
            <w:r>
              <w:rPr>
                <w:rFonts w:hint="eastAsia" w:ascii="Times New Roman" w:hAnsi="Times New Roman" w:eastAsia="黑体" w:cs="黑体"/>
                <w:spacing w:val="-6"/>
                <w:kern w:val="21"/>
                <w:sz w:val="21"/>
                <w:szCs w:val="21"/>
              </w:rPr>
              <w:fldChar w:fldCharType="begin"/>
            </w:r>
            <w:r>
              <w:rPr>
                <w:rFonts w:hint="eastAsia" w:ascii="Times New Roman" w:hAnsi="Times New Roman" w:eastAsia="黑体" w:cs="黑体"/>
                <w:spacing w:val="-6"/>
                <w:kern w:val="21"/>
                <w:sz w:val="21"/>
                <w:szCs w:val="21"/>
              </w:rPr>
              <w:instrText xml:space="preserve"> </w:instrText>
            </w:r>
            <w:r>
              <w:rPr>
                <w:rFonts w:hint="eastAsia" w:ascii="Times New Roman" w:hAnsi="Times New Roman" w:eastAsia="黑体" w:cs="黑体"/>
                <w:snapToGrid w:val="0"/>
                <w:spacing w:val="-6"/>
                <w:kern w:val="21"/>
                <w:sz w:val="21"/>
                <w:szCs w:val="21"/>
              </w:rPr>
              <w:instrText xml:space="preserve">= 2 \* GB3 \* MERGEFORMAT </w:instrText>
            </w:r>
            <w:r>
              <w:rPr>
                <w:rFonts w:hint="eastAsia" w:ascii="Times New Roman" w:hAnsi="Times New Roman" w:eastAsia="黑体" w:cs="黑体"/>
                <w:spacing w:val="-6"/>
                <w:kern w:val="21"/>
                <w:sz w:val="21"/>
                <w:szCs w:val="21"/>
              </w:rPr>
              <w:fldChar w:fldCharType="separate"/>
            </w:r>
            <w:r>
              <w:rPr>
                <w:rFonts w:hint="eastAsia" w:ascii="Times New Roman" w:hAnsi="Times New Roman" w:eastAsia="黑体" w:cs="宋体"/>
                <w:snapToGrid w:val="0"/>
                <w:spacing w:val="-6"/>
                <w:kern w:val="21"/>
                <w:sz w:val="21"/>
                <w:szCs w:val="21"/>
              </w:rPr>
              <w:t>②</w:t>
            </w:r>
            <w:r>
              <w:rPr>
                <w:rFonts w:hint="eastAsia" w:ascii="Times New Roman" w:hAnsi="Times New Roman" w:eastAsia="黑体" w:cs="黑体"/>
                <w:spacing w:val="-6"/>
                <w:kern w:val="21"/>
                <w:sz w:val="21"/>
                <w:szCs w:val="21"/>
              </w:rPr>
              <w:fldChar w:fldCharType="end"/>
            </w:r>
          </w:p>
        </w:tc>
        <w:tc>
          <w:tcPr>
            <w:tcW w:w="1701" w:type="dxa"/>
            <w:tcBorders>
              <w:top w:val="single" w:color="auto" w:sz="8" w:space="0"/>
              <w:left w:val="single" w:color="auto" w:sz="4" w:space="0"/>
              <w:bottom w:val="single" w:color="auto" w:sz="4" w:space="0"/>
              <w:right w:val="single" w:color="auto" w:sz="4" w:space="0"/>
            </w:tcBorders>
            <w:shd w:val="clear" w:color="auto" w:fill="auto"/>
            <w:tcMar>
              <w:left w:w="28" w:type="dxa"/>
              <w:right w:w="28" w:type="dxa"/>
            </w:tcMar>
            <w:vAlign w:val="center"/>
          </w:tcPr>
          <w:p w14:paraId="03E3DB2C">
            <w:pPr>
              <w:pStyle w:val="22"/>
              <w:widowControl w:val="0"/>
              <w:adjustRightInd w:val="0"/>
              <w:snapToGrid w:val="0"/>
              <w:spacing w:before="0" w:beforeAutospacing="0" w:after="0" w:afterAutospacing="0" w:line="240" w:lineRule="auto"/>
              <w:ind w:firstLine="0" w:firstLineChars="0"/>
              <w:jc w:val="center"/>
              <w:rPr>
                <w:rFonts w:ascii="Times New Roman" w:hAnsi="Times New Roman" w:eastAsia="黑体" w:cs="黑体"/>
                <w:snapToGrid w:val="0"/>
                <w:spacing w:val="-6"/>
                <w:kern w:val="21"/>
                <w:szCs w:val="21"/>
              </w:rPr>
            </w:pPr>
            <w:r>
              <w:rPr>
                <w:rFonts w:hint="eastAsia" w:ascii="Times New Roman" w:hAnsi="Times New Roman" w:eastAsia="黑体" w:cs="黑体"/>
                <w:snapToGrid w:val="0"/>
                <w:spacing w:val="-6"/>
                <w:kern w:val="21"/>
                <w:sz w:val="21"/>
                <w:szCs w:val="21"/>
              </w:rPr>
              <w:t>在建工程排放量（固体废物产生量）</w:t>
            </w:r>
            <w:r>
              <w:rPr>
                <w:rFonts w:hint="eastAsia" w:ascii="Times New Roman" w:hAnsi="Times New Roman" w:eastAsia="黑体" w:cs="黑体"/>
                <w:spacing w:val="-6"/>
                <w:kern w:val="21"/>
                <w:sz w:val="21"/>
                <w:szCs w:val="21"/>
              </w:rPr>
              <w:fldChar w:fldCharType="begin"/>
            </w:r>
            <w:r>
              <w:rPr>
                <w:rFonts w:hint="eastAsia" w:ascii="Times New Roman" w:hAnsi="Times New Roman" w:eastAsia="黑体" w:cs="黑体"/>
                <w:snapToGrid w:val="0"/>
                <w:spacing w:val="-6"/>
                <w:kern w:val="21"/>
                <w:sz w:val="21"/>
                <w:szCs w:val="21"/>
              </w:rPr>
              <w:instrText xml:space="preserve"> = 3 \* GB3 \* MERGEFORMAT </w:instrText>
            </w:r>
            <w:r>
              <w:rPr>
                <w:rFonts w:hint="eastAsia" w:ascii="Times New Roman" w:hAnsi="Times New Roman" w:eastAsia="黑体" w:cs="黑体"/>
                <w:spacing w:val="-6"/>
                <w:kern w:val="21"/>
                <w:sz w:val="21"/>
                <w:szCs w:val="21"/>
              </w:rPr>
              <w:fldChar w:fldCharType="separate"/>
            </w:r>
            <w:r>
              <w:rPr>
                <w:rFonts w:hint="eastAsia" w:ascii="Times New Roman" w:hAnsi="Times New Roman" w:eastAsia="黑体" w:cs="宋体"/>
                <w:kern w:val="2"/>
                <w:sz w:val="21"/>
                <w:szCs w:val="21"/>
              </w:rPr>
              <w:t>③</w:t>
            </w:r>
            <w:r>
              <w:rPr>
                <w:rFonts w:hint="eastAsia" w:ascii="Times New Roman" w:hAnsi="Times New Roman" w:eastAsia="黑体" w:cs="黑体"/>
                <w:spacing w:val="-6"/>
                <w:kern w:val="21"/>
                <w:sz w:val="21"/>
                <w:szCs w:val="21"/>
              </w:rPr>
              <w:fldChar w:fldCharType="end"/>
            </w:r>
          </w:p>
        </w:tc>
        <w:tc>
          <w:tcPr>
            <w:tcW w:w="1558" w:type="dxa"/>
            <w:tcBorders>
              <w:top w:val="single" w:color="auto" w:sz="8" w:space="0"/>
              <w:left w:val="single" w:color="auto" w:sz="4" w:space="0"/>
              <w:bottom w:val="single" w:color="auto" w:sz="4" w:space="0"/>
              <w:right w:val="single" w:color="auto" w:sz="4" w:space="0"/>
            </w:tcBorders>
            <w:shd w:val="clear" w:color="auto" w:fill="auto"/>
            <w:tcMar>
              <w:left w:w="28" w:type="dxa"/>
              <w:right w:w="28" w:type="dxa"/>
            </w:tcMar>
            <w:vAlign w:val="center"/>
          </w:tcPr>
          <w:p w14:paraId="3A540A5F">
            <w:pPr>
              <w:pStyle w:val="22"/>
              <w:widowControl w:val="0"/>
              <w:adjustRightInd w:val="0"/>
              <w:snapToGrid w:val="0"/>
              <w:spacing w:before="0" w:beforeAutospacing="0" w:after="0" w:afterAutospacing="0" w:line="240" w:lineRule="auto"/>
              <w:ind w:firstLine="0" w:firstLineChars="0"/>
              <w:jc w:val="center"/>
              <w:rPr>
                <w:rFonts w:ascii="Times New Roman" w:hAnsi="Times New Roman" w:eastAsia="黑体" w:cs="黑体"/>
                <w:snapToGrid w:val="0"/>
                <w:spacing w:val="-6"/>
                <w:kern w:val="21"/>
                <w:szCs w:val="21"/>
              </w:rPr>
            </w:pPr>
            <w:r>
              <w:rPr>
                <w:rFonts w:hint="eastAsia" w:ascii="Times New Roman" w:hAnsi="Times New Roman" w:eastAsia="黑体" w:cs="黑体"/>
                <w:snapToGrid w:val="0"/>
                <w:spacing w:val="-6"/>
                <w:kern w:val="21"/>
                <w:sz w:val="21"/>
                <w:szCs w:val="21"/>
              </w:rPr>
              <w:t>本项目排放量（固体废物产生量）</w:t>
            </w:r>
            <w:r>
              <w:rPr>
                <w:rFonts w:hint="eastAsia" w:ascii="Times New Roman" w:hAnsi="Times New Roman" w:eastAsia="黑体" w:cs="黑体"/>
                <w:spacing w:val="-6"/>
                <w:kern w:val="21"/>
                <w:sz w:val="21"/>
                <w:szCs w:val="21"/>
              </w:rPr>
              <w:fldChar w:fldCharType="begin"/>
            </w:r>
            <w:r>
              <w:rPr>
                <w:rFonts w:hint="eastAsia" w:ascii="Times New Roman" w:hAnsi="Times New Roman" w:eastAsia="黑体" w:cs="黑体"/>
                <w:snapToGrid w:val="0"/>
                <w:spacing w:val="-6"/>
                <w:kern w:val="21"/>
                <w:sz w:val="21"/>
                <w:szCs w:val="21"/>
              </w:rPr>
              <w:instrText xml:space="preserve"> = 4 \* GB3 \* MERGEFORMAT </w:instrText>
            </w:r>
            <w:r>
              <w:rPr>
                <w:rFonts w:hint="eastAsia" w:ascii="Times New Roman" w:hAnsi="Times New Roman" w:eastAsia="黑体" w:cs="黑体"/>
                <w:spacing w:val="-6"/>
                <w:kern w:val="21"/>
                <w:sz w:val="21"/>
                <w:szCs w:val="21"/>
              </w:rPr>
              <w:fldChar w:fldCharType="separate"/>
            </w:r>
            <w:r>
              <w:rPr>
                <w:rFonts w:hint="eastAsia" w:ascii="Times New Roman" w:hAnsi="Times New Roman" w:eastAsia="黑体" w:cs="宋体"/>
                <w:kern w:val="2"/>
                <w:sz w:val="21"/>
                <w:szCs w:val="21"/>
              </w:rPr>
              <w:t>④</w:t>
            </w:r>
            <w:r>
              <w:rPr>
                <w:rFonts w:hint="eastAsia" w:ascii="Times New Roman" w:hAnsi="Times New Roman" w:eastAsia="黑体" w:cs="黑体"/>
                <w:spacing w:val="-6"/>
                <w:kern w:val="21"/>
                <w:sz w:val="21"/>
                <w:szCs w:val="21"/>
              </w:rPr>
              <w:fldChar w:fldCharType="end"/>
            </w:r>
          </w:p>
        </w:tc>
        <w:tc>
          <w:tcPr>
            <w:tcW w:w="1760" w:type="dxa"/>
            <w:tcBorders>
              <w:top w:val="single" w:color="auto" w:sz="8" w:space="0"/>
              <w:left w:val="single" w:color="auto" w:sz="4" w:space="0"/>
              <w:bottom w:val="single" w:color="auto" w:sz="4" w:space="0"/>
              <w:right w:val="single" w:color="auto" w:sz="4" w:space="0"/>
            </w:tcBorders>
            <w:shd w:val="clear" w:color="auto" w:fill="auto"/>
            <w:tcMar>
              <w:left w:w="28" w:type="dxa"/>
              <w:right w:w="28" w:type="dxa"/>
            </w:tcMar>
            <w:vAlign w:val="center"/>
          </w:tcPr>
          <w:p w14:paraId="767BCD65">
            <w:pPr>
              <w:pStyle w:val="22"/>
              <w:widowControl w:val="0"/>
              <w:adjustRightInd w:val="0"/>
              <w:snapToGrid w:val="0"/>
              <w:spacing w:before="0" w:beforeAutospacing="0" w:after="0" w:afterAutospacing="0" w:line="240" w:lineRule="auto"/>
              <w:ind w:firstLine="0" w:firstLineChars="0"/>
              <w:jc w:val="center"/>
              <w:rPr>
                <w:rFonts w:ascii="Times New Roman" w:hAnsi="Times New Roman" w:eastAsia="黑体" w:cs="黑体"/>
                <w:spacing w:val="-16"/>
                <w:kern w:val="21"/>
                <w:szCs w:val="21"/>
              </w:rPr>
            </w:pPr>
            <w:r>
              <w:rPr>
                <w:rFonts w:hint="eastAsia" w:ascii="Times New Roman" w:hAnsi="Times New Roman" w:eastAsia="黑体" w:cs="黑体"/>
                <w:snapToGrid w:val="0"/>
                <w:spacing w:val="-16"/>
                <w:kern w:val="21"/>
                <w:sz w:val="21"/>
                <w:szCs w:val="21"/>
              </w:rPr>
              <w:t>以新带老削减量</w:t>
            </w:r>
          </w:p>
          <w:p w14:paraId="6D5D6FC0">
            <w:pPr>
              <w:pStyle w:val="22"/>
              <w:widowControl w:val="0"/>
              <w:adjustRightInd w:val="0"/>
              <w:snapToGrid w:val="0"/>
              <w:spacing w:before="0" w:beforeAutospacing="0" w:after="0" w:afterAutospacing="0" w:line="240" w:lineRule="auto"/>
              <w:ind w:firstLine="0" w:firstLineChars="0"/>
              <w:jc w:val="center"/>
              <w:rPr>
                <w:rFonts w:ascii="Times New Roman" w:hAnsi="Times New Roman" w:eastAsia="黑体" w:cs="黑体"/>
                <w:snapToGrid w:val="0"/>
                <w:spacing w:val="-16"/>
                <w:kern w:val="21"/>
                <w:szCs w:val="21"/>
              </w:rPr>
            </w:pPr>
            <w:r>
              <w:rPr>
                <w:rFonts w:hint="eastAsia" w:ascii="Times New Roman" w:hAnsi="Times New Roman" w:eastAsia="黑体" w:cs="黑体"/>
                <w:snapToGrid w:val="0"/>
                <w:spacing w:val="-16"/>
                <w:kern w:val="21"/>
                <w:sz w:val="21"/>
                <w:szCs w:val="21"/>
              </w:rPr>
              <w:t>（新建项目不填）</w:t>
            </w:r>
            <w:r>
              <w:rPr>
                <w:rFonts w:hint="eastAsia" w:ascii="Times New Roman" w:hAnsi="Times New Roman" w:eastAsia="黑体" w:cs="黑体"/>
                <w:spacing w:val="-16"/>
                <w:kern w:val="21"/>
                <w:sz w:val="21"/>
                <w:szCs w:val="21"/>
              </w:rPr>
              <w:fldChar w:fldCharType="begin"/>
            </w:r>
            <w:r>
              <w:rPr>
                <w:rFonts w:hint="eastAsia" w:ascii="Times New Roman" w:hAnsi="Times New Roman" w:eastAsia="黑体" w:cs="黑体"/>
                <w:snapToGrid w:val="0"/>
                <w:spacing w:val="-16"/>
                <w:kern w:val="21"/>
                <w:sz w:val="21"/>
                <w:szCs w:val="21"/>
              </w:rPr>
              <w:instrText xml:space="preserve"> = 5 \* GB3 \* MERGEFORMAT </w:instrText>
            </w:r>
            <w:r>
              <w:rPr>
                <w:rFonts w:hint="eastAsia" w:ascii="Times New Roman" w:hAnsi="Times New Roman" w:eastAsia="黑体" w:cs="黑体"/>
                <w:spacing w:val="-16"/>
                <w:kern w:val="21"/>
                <w:sz w:val="21"/>
                <w:szCs w:val="21"/>
              </w:rPr>
              <w:fldChar w:fldCharType="separate"/>
            </w:r>
            <w:r>
              <w:rPr>
                <w:rFonts w:hint="eastAsia" w:ascii="Times New Roman" w:hAnsi="Times New Roman" w:eastAsia="黑体" w:cs="宋体"/>
                <w:kern w:val="2"/>
                <w:sz w:val="21"/>
                <w:szCs w:val="21"/>
              </w:rPr>
              <w:t>⑤</w:t>
            </w:r>
            <w:r>
              <w:rPr>
                <w:rFonts w:hint="eastAsia" w:ascii="Times New Roman" w:hAnsi="Times New Roman" w:eastAsia="黑体" w:cs="黑体"/>
                <w:spacing w:val="-16"/>
                <w:kern w:val="21"/>
                <w:sz w:val="21"/>
                <w:szCs w:val="21"/>
              </w:rPr>
              <w:fldChar w:fldCharType="end"/>
            </w:r>
          </w:p>
        </w:tc>
        <w:tc>
          <w:tcPr>
            <w:tcW w:w="1467" w:type="dxa"/>
            <w:tcBorders>
              <w:top w:val="single" w:color="auto" w:sz="8" w:space="0"/>
              <w:left w:val="single" w:color="auto" w:sz="4" w:space="0"/>
              <w:bottom w:val="single" w:color="auto" w:sz="4" w:space="0"/>
              <w:right w:val="single" w:color="auto" w:sz="4" w:space="0"/>
            </w:tcBorders>
            <w:shd w:val="clear" w:color="auto" w:fill="auto"/>
            <w:tcMar>
              <w:left w:w="28" w:type="dxa"/>
              <w:right w:w="28" w:type="dxa"/>
            </w:tcMar>
            <w:vAlign w:val="center"/>
          </w:tcPr>
          <w:p w14:paraId="497CAF32">
            <w:pPr>
              <w:pStyle w:val="22"/>
              <w:widowControl w:val="0"/>
              <w:adjustRightInd w:val="0"/>
              <w:snapToGrid w:val="0"/>
              <w:spacing w:before="0" w:beforeAutospacing="0" w:after="0" w:afterAutospacing="0" w:line="240" w:lineRule="auto"/>
              <w:ind w:firstLine="0" w:firstLineChars="0"/>
              <w:jc w:val="center"/>
              <w:rPr>
                <w:rFonts w:ascii="Times New Roman" w:hAnsi="Times New Roman" w:eastAsia="黑体" w:cs="黑体"/>
                <w:snapToGrid w:val="0"/>
                <w:spacing w:val="-16"/>
                <w:kern w:val="21"/>
                <w:szCs w:val="21"/>
              </w:rPr>
            </w:pPr>
            <w:r>
              <w:rPr>
                <w:rFonts w:hint="eastAsia" w:ascii="Times New Roman" w:hAnsi="Times New Roman" w:eastAsia="黑体" w:cs="黑体"/>
                <w:snapToGrid w:val="0"/>
                <w:spacing w:val="-16"/>
                <w:kern w:val="21"/>
                <w:sz w:val="21"/>
                <w:szCs w:val="21"/>
              </w:rPr>
              <w:t>本项目建成后全厂排放量（固体废物产生量）</w:t>
            </w:r>
            <w:r>
              <w:rPr>
                <w:rFonts w:hint="eastAsia" w:ascii="Times New Roman" w:hAnsi="Times New Roman" w:eastAsia="黑体" w:cs="黑体"/>
                <w:spacing w:val="-16"/>
                <w:kern w:val="21"/>
                <w:sz w:val="21"/>
                <w:szCs w:val="21"/>
              </w:rPr>
              <w:fldChar w:fldCharType="begin"/>
            </w:r>
            <w:r>
              <w:rPr>
                <w:rFonts w:hint="eastAsia" w:ascii="Times New Roman" w:hAnsi="Times New Roman" w:eastAsia="黑体" w:cs="黑体"/>
                <w:snapToGrid w:val="0"/>
                <w:spacing w:val="-16"/>
                <w:kern w:val="21"/>
                <w:sz w:val="21"/>
                <w:szCs w:val="21"/>
              </w:rPr>
              <w:instrText xml:space="preserve"> = 6 \* GB3 \* MERGEFORMAT </w:instrText>
            </w:r>
            <w:r>
              <w:rPr>
                <w:rFonts w:hint="eastAsia" w:ascii="Times New Roman" w:hAnsi="Times New Roman" w:eastAsia="黑体" w:cs="黑体"/>
                <w:spacing w:val="-16"/>
                <w:kern w:val="21"/>
                <w:sz w:val="21"/>
                <w:szCs w:val="21"/>
              </w:rPr>
              <w:fldChar w:fldCharType="separate"/>
            </w:r>
            <w:r>
              <w:rPr>
                <w:rFonts w:hint="eastAsia" w:ascii="Times New Roman" w:hAnsi="Times New Roman" w:eastAsia="黑体" w:cs="宋体"/>
                <w:kern w:val="2"/>
                <w:sz w:val="21"/>
                <w:szCs w:val="21"/>
              </w:rPr>
              <w:t>⑥</w:t>
            </w:r>
            <w:r>
              <w:rPr>
                <w:rFonts w:hint="eastAsia" w:ascii="Times New Roman" w:hAnsi="Times New Roman" w:eastAsia="黑体" w:cs="黑体"/>
                <w:spacing w:val="-16"/>
                <w:kern w:val="21"/>
                <w:sz w:val="21"/>
                <w:szCs w:val="21"/>
              </w:rPr>
              <w:fldChar w:fldCharType="end"/>
            </w:r>
          </w:p>
        </w:tc>
        <w:tc>
          <w:tcPr>
            <w:tcW w:w="1316" w:type="dxa"/>
            <w:tcBorders>
              <w:top w:val="single" w:color="auto" w:sz="8" w:space="0"/>
              <w:left w:val="single" w:color="auto" w:sz="4" w:space="0"/>
              <w:bottom w:val="single" w:color="auto" w:sz="4" w:space="0"/>
              <w:right w:val="single" w:color="auto" w:sz="8" w:space="0"/>
            </w:tcBorders>
            <w:shd w:val="clear" w:color="auto" w:fill="auto"/>
            <w:tcMar>
              <w:left w:w="28" w:type="dxa"/>
              <w:right w:w="28" w:type="dxa"/>
            </w:tcMar>
            <w:vAlign w:val="center"/>
          </w:tcPr>
          <w:p w14:paraId="337E7B0B">
            <w:pPr>
              <w:pStyle w:val="22"/>
              <w:widowControl w:val="0"/>
              <w:adjustRightInd w:val="0"/>
              <w:snapToGrid w:val="0"/>
              <w:spacing w:before="0" w:beforeAutospacing="0" w:after="0" w:afterAutospacing="0" w:line="240" w:lineRule="auto"/>
              <w:ind w:firstLine="0" w:firstLineChars="0"/>
              <w:jc w:val="center"/>
              <w:rPr>
                <w:rFonts w:ascii="Times New Roman" w:hAnsi="Times New Roman" w:eastAsia="黑体" w:cs="黑体"/>
                <w:spacing w:val="-6"/>
                <w:kern w:val="21"/>
                <w:szCs w:val="21"/>
              </w:rPr>
            </w:pPr>
            <w:r>
              <w:rPr>
                <w:rFonts w:hint="eastAsia" w:ascii="Times New Roman" w:hAnsi="Times New Roman" w:eastAsia="黑体" w:cs="黑体"/>
                <w:snapToGrid w:val="0"/>
                <w:spacing w:val="-6"/>
                <w:kern w:val="21"/>
                <w:sz w:val="21"/>
                <w:szCs w:val="21"/>
              </w:rPr>
              <w:t>变化量</w:t>
            </w:r>
          </w:p>
          <w:p w14:paraId="510D9314">
            <w:pPr>
              <w:pStyle w:val="22"/>
              <w:widowControl w:val="0"/>
              <w:adjustRightInd w:val="0"/>
              <w:snapToGrid w:val="0"/>
              <w:spacing w:before="0" w:beforeAutospacing="0" w:after="0" w:afterAutospacing="0" w:line="240" w:lineRule="auto"/>
              <w:ind w:firstLine="0" w:firstLineChars="0"/>
              <w:jc w:val="center"/>
              <w:rPr>
                <w:rFonts w:ascii="Times New Roman" w:hAnsi="Times New Roman" w:eastAsia="黑体" w:cs="黑体"/>
                <w:snapToGrid w:val="0"/>
                <w:spacing w:val="-6"/>
                <w:kern w:val="21"/>
                <w:szCs w:val="21"/>
              </w:rPr>
            </w:pPr>
            <w:r>
              <w:rPr>
                <w:rFonts w:hint="eastAsia" w:ascii="Times New Roman" w:hAnsi="Times New Roman" w:eastAsia="黑体" w:cs="黑体"/>
                <w:spacing w:val="-6"/>
                <w:kern w:val="21"/>
                <w:sz w:val="21"/>
                <w:szCs w:val="21"/>
              </w:rPr>
              <w:fldChar w:fldCharType="begin"/>
            </w:r>
            <w:r>
              <w:rPr>
                <w:rFonts w:hint="eastAsia" w:ascii="Times New Roman" w:hAnsi="Times New Roman" w:eastAsia="黑体" w:cs="黑体"/>
                <w:spacing w:val="-6"/>
                <w:kern w:val="21"/>
                <w:sz w:val="21"/>
                <w:szCs w:val="21"/>
              </w:rPr>
              <w:instrText xml:space="preserve"> </w:instrText>
            </w:r>
            <w:r>
              <w:rPr>
                <w:rFonts w:hint="eastAsia" w:ascii="Times New Roman" w:hAnsi="Times New Roman" w:eastAsia="黑体" w:cs="黑体"/>
                <w:snapToGrid w:val="0"/>
                <w:spacing w:val="-6"/>
                <w:kern w:val="21"/>
                <w:sz w:val="21"/>
                <w:szCs w:val="21"/>
              </w:rPr>
              <w:instrText xml:space="preserve">= 7 \* GB3 \* MERGEFORMAT </w:instrText>
            </w:r>
            <w:r>
              <w:rPr>
                <w:rFonts w:hint="eastAsia" w:ascii="Times New Roman" w:hAnsi="Times New Roman" w:eastAsia="黑体" w:cs="黑体"/>
                <w:spacing w:val="-6"/>
                <w:kern w:val="21"/>
                <w:sz w:val="21"/>
                <w:szCs w:val="21"/>
              </w:rPr>
              <w:fldChar w:fldCharType="separate"/>
            </w:r>
            <w:r>
              <w:rPr>
                <w:rFonts w:hint="eastAsia" w:ascii="Times New Roman" w:hAnsi="Times New Roman" w:eastAsia="黑体" w:cs="宋体"/>
                <w:kern w:val="2"/>
                <w:sz w:val="21"/>
                <w:szCs w:val="21"/>
              </w:rPr>
              <w:t>⑦</w:t>
            </w:r>
            <w:r>
              <w:rPr>
                <w:rFonts w:hint="eastAsia" w:ascii="Times New Roman" w:hAnsi="Times New Roman" w:eastAsia="黑体" w:cs="黑体"/>
                <w:spacing w:val="-6"/>
                <w:kern w:val="21"/>
                <w:sz w:val="21"/>
                <w:szCs w:val="21"/>
              </w:rPr>
              <w:fldChar w:fldCharType="end"/>
            </w:r>
          </w:p>
        </w:tc>
      </w:tr>
      <w:tr w14:paraId="4F7904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80" w:type="dxa"/>
            <w:vMerge w:val="restart"/>
            <w:tcBorders>
              <w:top w:val="single" w:color="auto" w:sz="4" w:space="0"/>
              <w:left w:val="single" w:color="auto" w:sz="8" w:space="0"/>
              <w:right w:val="single" w:color="auto" w:sz="4" w:space="0"/>
            </w:tcBorders>
            <w:shd w:val="clear" w:color="auto" w:fill="auto"/>
            <w:vAlign w:val="center"/>
          </w:tcPr>
          <w:p w14:paraId="7E32EB86">
            <w:pPr>
              <w:pStyle w:val="22"/>
              <w:widowControl w:val="0"/>
              <w:adjustRightInd w:val="0"/>
              <w:snapToGrid w:val="0"/>
              <w:spacing w:before="0" w:beforeAutospacing="0" w:after="0" w:afterAutospacing="0" w:line="240" w:lineRule="auto"/>
              <w:ind w:firstLine="0" w:firstLineChars="0"/>
              <w:jc w:val="center"/>
              <w:rPr>
                <w:rFonts w:ascii="Times New Roman" w:hAnsi="Times New Roman" w:cs="宋体"/>
                <w:kern w:val="21"/>
                <w:szCs w:val="21"/>
              </w:rPr>
            </w:pPr>
            <w:r>
              <w:rPr>
                <w:rFonts w:hint="eastAsia" w:ascii="Times New Roman" w:hAnsi="Times New Roman" w:cs="宋体"/>
                <w:snapToGrid w:val="0"/>
                <w:kern w:val="21"/>
                <w:sz w:val="21"/>
                <w:szCs w:val="21"/>
              </w:rPr>
              <w:t>废气</w:t>
            </w:r>
          </w:p>
        </w:tc>
        <w:tc>
          <w:tcPr>
            <w:tcW w:w="1823" w:type="dxa"/>
            <w:tcBorders>
              <w:top w:val="single" w:color="auto" w:sz="4" w:space="0"/>
              <w:left w:val="single" w:color="auto" w:sz="4" w:space="0"/>
              <w:bottom w:val="single" w:color="auto" w:sz="4" w:space="0"/>
              <w:right w:val="single" w:color="auto" w:sz="4" w:space="0"/>
            </w:tcBorders>
            <w:shd w:val="clear" w:color="auto" w:fill="auto"/>
            <w:vAlign w:val="center"/>
          </w:tcPr>
          <w:p w14:paraId="5BBFCCA0">
            <w:pPr>
              <w:pStyle w:val="22"/>
              <w:widowControl w:val="0"/>
              <w:spacing w:before="0" w:beforeAutospacing="0" w:after="0" w:afterAutospacing="0" w:line="240" w:lineRule="auto"/>
              <w:ind w:firstLine="0" w:firstLineChars="0"/>
              <w:jc w:val="center"/>
              <w:rPr>
                <w:rFonts w:ascii="Times New Roman" w:hAnsi="Times New Roman"/>
                <w:bCs/>
                <w:spacing w:val="-10"/>
                <w:sz w:val="21"/>
                <w:szCs w:val="21"/>
              </w:rPr>
            </w:pPr>
            <w:r>
              <w:rPr>
                <w:rFonts w:hint="eastAsia" w:ascii="Times New Roman" w:hAnsi="Times New Roman"/>
                <w:bCs/>
                <w:spacing w:val="-10"/>
                <w:sz w:val="21"/>
                <w:szCs w:val="21"/>
              </w:rPr>
              <w:t>废气量</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426286C5">
            <w:pPr>
              <w:spacing w:line="240" w:lineRule="auto"/>
              <w:ind w:firstLine="0" w:firstLineChars="0"/>
              <w:jc w:val="center"/>
              <w:rPr>
                <w:bCs/>
                <w:kern w:val="10"/>
                <w:sz w:val="21"/>
                <w:szCs w:val="21"/>
              </w:rPr>
            </w:pPr>
            <w:r>
              <w:rPr>
                <w:rFonts w:hint="eastAsia"/>
                <w:bCs/>
                <w:kern w:val="10"/>
                <w:sz w:val="21"/>
                <w:szCs w:val="21"/>
              </w:rPr>
              <w:t>/</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19C03CFF">
            <w:pPr>
              <w:spacing w:line="240" w:lineRule="auto"/>
              <w:ind w:firstLine="0" w:firstLineChars="0"/>
              <w:jc w:val="center"/>
              <w:rPr>
                <w:bCs/>
                <w:kern w:val="10"/>
                <w:sz w:val="21"/>
                <w:szCs w:val="21"/>
              </w:rPr>
            </w:pPr>
            <w:r>
              <w:rPr>
                <w:rFonts w:hint="eastAsia"/>
                <w:bCs/>
                <w:kern w:val="10"/>
                <w:sz w:val="21"/>
                <w:szCs w:val="21"/>
              </w:rPr>
              <w:t>/</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773CD0E4">
            <w:pPr>
              <w:spacing w:line="240" w:lineRule="auto"/>
              <w:ind w:firstLine="0" w:firstLineChars="0"/>
              <w:jc w:val="center"/>
              <w:rPr>
                <w:bCs/>
                <w:kern w:val="10"/>
                <w:sz w:val="21"/>
                <w:szCs w:val="21"/>
              </w:rPr>
            </w:pPr>
            <w:r>
              <w:rPr>
                <w:rFonts w:hint="eastAsia"/>
                <w:bCs/>
                <w:kern w:val="10"/>
                <w:sz w:val="21"/>
                <w:szCs w:val="21"/>
              </w:rPr>
              <w:t>/</w:t>
            </w:r>
          </w:p>
        </w:tc>
        <w:tc>
          <w:tcPr>
            <w:tcW w:w="1558" w:type="dxa"/>
            <w:tcBorders>
              <w:top w:val="single" w:color="auto" w:sz="4" w:space="0"/>
              <w:left w:val="single" w:color="auto" w:sz="4" w:space="0"/>
              <w:bottom w:val="single" w:color="auto" w:sz="4" w:space="0"/>
              <w:right w:val="single" w:color="auto" w:sz="4" w:space="0"/>
            </w:tcBorders>
            <w:shd w:val="clear" w:color="auto" w:fill="auto"/>
            <w:vAlign w:val="center"/>
          </w:tcPr>
          <w:p w14:paraId="1ADDEDCE">
            <w:pPr>
              <w:spacing w:line="240" w:lineRule="auto"/>
              <w:ind w:firstLine="0" w:firstLineChars="0"/>
              <w:jc w:val="center"/>
              <w:rPr>
                <w:bCs/>
                <w:kern w:val="10"/>
                <w:sz w:val="21"/>
                <w:szCs w:val="21"/>
              </w:rPr>
            </w:pPr>
            <w:r>
              <w:rPr>
                <w:rFonts w:hint="eastAsia"/>
                <w:bCs/>
                <w:kern w:val="10"/>
                <w:sz w:val="21"/>
                <w:szCs w:val="21"/>
              </w:rPr>
              <w:t>20471.22</w:t>
            </w:r>
          </w:p>
        </w:tc>
        <w:tc>
          <w:tcPr>
            <w:tcW w:w="1760" w:type="dxa"/>
            <w:tcBorders>
              <w:top w:val="single" w:color="auto" w:sz="4" w:space="0"/>
              <w:left w:val="single" w:color="auto" w:sz="4" w:space="0"/>
              <w:bottom w:val="single" w:color="auto" w:sz="4" w:space="0"/>
              <w:right w:val="single" w:color="auto" w:sz="4" w:space="0"/>
            </w:tcBorders>
            <w:shd w:val="clear" w:color="auto" w:fill="auto"/>
            <w:vAlign w:val="center"/>
          </w:tcPr>
          <w:p w14:paraId="37372771">
            <w:pPr>
              <w:spacing w:line="240" w:lineRule="auto"/>
              <w:ind w:firstLine="0" w:firstLineChars="0"/>
              <w:jc w:val="center"/>
              <w:rPr>
                <w:bCs/>
                <w:kern w:val="10"/>
                <w:sz w:val="21"/>
                <w:szCs w:val="21"/>
              </w:rPr>
            </w:pPr>
            <w:r>
              <w:rPr>
                <w:rFonts w:hint="eastAsia"/>
                <w:bCs/>
                <w:kern w:val="10"/>
                <w:sz w:val="21"/>
                <w:szCs w:val="21"/>
              </w:rPr>
              <w:t>/</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70818F38">
            <w:pPr>
              <w:spacing w:line="240" w:lineRule="auto"/>
              <w:ind w:firstLine="0" w:firstLineChars="0"/>
              <w:jc w:val="center"/>
              <w:rPr>
                <w:bCs/>
                <w:kern w:val="10"/>
                <w:sz w:val="21"/>
                <w:szCs w:val="21"/>
              </w:rPr>
            </w:pPr>
            <w:r>
              <w:rPr>
                <w:rFonts w:hint="eastAsia"/>
                <w:bCs/>
                <w:kern w:val="10"/>
                <w:sz w:val="21"/>
                <w:szCs w:val="21"/>
              </w:rPr>
              <w:t>20471.22</w:t>
            </w:r>
          </w:p>
        </w:tc>
        <w:tc>
          <w:tcPr>
            <w:tcW w:w="1316" w:type="dxa"/>
            <w:tcBorders>
              <w:top w:val="single" w:color="auto" w:sz="4" w:space="0"/>
              <w:left w:val="single" w:color="auto" w:sz="4" w:space="0"/>
              <w:bottom w:val="single" w:color="auto" w:sz="4" w:space="0"/>
              <w:right w:val="single" w:color="auto" w:sz="8" w:space="0"/>
            </w:tcBorders>
            <w:shd w:val="clear" w:color="auto" w:fill="auto"/>
            <w:vAlign w:val="center"/>
          </w:tcPr>
          <w:p w14:paraId="3823876D">
            <w:pPr>
              <w:spacing w:line="240" w:lineRule="auto"/>
              <w:ind w:firstLine="0" w:firstLineChars="0"/>
              <w:jc w:val="center"/>
              <w:rPr>
                <w:bCs/>
                <w:kern w:val="10"/>
                <w:sz w:val="21"/>
                <w:szCs w:val="21"/>
              </w:rPr>
            </w:pPr>
            <w:r>
              <w:rPr>
                <w:rFonts w:hint="eastAsia"/>
                <w:bCs/>
                <w:kern w:val="10"/>
                <w:sz w:val="21"/>
                <w:szCs w:val="21"/>
              </w:rPr>
              <w:t>/</w:t>
            </w:r>
          </w:p>
        </w:tc>
      </w:tr>
      <w:tr w14:paraId="417924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80" w:type="dxa"/>
            <w:vMerge w:val="continue"/>
            <w:tcBorders>
              <w:left w:val="single" w:color="auto" w:sz="8" w:space="0"/>
              <w:right w:val="single" w:color="auto" w:sz="4" w:space="0"/>
            </w:tcBorders>
            <w:shd w:val="clear" w:color="auto" w:fill="auto"/>
            <w:vAlign w:val="center"/>
          </w:tcPr>
          <w:p w14:paraId="724FE3E0">
            <w:pPr>
              <w:pStyle w:val="22"/>
              <w:widowControl w:val="0"/>
              <w:adjustRightInd w:val="0"/>
              <w:snapToGrid w:val="0"/>
              <w:spacing w:before="0" w:beforeAutospacing="0" w:after="0" w:afterAutospacing="0" w:line="240" w:lineRule="auto"/>
              <w:ind w:firstLine="0" w:firstLineChars="0"/>
              <w:jc w:val="center"/>
              <w:rPr>
                <w:rFonts w:ascii="Times New Roman" w:hAnsi="Times New Roman" w:cs="宋体"/>
                <w:kern w:val="21"/>
                <w:szCs w:val="21"/>
              </w:rPr>
            </w:pPr>
          </w:p>
        </w:tc>
        <w:tc>
          <w:tcPr>
            <w:tcW w:w="1823" w:type="dxa"/>
            <w:tcBorders>
              <w:top w:val="single" w:color="auto" w:sz="4" w:space="0"/>
              <w:left w:val="single" w:color="auto" w:sz="4" w:space="0"/>
              <w:bottom w:val="single" w:color="auto" w:sz="4" w:space="0"/>
              <w:right w:val="single" w:color="auto" w:sz="4" w:space="0"/>
            </w:tcBorders>
            <w:shd w:val="clear" w:color="auto" w:fill="auto"/>
            <w:vAlign w:val="center"/>
          </w:tcPr>
          <w:p w14:paraId="6DCB556E">
            <w:pPr>
              <w:pStyle w:val="22"/>
              <w:widowControl w:val="0"/>
              <w:spacing w:before="0" w:beforeAutospacing="0" w:after="0" w:afterAutospacing="0" w:line="240" w:lineRule="auto"/>
              <w:ind w:firstLine="0" w:firstLineChars="0"/>
              <w:jc w:val="center"/>
              <w:rPr>
                <w:rFonts w:ascii="Times New Roman" w:hAnsi="Times New Roman"/>
                <w:snapToGrid w:val="0"/>
                <w:kern w:val="21"/>
                <w:szCs w:val="21"/>
              </w:rPr>
            </w:pPr>
            <w:r>
              <w:rPr>
                <w:rFonts w:hint="eastAsia" w:ascii="Times New Roman" w:hAnsi="Times New Roman"/>
                <w:bCs/>
                <w:spacing w:val="-10"/>
                <w:sz w:val="21"/>
                <w:szCs w:val="21"/>
              </w:rPr>
              <w:t>颗粒物</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186667F1">
            <w:pPr>
              <w:spacing w:line="240" w:lineRule="auto"/>
              <w:ind w:firstLine="0" w:firstLineChars="0"/>
              <w:jc w:val="center"/>
              <w:rPr>
                <w:bCs/>
                <w:kern w:val="10"/>
                <w:sz w:val="21"/>
                <w:szCs w:val="21"/>
              </w:rPr>
            </w:pPr>
            <w:r>
              <w:rPr>
                <w:rFonts w:hint="eastAsia"/>
                <w:bCs/>
                <w:kern w:val="10"/>
                <w:sz w:val="21"/>
                <w:szCs w:val="21"/>
              </w:rPr>
              <w:t>/</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1918A8CA">
            <w:pPr>
              <w:spacing w:line="240" w:lineRule="auto"/>
              <w:ind w:firstLine="0" w:firstLineChars="0"/>
              <w:jc w:val="center"/>
              <w:rPr>
                <w:bCs/>
                <w:kern w:val="10"/>
                <w:sz w:val="21"/>
                <w:szCs w:val="21"/>
              </w:rPr>
            </w:pPr>
            <w:r>
              <w:rPr>
                <w:rFonts w:hint="eastAsia"/>
                <w:bCs/>
                <w:kern w:val="10"/>
                <w:sz w:val="21"/>
                <w:szCs w:val="21"/>
              </w:rPr>
              <w:t>/</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66B75F49">
            <w:pPr>
              <w:spacing w:line="240" w:lineRule="auto"/>
              <w:ind w:firstLine="0" w:firstLineChars="0"/>
              <w:jc w:val="center"/>
              <w:rPr>
                <w:bCs/>
                <w:kern w:val="10"/>
                <w:sz w:val="21"/>
                <w:szCs w:val="21"/>
              </w:rPr>
            </w:pPr>
            <w:r>
              <w:rPr>
                <w:rFonts w:hint="eastAsia"/>
                <w:bCs/>
                <w:kern w:val="10"/>
                <w:sz w:val="21"/>
                <w:szCs w:val="21"/>
              </w:rPr>
              <w:t>/</w:t>
            </w:r>
          </w:p>
        </w:tc>
        <w:tc>
          <w:tcPr>
            <w:tcW w:w="1558" w:type="dxa"/>
            <w:tcBorders>
              <w:top w:val="single" w:color="auto" w:sz="4" w:space="0"/>
              <w:left w:val="single" w:color="auto" w:sz="4" w:space="0"/>
              <w:bottom w:val="single" w:color="auto" w:sz="4" w:space="0"/>
              <w:right w:val="single" w:color="auto" w:sz="4" w:space="0"/>
            </w:tcBorders>
            <w:shd w:val="clear" w:color="auto" w:fill="auto"/>
            <w:vAlign w:val="center"/>
          </w:tcPr>
          <w:p w14:paraId="04D8868C">
            <w:pPr>
              <w:spacing w:line="240" w:lineRule="auto"/>
              <w:ind w:firstLine="0" w:firstLineChars="0"/>
              <w:jc w:val="center"/>
              <w:rPr>
                <w:bCs/>
                <w:kern w:val="10"/>
                <w:sz w:val="21"/>
                <w:szCs w:val="21"/>
              </w:rPr>
            </w:pPr>
            <w:r>
              <w:rPr>
                <w:rFonts w:hint="eastAsia"/>
                <w:bCs/>
                <w:kern w:val="10"/>
                <w:sz w:val="21"/>
                <w:szCs w:val="21"/>
              </w:rPr>
              <w:t>1.1122</w:t>
            </w:r>
          </w:p>
        </w:tc>
        <w:tc>
          <w:tcPr>
            <w:tcW w:w="1760" w:type="dxa"/>
            <w:tcBorders>
              <w:top w:val="single" w:color="auto" w:sz="4" w:space="0"/>
              <w:left w:val="single" w:color="auto" w:sz="4" w:space="0"/>
              <w:bottom w:val="single" w:color="auto" w:sz="4" w:space="0"/>
              <w:right w:val="single" w:color="auto" w:sz="4" w:space="0"/>
            </w:tcBorders>
            <w:shd w:val="clear" w:color="auto" w:fill="auto"/>
            <w:vAlign w:val="center"/>
          </w:tcPr>
          <w:p w14:paraId="7123C402">
            <w:pPr>
              <w:spacing w:line="240" w:lineRule="auto"/>
              <w:ind w:firstLine="0" w:firstLineChars="0"/>
              <w:jc w:val="center"/>
              <w:rPr>
                <w:bCs/>
                <w:kern w:val="10"/>
                <w:sz w:val="21"/>
                <w:szCs w:val="21"/>
              </w:rPr>
            </w:pPr>
            <w:r>
              <w:rPr>
                <w:rFonts w:hint="eastAsia"/>
                <w:bCs/>
                <w:kern w:val="10"/>
                <w:sz w:val="21"/>
                <w:szCs w:val="21"/>
              </w:rPr>
              <w:t>/</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0BF204C4">
            <w:pPr>
              <w:spacing w:line="240" w:lineRule="auto"/>
              <w:ind w:firstLine="0" w:firstLineChars="0"/>
              <w:jc w:val="center"/>
              <w:rPr>
                <w:bCs/>
                <w:kern w:val="10"/>
                <w:sz w:val="21"/>
                <w:szCs w:val="21"/>
              </w:rPr>
            </w:pPr>
            <w:r>
              <w:rPr>
                <w:rFonts w:hint="eastAsia"/>
                <w:bCs/>
                <w:kern w:val="10"/>
                <w:sz w:val="21"/>
                <w:szCs w:val="21"/>
              </w:rPr>
              <w:t>1.1122</w:t>
            </w:r>
          </w:p>
        </w:tc>
        <w:tc>
          <w:tcPr>
            <w:tcW w:w="1316" w:type="dxa"/>
            <w:tcBorders>
              <w:top w:val="single" w:color="auto" w:sz="4" w:space="0"/>
              <w:left w:val="single" w:color="auto" w:sz="4" w:space="0"/>
              <w:bottom w:val="single" w:color="auto" w:sz="4" w:space="0"/>
              <w:right w:val="single" w:color="auto" w:sz="8" w:space="0"/>
            </w:tcBorders>
            <w:shd w:val="clear" w:color="auto" w:fill="auto"/>
            <w:vAlign w:val="center"/>
          </w:tcPr>
          <w:p w14:paraId="7406BCD2">
            <w:pPr>
              <w:spacing w:line="240" w:lineRule="auto"/>
              <w:ind w:firstLine="0" w:firstLineChars="0"/>
              <w:jc w:val="center"/>
              <w:rPr>
                <w:bCs/>
                <w:kern w:val="10"/>
                <w:sz w:val="21"/>
                <w:szCs w:val="21"/>
              </w:rPr>
            </w:pPr>
            <w:r>
              <w:rPr>
                <w:rFonts w:hint="eastAsia"/>
                <w:bCs/>
                <w:kern w:val="10"/>
                <w:sz w:val="21"/>
                <w:szCs w:val="21"/>
              </w:rPr>
              <w:t>/</w:t>
            </w:r>
          </w:p>
        </w:tc>
      </w:tr>
      <w:tr w14:paraId="5E515B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80" w:type="dxa"/>
            <w:vMerge w:val="continue"/>
            <w:tcBorders>
              <w:left w:val="single" w:color="auto" w:sz="8" w:space="0"/>
              <w:right w:val="single" w:color="auto" w:sz="4" w:space="0"/>
            </w:tcBorders>
            <w:shd w:val="clear" w:color="auto" w:fill="auto"/>
            <w:vAlign w:val="center"/>
          </w:tcPr>
          <w:p w14:paraId="1358EBF5">
            <w:pPr>
              <w:pStyle w:val="22"/>
              <w:widowControl w:val="0"/>
              <w:adjustRightInd w:val="0"/>
              <w:snapToGrid w:val="0"/>
              <w:spacing w:before="0" w:beforeAutospacing="0" w:after="0" w:afterAutospacing="0" w:line="240" w:lineRule="auto"/>
              <w:ind w:firstLine="0" w:firstLineChars="0"/>
              <w:jc w:val="center"/>
              <w:rPr>
                <w:rFonts w:ascii="Times New Roman" w:hAnsi="Times New Roman" w:cs="宋体"/>
                <w:kern w:val="21"/>
                <w:szCs w:val="21"/>
              </w:rPr>
            </w:pPr>
          </w:p>
        </w:tc>
        <w:tc>
          <w:tcPr>
            <w:tcW w:w="1823" w:type="dxa"/>
            <w:tcBorders>
              <w:top w:val="single" w:color="auto" w:sz="4" w:space="0"/>
              <w:left w:val="single" w:color="auto" w:sz="4" w:space="0"/>
              <w:bottom w:val="single" w:color="auto" w:sz="4" w:space="0"/>
              <w:right w:val="single" w:color="auto" w:sz="4" w:space="0"/>
            </w:tcBorders>
            <w:shd w:val="clear" w:color="auto" w:fill="auto"/>
            <w:vAlign w:val="center"/>
          </w:tcPr>
          <w:p w14:paraId="7B48B627">
            <w:pPr>
              <w:pStyle w:val="22"/>
              <w:widowControl w:val="0"/>
              <w:spacing w:before="0" w:beforeAutospacing="0" w:after="0" w:afterAutospacing="0" w:line="240" w:lineRule="auto"/>
              <w:ind w:firstLine="0" w:firstLineChars="0"/>
              <w:jc w:val="center"/>
              <w:rPr>
                <w:rFonts w:ascii="Times New Roman" w:hAnsi="Times New Roman"/>
                <w:bCs/>
                <w:spacing w:val="-10"/>
                <w:sz w:val="21"/>
                <w:szCs w:val="21"/>
              </w:rPr>
            </w:pPr>
            <w:r>
              <w:rPr>
                <w:rFonts w:hint="eastAsia" w:ascii="Times New Roman" w:hAnsi="Times New Roman"/>
                <w:bCs/>
                <w:spacing w:val="-10"/>
                <w:sz w:val="21"/>
                <w:szCs w:val="21"/>
              </w:rPr>
              <w:t>SO</w:t>
            </w:r>
            <w:r>
              <w:rPr>
                <w:rFonts w:hint="eastAsia" w:ascii="Times New Roman" w:hAnsi="Times New Roman"/>
                <w:bCs/>
                <w:spacing w:val="-10"/>
                <w:sz w:val="21"/>
                <w:szCs w:val="21"/>
                <w:vertAlign w:val="subscript"/>
              </w:rPr>
              <w:t>2</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1B879C0F">
            <w:pPr>
              <w:spacing w:line="240" w:lineRule="auto"/>
              <w:ind w:firstLine="0" w:firstLineChars="0"/>
              <w:jc w:val="center"/>
              <w:rPr>
                <w:bCs/>
                <w:kern w:val="10"/>
                <w:sz w:val="21"/>
                <w:szCs w:val="21"/>
              </w:rPr>
            </w:pPr>
            <w:r>
              <w:rPr>
                <w:rFonts w:hint="eastAsia"/>
                <w:bCs/>
                <w:kern w:val="10"/>
                <w:sz w:val="21"/>
                <w:szCs w:val="21"/>
              </w:rPr>
              <w:t>/</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57875332">
            <w:pPr>
              <w:spacing w:line="240" w:lineRule="auto"/>
              <w:ind w:firstLine="0" w:firstLineChars="0"/>
              <w:jc w:val="center"/>
              <w:rPr>
                <w:bCs/>
                <w:kern w:val="10"/>
                <w:sz w:val="21"/>
                <w:szCs w:val="21"/>
              </w:rPr>
            </w:pPr>
            <w:r>
              <w:rPr>
                <w:rFonts w:hint="eastAsia"/>
                <w:bCs/>
                <w:kern w:val="10"/>
                <w:sz w:val="21"/>
                <w:szCs w:val="21"/>
              </w:rPr>
              <w:t>/</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0DA0E852">
            <w:pPr>
              <w:spacing w:line="240" w:lineRule="auto"/>
              <w:ind w:firstLine="0" w:firstLineChars="0"/>
              <w:jc w:val="center"/>
              <w:rPr>
                <w:bCs/>
                <w:kern w:val="10"/>
                <w:sz w:val="21"/>
                <w:szCs w:val="21"/>
              </w:rPr>
            </w:pPr>
            <w:r>
              <w:rPr>
                <w:rFonts w:hint="eastAsia"/>
                <w:bCs/>
                <w:kern w:val="10"/>
                <w:sz w:val="21"/>
                <w:szCs w:val="21"/>
              </w:rPr>
              <w:t>/</w:t>
            </w:r>
          </w:p>
        </w:tc>
        <w:tc>
          <w:tcPr>
            <w:tcW w:w="1558" w:type="dxa"/>
            <w:tcBorders>
              <w:top w:val="single" w:color="auto" w:sz="4" w:space="0"/>
              <w:left w:val="single" w:color="auto" w:sz="4" w:space="0"/>
              <w:bottom w:val="single" w:color="auto" w:sz="4" w:space="0"/>
              <w:right w:val="single" w:color="auto" w:sz="4" w:space="0"/>
            </w:tcBorders>
            <w:shd w:val="clear" w:color="auto" w:fill="auto"/>
            <w:vAlign w:val="center"/>
          </w:tcPr>
          <w:p w14:paraId="60BA079A">
            <w:pPr>
              <w:spacing w:line="240" w:lineRule="auto"/>
              <w:ind w:firstLine="0" w:firstLineChars="0"/>
              <w:jc w:val="center"/>
              <w:rPr>
                <w:bCs/>
                <w:kern w:val="10"/>
                <w:sz w:val="21"/>
                <w:szCs w:val="21"/>
              </w:rPr>
            </w:pPr>
            <w:r>
              <w:rPr>
                <w:rFonts w:hint="eastAsia"/>
                <w:bCs/>
                <w:kern w:val="10"/>
                <w:sz w:val="21"/>
                <w:szCs w:val="21"/>
              </w:rPr>
              <w:t>0.0018</w:t>
            </w:r>
          </w:p>
        </w:tc>
        <w:tc>
          <w:tcPr>
            <w:tcW w:w="1760" w:type="dxa"/>
            <w:tcBorders>
              <w:top w:val="single" w:color="auto" w:sz="4" w:space="0"/>
              <w:left w:val="single" w:color="auto" w:sz="4" w:space="0"/>
              <w:bottom w:val="single" w:color="auto" w:sz="4" w:space="0"/>
              <w:right w:val="single" w:color="auto" w:sz="4" w:space="0"/>
            </w:tcBorders>
            <w:shd w:val="clear" w:color="auto" w:fill="auto"/>
            <w:vAlign w:val="center"/>
          </w:tcPr>
          <w:p w14:paraId="4FA297EE">
            <w:pPr>
              <w:spacing w:line="240" w:lineRule="auto"/>
              <w:ind w:firstLine="0" w:firstLineChars="0"/>
              <w:jc w:val="center"/>
              <w:rPr>
                <w:bCs/>
                <w:kern w:val="10"/>
                <w:sz w:val="21"/>
                <w:szCs w:val="21"/>
              </w:rPr>
            </w:pPr>
            <w:r>
              <w:rPr>
                <w:rFonts w:hint="eastAsia"/>
                <w:bCs/>
                <w:kern w:val="10"/>
                <w:sz w:val="21"/>
                <w:szCs w:val="21"/>
              </w:rPr>
              <w:t>/</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5061F367">
            <w:pPr>
              <w:spacing w:line="240" w:lineRule="auto"/>
              <w:ind w:firstLine="0" w:firstLineChars="0"/>
              <w:jc w:val="center"/>
              <w:rPr>
                <w:bCs/>
                <w:kern w:val="10"/>
                <w:sz w:val="21"/>
                <w:szCs w:val="21"/>
              </w:rPr>
            </w:pPr>
            <w:r>
              <w:rPr>
                <w:rFonts w:hint="eastAsia"/>
                <w:bCs/>
                <w:kern w:val="10"/>
                <w:sz w:val="21"/>
                <w:szCs w:val="21"/>
              </w:rPr>
              <w:t>0.0018</w:t>
            </w:r>
          </w:p>
        </w:tc>
        <w:tc>
          <w:tcPr>
            <w:tcW w:w="1316" w:type="dxa"/>
            <w:tcBorders>
              <w:top w:val="single" w:color="auto" w:sz="4" w:space="0"/>
              <w:left w:val="single" w:color="auto" w:sz="4" w:space="0"/>
              <w:bottom w:val="single" w:color="auto" w:sz="4" w:space="0"/>
              <w:right w:val="single" w:color="auto" w:sz="8" w:space="0"/>
            </w:tcBorders>
            <w:shd w:val="clear" w:color="auto" w:fill="auto"/>
            <w:vAlign w:val="center"/>
          </w:tcPr>
          <w:p w14:paraId="18007AF7">
            <w:pPr>
              <w:spacing w:line="240" w:lineRule="auto"/>
              <w:ind w:firstLine="0" w:firstLineChars="0"/>
              <w:jc w:val="center"/>
              <w:rPr>
                <w:bCs/>
                <w:kern w:val="10"/>
                <w:sz w:val="21"/>
                <w:szCs w:val="21"/>
              </w:rPr>
            </w:pPr>
            <w:r>
              <w:rPr>
                <w:rFonts w:hint="eastAsia"/>
                <w:bCs/>
                <w:kern w:val="10"/>
                <w:sz w:val="21"/>
                <w:szCs w:val="21"/>
              </w:rPr>
              <w:t>/</w:t>
            </w:r>
          </w:p>
        </w:tc>
      </w:tr>
      <w:tr w14:paraId="0FF164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180" w:type="dxa"/>
            <w:vMerge w:val="continue"/>
            <w:tcBorders>
              <w:left w:val="single" w:color="auto" w:sz="8" w:space="0"/>
              <w:right w:val="single" w:color="auto" w:sz="4" w:space="0"/>
            </w:tcBorders>
            <w:shd w:val="clear" w:color="auto" w:fill="auto"/>
            <w:vAlign w:val="center"/>
          </w:tcPr>
          <w:p w14:paraId="6C4FAE0E">
            <w:pPr>
              <w:pStyle w:val="22"/>
              <w:widowControl w:val="0"/>
              <w:adjustRightInd w:val="0"/>
              <w:snapToGrid w:val="0"/>
              <w:spacing w:before="0" w:beforeAutospacing="0" w:after="0" w:afterAutospacing="0" w:line="240" w:lineRule="auto"/>
              <w:ind w:firstLine="0" w:firstLineChars="0"/>
              <w:jc w:val="center"/>
              <w:rPr>
                <w:rFonts w:ascii="Times New Roman" w:hAnsi="Times New Roman" w:cs="宋体"/>
                <w:kern w:val="21"/>
                <w:szCs w:val="21"/>
              </w:rPr>
            </w:pPr>
          </w:p>
        </w:tc>
        <w:tc>
          <w:tcPr>
            <w:tcW w:w="1823" w:type="dxa"/>
            <w:tcBorders>
              <w:top w:val="single" w:color="auto" w:sz="4" w:space="0"/>
              <w:left w:val="single" w:color="auto" w:sz="4" w:space="0"/>
              <w:bottom w:val="single" w:color="auto" w:sz="4" w:space="0"/>
              <w:right w:val="single" w:color="auto" w:sz="4" w:space="0"/>
            </w:tcBorders>
            <w:shd w:val="clear" w:color="auto" w:fill="auto"/>
            <w:vAlign w:val="center"/>
          </w:tcPr>
          <w:p w14:paraId="08E54FC4">
            <w:pPr>
              <w:pStyle w:val="22"/>
              <w:widowControl w:val="0"/>
              <w:spacing w:before="0" w:beforeAutospacing="0" w:after="0" w:afterAutospacing="0" w:line="240" w:lineRule="auto"/>
              <w:ind w:firstLine="0" w:firstLineChars="0"/>
              <w:jc w:val="center"/>
              <w:rPr>
                <w:rFonts w:ascii="Times New Roman" w:hAnsi="Times New Roman"/>
                <w:bCs/>
                <w:spacing w:val="-10"/>
                <w:sz w:val="21"/>
                <w:szCs w:val="21"/>
              </w:rPr>
            </w:pPr>
            <w:r>
              <w:rPr>
                <w:rFonts w:hint="eastAsia" w:ascii="Times New Roman" w:hAnsi="Times New Roman"/>
                <w:bCs/>
                <w:spacing w:val="-10"/>
                <w:sz w:val="21"/>
                <w:szCs w:val="21"/>
              </w:rPr>
              <w:t>NOx</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4140E63C">
            <w:pPr>
              <w:spacing w:line="240" w:lineRule="auto"/>
              <w:ind w:firstLine="0" w:firstLineChars="0"/>
              <w:jc w:val="center"/>
              <w:rPr>
                <w:bCs/>
                <w:kern w:val="10"/>
                <w:sz w:val="21"/>
                <w:szCs w:val="21"/>
              </w:rPr>
            </w:pPr>
            <w:r>
              <w:rPr>
                <w:rFonts w:hint="eastAsia"/>
                <w:bCs/>
                <w:kern w:val="10"/>
                <w:sz w:val="21"/>
                <w:szCs w:val="21"/>
              </w:rPr>
              <w:t>/</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7E640357">
            <w:pPr>
              <w:spacing w:line="240" w:lineRule="auto"/>
              <w:ind w:firstLine="0" w:firstLineChars="0"/>
              <w:jc w:val="center"/>
              <w:rPr>
                <w:bCs/>
                <w:kern w:val="10"/>
                <w:sz w:val="21"/>
                <w:szCs w:val="21"/>
              </w:rPr>
            </w:pPr>
            <w:r>
              <w:rPr>
                <w:rFonts w:hint="eastAsia"/>
                <w:bCs/>
                <w:kern w:val="10"/>
                <w:sz w:val="21"/>
                <w:szCs w:val="21"/>
              </w:rPr>
              <w:t>/</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6FA2B803">
            <w:pPr>
              <w:spacing w:line="240" w:lineRule="auto"/>
              <w:ind w:firstLine="0" w:firstLineChars="0"/>
              <w:jc w:val="center"/>
              <w:rPr>
                <w:bCs/>
                <w:kern w:val="10"/>
                <w:sz w:val="21"/>
                <w:szCs w:val="21"/>
              </w:rPr>
            </w:pPr>
            <w:r>
              <w:rPr>
                <w:rFonts w:hint="eastAsia"/>
                <w:bCs/>
                <w:kern w:val="10"/>
                <w:sz w:val="21"/>
                <w:szCs w:val="21"/>
              </w:rPr>
              <w:t>/</w:t>
            </w:r>
          </w:p>
        </w:tc>
        <w:tc>
          <w:tcPr>
            <w:tcW w:w="1558" w:type="dxa"/>
            <w:tcBorders>
              <w:top w:val="single" w:color="auto" w:sz="4" w:space="0"/>
              <w:left w:val="single" w:color="auto" w:sz="4" w:space="0"/>
              <w:bottom w:val="single" w:color="auto" w:sz="4" w:space="0"/>
              <w:right w:val="single" w:color="auto" w:sz="4" w:space="0"/>
            </w:tcBorders>
            <w:shd w:val="clear" w:color="auto" w:fill="auto"/>
            <w:vAlign w:val="center"/>
          </w:tcPr>
          <w:p w14:paraId="751D4B0C">
            <w:pPr>
              <w:spacing w:line="240" w:lineRule="auto"/>
              <w:ind w:firstLine="0" w:firstLineChars="0"/>
              <w:jc w:val="center"/>
              <w:rPr>
                <w:bCs/>
                <w:kern w:val="10"/>
                <w:sz w:val="21"/>
                <w:szCs w:val="21"/>
              </w:rPr>
            </w:pPr>
            <w:r>
              <w:rPr>
                <w:rFonts w:hint="eastAsia"/>
                <w:bCs/>
                <w:kern w:val="10"/>
                <w:sz w:val="21"/>
                <w:szCs w:val="21"/>
              </w:rPr>
              <w:t>0.273</w:t>
            </w:r>
          </w:p>
        </w:tc>
        <w:tc>
          <w:tcPr>
            <w:tcW w:w="1760" w:type="dxa"/>
            <w:tcBorders>
              <w:top w:val="single" w:color="auto" w:sz="4" w:space="0"/>
              <w:left w:val="single" w:color="auto" w:sz="4" w:space="0"/>
              <w:bottom w:val="single" w:color="auto" w:sz="4" w:space="0"/>
              <w:right w:val="single" w:color="auto" w:sz="4" w:space="0"/>
            </w:tcBorders>
            <w:shd w:val="clear" w:color="auto" w:fill="auto"/>
            <w:vAlign w:val="center"/>
          </w:tcPr>
          <w:p w14:paraId="40FA2D60">
            <w:pPr>
              <w:spacing w:line="240" w:lineRule="auto"/>
              <w:ind w:firstLine="0" w:firstLineChars="0"/>
              <w:jc w:val="center"/>
              <w:rPr>
                <w:bCs/>
                <w:kern w:val="10"/>
                <w:sz w:val="21"/>
                <w:szCs w:val="21"/>
              </w:rPr>
            </w:pPr>
            <w:r>
              <w:rPr>
                <w:rFonts w:hint="eastAsia"/>
                <w:bCs/>
                <w:kern w:val="10"/>
                <w:sz w:val="21"/>
                <w:szCs w:val="21"/>
              </w:rPr>
              <w:t>/</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4996FF03">
            <w:pPr>
              <w:spacing w:line="240" w:lineRule="auto"/>
              <w:ind w:firstLine="0" w:firstLineChars="0"/>
              <w:jc w:val="center"/>
              <w:rPr>
                <w:bCs/>
                <w:kern w:val="10"/>
                <w:sz w:val="21"/>
                <w:szCs w:val="21"/>
              </w:rPr>
            </w:pPr>
            <w:r>
              <w:rPr>
                <w:rFonts w:hint="eastAsia"/>
                <w:bCs/>
                <w:kern w:val="10"/>
                <w:sz w:val="21"/>
                <w:szCs w:val="21"/>
              </w:rPr>
              <w:t>0.273</w:t>
            </w:r>
          </w:p>
        </w:tc>
        <w:tc>
          <w:tcPr>
            <w:tcW w:w="1316" w:type="dxa"/>
            <w:tcBorders>
              <w:top w:val="single" w:color="auto" w:sz="4" w:space="0"/>
              <w:left w:val="single" w:color="auto" w:sz="4" w:space="0"/>
              <w:bottom w:val="single" w:color="auto" w:sz="4" w:space="0"/>
              <w:right w:val="single" w:color="auto" w:sz="8" w:space="0"/>
            </w:tcBorders>
            <w:shd w:val="clear" w:color="auto" w:fill="auto"/>
            <w:vAlign w:val="center"/>
          </w:tcPr>
          <w:p w14:paraId="6F73092D">
            <w:pPr>
              <w:spacing w:line="240" w:lineRule="auto"/>
              <w:ind w:firstLine="0" w:firstLineChars="0"/>
              <w:jc w:val="center"/>
              <w:rPr>
                <w:bCs/>
                <w:kern w:val="10"/>
                <w:sz w:val="21"/>
                <w:szCs w:val="21"/>
              </w:rPr>
            </w:pPr>
            <w:r>
              <w:rPr>
                <w:rFonts w:hint="eastAsia"/>
                <w:bCs/>
                <w:kern w:val="10"/>
                <w:sz w:val="21"/>
                <w:szCs w:val="21"/>
              </w:rPr>
              <w:t>/</w:t>
            </w:r>
          </w:p>
        </w:tc>
      </w:tr>
      <w:tr w14:paraId="774218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80" w:type="dxa"/>
            <w:vMerge w:val="continue"/>
            <w:tcBorders>
              <w:left w:val="single" w:color="auto" w:sz="8" w:space="0"/>
              <w:right w:val="single" w:color="auto" w:sz="4" w:space="0"/>
            </w:tcBorders>
            <w:shd w:val="clear" w:color="auto" w:fill="auto"/>
            <w:vAlign w:val="center"/>
          </w:tcPr>
          <w:p w14:paraId="585E067A">
            <w:pPr>
              <w:spacing w:line="240" w:lineRule="auto"/>
              <w:ind w:firstLine="0" w:firstLineChars="0"/>
              <w:jc w:val="center"/>
              <w:rPr>
                <w:sz w:val="20"/>
                <w:szCs w:val="20"/>
              </w:rPr>
            </w:pPr>
          </w:p>
        </w:tc>
        <w:tc>
          <w:tcPr>
            <w:tcW w:w="1823" w:type="dxa"/>
            <w:tcBorders>
              <w:top w:val="single" w:color="auto" w:sz="4" w:space="0"/>
              <w:left w:val="single" w:color="auto" w:sz="4" w:space="0"/>
              <w:bottom w:val="single" w:color="auto" w:sz="4" w:space="0"/>
              <w:right w:val="single" w:color="auto" w:sz="4" w:space="0"/>
            </w:tcBorders>
            <w:shd w:val="clear" w:color="auto" w:fill="auto"/>
            <w:vAlign w:val="center"/>
          </w:tcPr>
          <w:p w14:paraId="575A9A16">
            <w:pPr>
              <w:pStyle w:val="22"/>
              <w:widowControl w:val="0"/>
              <w:spacing w:before="0" w:beforeAutospacing="0" w:after="0" w:afterAutospacing="0" w:line="240" w:lineRule="auto"/>
              <w:ind w:firstLine="0" w:firstLineChars="0"/>
              <w:jc w:val="center"/>
              <w:rPr>
                <w:rFonts w:ascii="Times New Roman" w:hAnsi="Times New Roman"/>
                <w:snapToGrid w:val="0"/>
                <w:kern w:val="21"/>
                <w:szCs w:val="21"/>
              </w:rPr>
            </w:pPr>
            <w:r>
              <w:rPr>
                <w:rFonts w:hint="eastAsia" w:ascii="Times New Roman" w:hAnsi="Times New Roman"/>
                <w:snapToGrid w:val="0"/>
                <w:kern w:val="21"/>
                <w:sz w:val="21"/>
                <w:szCs w:val="21"/>
              </w:rPr>
              <w:t>非甲烷总烃</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71C192D5">
            <w:pPr>
              <w:spacing w:line="240" w:lineRule="auto"/>
              <w:ind w:firstLine="0" w:firstLineChars="0"/>
              <w:jc w:val="center"/>
              <w:rPr>
                <w:bCs/>
                <w:kern w:val="10"/>
                <w:sz w:val="21"/>
                <w:szCs w:val="21"/>
              </w:rPr>
            </w:pPr>
            <w:r>
              <w:rPr>
                <w:rFonts w:hint="eastAsia"/>
                <w:bCs/>
                <w:kern w:val="10"/>
                <w:sz w:val="21"/>
                <w:szCs w:val="21"/>
              </w:rPr>
              <w:t>/</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2E46654D">
            <w:pPr>
              <w:spacing w:line="240" w:lineRule="auto"/>
              <w:ind w:firstLine="0" w:firstLineChars="0"/>
              <w:jc w:val="center"/>
              <w:rPr>
                <w:bCs/>
                <w:kern w:val="10"/>
                <w:sz w:val="21"/>
                <w:szCs w:val="21"/>
              </w:rPr>
            </w:pPr>
            <w:r>
              <w:rPr>
                <w:rFonts w:hint="eastAsia"/>
                <w:bCs/>
                <w:kern w:val="10"/>
                <w:sz w:val="21"/>
                <w:szCs w:val="21"/>
              </w:rPr>
              <w:t>/</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102DC5D5">
            <w:pPr>
              <w:spacing w:line="240" w:lineRule="auto"/>
              <w:ind w:firstLine="0" w:firstLineChars="0"/>
              <w:jc w:val="center"/>
              <w:rPr>
                <w:bCs/>
                <w:kern w:val="10"/>
                <w:sz w:val="21"/>
                <w:szCs w:val="21"/>
              </w:rPr>
            </w:pPr>
            <w:r>
              <w:rPr>
                <w:rFonts w:hint="eastAsia"/>
                <w:bCs/>
                <w:kern w:val="10"/>
                <w:sz w:val="21"/>
                <w:szCs w:val="21"/>
              </w:rPr>
              <w:t>/</w:t>
            </w:r>
          </w:p>
        </w:tc>
        <w:tc>
          <w:tcPr>
            <w:tcW w:w="1558" w:type="dxa"/>
            <w:tcBorders>
              <w:top w:val="single" w:color="auto" w:sz="4" w:space="0"/>
              <w:left w:val="single" w:color="auto" w:sz="4" w:space="0"/>
              <w:bottom w:val="single" w:color="auto" w:sz="4" w:space="0"/>
              <w:right w:val="single" w:color="auto" w:sz="4" w:space="0"/>
            </w:tcBorders>
            <w:shd w:val="clear" w:color="auto" w:fill="auto"/>
            <w:vAlign w:val="center"/>
          </w:tcPr>
          <w:p w14:paraId="7464FC8B">
            <w:pPr>
              <w:spacing w:line="240" w:lineRule="auto"/>
              <w:ind w:firstLine="0" w:firstLineChars="0"/>
              <w:jc w:val="center"/>
              <w:rPr>
                <w:bCs/>
                <w:kern w:val="10"/>
                <w:sz w:val="21"/>
                <w:szCs w:val="21"/>
              </w:rPr>
            </w:pPr>
            <w:r>
              <w:rPr>
                <w:rFonts w:hint="eastAsia"/>
                <w:bCs/>
                <w:kern w:val="10"/>
                <w:sz w:val="21"/>
                <w:szCs w:val="21"/>
              </w:rPr>
              <w:t>0.0447</w:t>
            </w:r>
          </w:p>
        </w:tc>
        <w:tc>
          <w:tcPr>
            <w:tcW w:w="1760" w:type="dxa"/>
            <w:tcBorders>
              <w:top w:val="single" w:color="auto" w:sz="4" w:space="0"/>
              <w:left w:val="single" w:color="auto" w:sz="4" w:space="0"/>
              <w:bottom w:val="single" w:color="auto" w:sz="4" w:space="0"/>
              <w:right w:val="single" w:color="auto" w:sz="4" w:space="0"/>
            </w:tcBorders>
            <w:shd w:val="clear" w:color="auto" w:fill="auto"/>
            <w:vAlign w:val="center"/>
          </w:tcPr>
          <w:p w14:paraId="070BC878">
            <w:pPr>
              <w:spacing w:line="240" w:lineRule="auto"/>
              <w:ind w:firstLine="0" w:firstLineChars="0"/>
              <w:jc w:val="center"/>
              <w:rPr>
                <w:bCs/>
                <w:kern w:val="10"/>
                <w:sz w:val="21"/>
                <w:szCs w:val="21"/>
              </w:rPr>
            </w:pPr>
            <w:r>
              <w:rPr>
                <w:rFonts w:hint="eastAsia"/>
                <w:bCs/>
                <w:kern w:val="10"/>
                <w:sz w:val="21"/>
                <w:szCs w:val="21"/>
              </w:rPr>
              <w:t>/</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735D092A">
            <w:pPr>
              <w:spacing w:line="240" w:lineRule="auto"/>
              <w:ind w:firstLine="0" w:firstLineChars="0"/>
              <w:jc w:val="center"/>
              <w:rPr>
                <w:bCs/>
                <w:kern w:val="10"/>
                <w:sz w:val="21"/>
                <w:szCs w:val="21"/>
              </w:rPr>
            </w:pPr>
            <w:r>
              <w:rPr>
                <w:rFonts w:hint="eastAsia"/>
                <w:bCs/>
                <w:kern w:val="10"/>
                <w:sz w:val="21"/>
                <w:szCs w:val="21"/>
              </w:rPr>
              <w:t>0.0447</w:t>
            </w:r>
          </w:p>
        </w:tc>
        <w:tc>
          <w:tcPr>
            <w:tcW w:w="1316" w:type="dxa"/>
            <w:tcBorders>
              <w:top w:val="single" w:color="auto" w:sz="4" w:space="0"/>
              <w:left w:val="single" w:color="auto" w:sz="4" w:space="0"/>
              <w:bottom w:val="single" w:color="auto" w:sz="4" w:space="0"/>
              <w:right w:val="single" w:color="auto" w:sz="8" w:space="0"/>
            </w:tcBorders>
            <w:shd w:val="clear" w:color="auto" w:fill="auto"/>
            <w:vAlign w:val="center"/>
          </w:tcPr>
          <w:p w14:paraId="193F4624">
            <w:pPr>
              <w:spacing w:line="240" w:lineRule="auto"/>
              <w:ind w:firstLine="0" w:firstLineChars="0"/>
              <w:jc w:val="center"/>
              <w:rPr>
                <w:bCs/>
                <w:kern w:val="10"/>
                <w:sz w:val="21"/>
                <w:szCs w:val="21"/>
              </w:rPr>
            </w:pPr>
            <w:r>
              <w:rPr>
                <w:rFonts w:hint="eastAsia"/>
                <w:bCs/>
                <w:kern w:val="10"/>
                <w:sz w:val="21"/>
                <w:szCs w:val="21"/>
              </w:rPr>
              <w:t>/</w:t>
            </w:r>
          </w:p>
        </w:tc>
      </w:tr>
      <w:tr w14:paraId="48753B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80" w:type="dxa"/>
            <w:vMerge w:val="continue"/>
            <w:tcBorders>
              <w:left w:val="single" w:color="auto" w:sz="8" w:space="0"/>
              <w:right w:val="single" w:color="auto" w:sz="4" w:space="0"/>
            </w:tcBorders>
            <w:shd w:val="clear" w:color="auto" w:fill="auto"/>
            <w:vAlign w:val="center"/>
          </w:tcPr>
          <w:p w14:paraId="6EF6C2D3">
            <w:pPr>
              <w:spacing w:line="240" w:lineRule="auto"/>
              <w:ind w:firstLine="0" w:firstLineChars="0"/>
              <w:jc w:val="center"/>
              <w:rPr>
                <w:sz w:val="20"/>
                <w:szCs w:val="20"/>
              </w:rPr>
            </w:pPr>
          </w:p>
        </w:tc>
        <w:tc>
          <w:tcPr>
            <w:tcW w:w="1823" w:type="dxa"/>
            <w:tcBorders>
              <w:top w:val="single" w:color="auto" w:sz="4" w:space="0"/>
              <w:left w:val="single" w:color="auto" w:sz="4" w:space="0"/>
              <w:bottom w:val="single" w:color="auto" w:sz="4" w:space="0"/>
              <w:right w:val="single" w:color="auto" w:sz="4" w:space="0"/>
            </w:tcBorders>
            <w:shd w:val="clear" w:color="auto" w:fill="auto"/>
            <w:vAlign w:val="center"/>
          </w:tcPr>
          <w:p w14:paraId="46CCB660">
            <w:pPr>
              <w:pStyle w:val="22"/>
              <w:widowControl w:val="0"/>
              <w:spacing w:before="0" w:beforeAutospacing="0" w:after="0" w:afterAutospacing="0" w:line="240" w:lineRule="auto"/>
              <w:ind w:firstLine="0" w:firstLineChars="0"/>
              <w:jc w:val="center"/>
              <w:rPr>
                <w:rFonts w:ascii="Times New Roman" w:hAnsi="Times New Roman"/>
                <w:snapToGrid w:val="0"/>
                <w:kern w:val="21"/>
                <w:sz w:val="21"/>
                <w:szCs w:val="21"/>
              </w:rPr>
            </w:pPr>
            <w:r>
              <w:rPr>
                <w:rFonts w:hint="eastAsia" w:ascii="Times New Roman" w:hAnsi="Times New Roman"/>
                <w:snapToGrid w:val="0"/>
                <w:kern w:val="21"/>
                <w:sz w:val="21"/>
                <w:szCs w:val="21"/>
              </w:rPr>
              <w:t>苯并[a]芘</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01D99F19">
            <w:pPr>
              <w:spacing w:line="240" w:lineRule="auto"/>
              <w:ind w:firstLine="0" w:firstLineChars="0"/>
              <w:jc w:val="center"/>
              <w:rPr>
                <w:bCs/>
                <w:kern w:val="10"/>
                <w:sz w:val="21"/>
                <w:szCs w:val="21"/>
              </w:rPr>
            </w:pPr>
            <w:r>
              <w:rPr>
                <w:rFonts w:hint="eastAsia"/>
                <w:bCs/>
                <w:kern w:val="10"/>
                <w:sz w:val="21"/>
                <w:szCs w:val="21"/>
              </w:rPr>
              <w:t>/</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602350B4">
            <w:pPr>
              <w:spacing w:line="240" w:lineRule="auto"/>
              <w:ind w:firstLine="0" w:firstLineChars="0"/>
              <w:jc w:val="center"/>
              <w:rPr>
                <w:bCs/>
                <w:kern w:val="10"/>
                <w:sz w:val="21"/>
                <w:szCs w:val="21"/>
              </w:rPr>
            </w:pPr>
            <w:r>
              <w:rPr>
                <w:rFonts w:hint="eastAsia"/>
                <w:bCs/>
                <w:kern w:val="10"/>
                <w:sz w:val="21"/>
                <w:szCs w:val="21"/>
              </w:rPr>
              <w:t>/</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4D349C28">
            <w:pPr>
              <w:spacing w:line="240" w:lineRule="auto"/>
              <w:ind w:firstLine="0" w:firstLineChars="0"/>
              <w:jc w:val="center"/>
              <w:rPr>
                <w:bCs/>
                <w:kern w:val="10"/>
                <w:sz w:val="21"/>
                <w:szCs w:val="21"/>
              </w:rPr>
            </w:pPr>
            <w:r>
              <w:rPr>
                <w:rFonts w:hint="eastAsia"/>
                <w:bCs/>
                <w:kern w:val="10"/>
                <w:sz w:val="21"/>
                <w:szCs w:val="21"/>
              </w:rPr>
              <w:t>/</w:t>
            </w:r>
          </w:p>
        </w:tc>
        <w:tc>
          <w:tcPr>
            <w:tcW w:w="1558" w:type="dxa"/>
            <w:tcBorders>
              <w:top w:val="single" w:color="auto" w:sz="4" w:space="0"/>
              <w:left w:val="single" w:color="auto" w:sz="4" w:space="0"/>
              <w:bottom w:val="single" w:color="auto" w:sz="4" w:space="0"/>
              <w:right w:val="single" w:color="auto" w:sz="4" w:space="0"/>
            </w:tcBorders>
            <w:shd w:val="clear" w:color="auto" w:fill="auto"/>
            <w:vAlign w:val="center"/>
          </w:tcPr>
          <w:p w14:paraId="5CF3D254">
            <w:pPr>
              <w:spacing w:line="240" w:lineRule="auto"/>
              <w:ind w:firstLine="0" w:firstLineChars="0"/>
              <w:jc w:val="center"/>
              <w:rPr>
                <w:bCs/>
                <w:kern w:val="10"/>
                <w:sz w:val="21"/>
                <w:szCs w:val="21"/>
                <w:vertAlign w:val="superscript"/>
              </w:rPr>
            </w:pPr>
            <w:r>
              <w:rPr>
                <w:rFonts w:hint="eastAsia"/>
                <w:bCs/>
                <w:kern w:val="10"/>
                <w:sz w:val="21"/>
                <w:szCs w:val="21"/>
              </w:rPr>
              <w:t>1.9944×10</w:t>
            </w:r>
            <w:r>
              <w:rPr>
                <w:rFonts w:hint="eastAsia"/>
                <w:bCs/>
                <w:kern w:val="10"/>
                <w:sz w:val="21"/>
                <w:szCs w:val="21"/>
                <w:vertAlign w:val="superscript"/>
              </w:rPr>
              <w:t>-6</w:t>
            </w:r>
          </w:p>
        </w:tc>
        <w:tc>
          <w:tcPr>
            <w:tcW w:w="1760" w:type="dxa"/>
            <w:tcBorders>
              <w:top w:val="single" w:color="auto" w:sz="4" w:space="0"/>
              <w:left w:val="single" w:color="auto" w:sz="4" w:space="0"/>
              <w:bottom w:val="single" w:color="auto" w:sz="4" w:space="0"/>
              <w:right w:val="single" w:color="auto" w:sz="4" w:space="0"/>
            </w:tcBorders>
            <w:shd w:val="clear" w:color="auto" w:fill="auto"/>
            <w:vAlign w:val="center"/>
          </w:tcPr>
          <w:p w14:paraId="568EB8C5">
            <w:pPr>
              <w:spacing w:line="240" w:lineRule="auto"/>
              <w:ind w:firstLine="0" w:firstLineChars="0"/>
              <w:jc w:val="center"/>
              <w:rPr>
                <w:bCs/>
                <w:kern w:val="10"/>
                <w:sz w:val="21"/>
                <w:szCs w:val="21"/>
              </w:rPr>
            </w:pPr>
            <w:r>
              <w:rPr>
                <w:rFonts w:hint="eastAsia"/>
                <w:bCs/>
                <w:kern w:val="10"/>
                <w:sz w:val="21"/>
                <w:szCs w:val="21"/>
              </w:rPr>
              <w:t>/</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482CB597">
            <w:pPr>
              <w:spacing w:line="240" w:lineRule="auto"/>
              <w:ind w:firstLine="0" w:firstLineChars="0"/>
              <w:jc w:val="center"/>
              <w:rPr>
                <w:bCs/>
                <w:kern w:val="10"/>
                <w:sz w:val="21"/>
                <w:szCs w:val="21"/>
              </w:rPr>
            </w:pPr>
            <w:r>
              <w:rPr>
                <w:rFonts w:hint="eastAsia"/>
                <w:bCs/>
                <w:kern w:val="10"/>
                <w:sz w:val="21"/>
                <w:szCs w:val="21"/>
              </w:rPr>
              <w:t>1.9944×10</w:t>
            </w:r>
            <w:r>
              <w:rPr>
                <w:rFonts w:hint="eastAsia"/>
                <w:bCs/>
                <w:kern w:val="10"/>
                <w:sz w:val="21"/>
                <w:szCs w:val="21"/>
                <w:vertAlign w:val="superscript"/>
              </w:rPr>
              <w:t>-6</w:t>
            </w:r>
          </w:p>
        </w:tc>
        <w:tc>
          <w:tcPr>
            <w:tcW w:w="1316" w:type="dxa"/>
            <w:tcBorders>
              <w:top w:val="single" w:color="auto" w:sz="4" w:space="0"/>
              <w:left w:val="single" w:color="auto" w:sz="4" w:space="0"/>
              <w:bottom w:val="single" w:color="auto" w:sz="4" w:space="0"/>
              <w:right w:val="single" w:color="auto" w:sz="8" w:space="0"/>
            </w:tcBorders>
            <w:shd w:val="clear" w:color="auto" w:fill="auto"/>
            <w:vAlign w:val="center"/>
          </w:tcPr>
          <w:p w14:paraId="06FDE18A">
            <w:pPr>
              <w:spacing w:line="240" w:lineRule="auto"/>
              <w:ind w:firstLine="0" w:firstLineChars="0"/>
              <w:jc w:val="center"/>
              <w:rPr>
                <w:bCs/>
                <w:kern w:val="10"/>
                <w:sz w:val="21"/>
                <w:szCs w:val="21"/>
              </w:rPr>
            </w:pPr>
            <w:r>
              <w:rPr>
                <w:rFonts w:hint="eastAsia"/>
                <w:bCs/>
                <w:kern w:val="10"/>
                <w:sz w:val="21"/>
                <w:szCs w:val="21"/>
              </w:rPr>
              <w:t>/</w:t>
            </w:r>
          </w:p>
        </w:tc>
      </w:tr>
      <w:tr w14:paraId="6D4918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80" w:type="dxa"/>
            <w:vMerge w:val="continue"/>
            <w:tcBorders>
              <w:left w:val="single" w:color="auto" w:sz="8" w:space="0"/>
              <w:right w:val="single" w:color="auto" w:sz="4" w:space="0"/>
            </w:tcBorders>
            <w:shd w:val="clear" w:color="auto" w:fill="auto"/>
            <w:vAlign w:val="center"/>
          </w:tcPr>
          <w:p w14:paraId="21BB0AF4">
            <w:pPr>
              <w:spacing w:line="240" w:lineRule="auto"/>
              <w:ind w:firstLine="0" w:firstLineChars="0"/>
              <w:jc w:val="center"/>
              <w:rPr>
                <w:sz w:val="20"/>
                <w:szCs w:val="20"/>
              </w:rPr>
            </w:pPr>
          </w:p>
        </w:tc>
        <w:tc>
          <w:tcPr>
            <w:tcW w:w="1823" w:type="dxa"/>
            <w:tcBorders>
              <w:top w:val="single" w:color="auto" w:sz="4" w:space="0"/>
              <w:left w:val="single" w:color="auto" w:sz="4" w:space="0"/>
              <w:bottom w:val="single" w:color="auto" w:sz="4" w:space="0"/>
              <w:right w:val="single" w:color="auto" w:sz="4" w:space="0"/>
            </w:tcBorders>
            <w:shd w:val="clear" w:color="auto" w:fill="auto"/>
            <w:vAlign w:val="center"/>
          </w:tcPr>
          <w:p w14:paraId="5C9C0676">
            <w:pPr>
              <w:pStyle w:val="22"/>
              <w:widowControl w:val="0"/>
              <w:spacing w:before="0" w:beforeAutospacing="0" w:after="0" w:afterAutospacing="0" w:line="240" w:lineRule="auto"/>
              <w:ind w:firstLine="0" w:firstLineChars="0"/>
              <w:jc w:val="center"/>
              <w:rPr>
                <w:rFonts w:ascii="Times New Roman" w:hAnsi="Times New Roman"/>
                <w:snapToGrid w:val="0"/>
                <w:kern w:val="21"/>
                <w:sz w:val="21"/>
                <w:szCs w:val="21"/>
              </w:rPr>
            </w:pPr>
            <w:r>
              <w:rPr>
                <w:rFonts w:hint="eastAsia" w:ascii="Times New Roman" w:hAnsi="Times New Roman"/>
                <w:snapToGrid w:val="0"/>
                <w:kern w:val="21"/>
                <w:sz w:val="21"/>
                <w:szCs w:val="21"/>
              </w:rPr>
              <w:t>沥青烟</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6A63BA14">
            <w:pPr>
              <w:spacing w:line="240" w:lineRule="auto"/>
              <w:ind w:firstLine="0" w:firstLineChars="0"/>
              <w:jc w:val="center"/>
              <w:rPr>
                <w:bCs/>
                <w:kern w:val="10"/>
                <w:sz w:val="21"/>
                <w:szCs w:val="21"/>
              </w:rPr>
            </w:pPr>
            <w:r>
              <w:rPr>
                <w:rFonts w:hint="eastAsia"/>
                <w:bCs/>
                <w:kern w:val="10"/>
                <w:sz w:val="21"/>
                <w:szCs w:val="21"/>
              </w:rPr>
              <w:t>/</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2A46FD47">
            <w:pPr>
              <w:spacing w:line="240" w:lineRule="auto"/>
              <w:ind w:firstLine="0" w:firstLineChars="0"/>
              <w:jc w:val="center"/>
              <w:rPr>
                <w:bCs/>
                <w:kern w:val="10"/>
                <w:sz w:val="21"/>
                <w:szCs w:val="21"/>
              </w:rPr>
            </w:pPr>
            <w:r>
              <w:rPr>
                <w:rFonts w:hint="eastAsia"/>
                <w:bCs/>
                <w:kern w:val="10"/>
                <w:sz w:val="21"/>
                <w:szCs w:val="21"/>
              </w:rPr>
              <w:t>/</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7B5D2A5E">
            <w:pPr>
              <w:spacing w:line="240" w:lineRule="auto"/>
              <w:ind w:firstLine="0" w:firstLineChars="0"/>
              <w:jc w:val="center"/>
              <w:rPr>
                <w:bCs/>
                <w:kern w:val="10"/>
                <w:sz w:val="21"/>
                <w:szCs w:val="21"/>
              </w:rPr>
            </w:pPr>
            <w:r>
              <w:rPr>
                <w:rFonts w:hint="eastAsia"/>
                <w:bCs/>
                <w:kern w:val="10"/>
                <w:sz w:val="21"/>
                <w:szCs w:val="21"/>
              </w:rPr>
              <w:t>/</w:t>
            </w:r>
          </w:p>
        </w:tc>
        <w:tc>
          <w:tcPr>
            <w:tcW w:w="1558" w:type="dxa"/>
            <w:tcBorders>
              <w:top w:val="single" w:color="auto" w:sz="4" w:space="0"/>
              <w:left w:val="single" w:color="auto" w:sz="4" w:space="0"/>
              <w:bottom w:val="single" w:color="auto" w:sz="4" w:space="0"/>
              <w:right w:val="single" w:color="auto" w:sz="4" w:space="0"/>
            </w:tcBorders>
            <w:shd w:val="clear" w:color="auto" w:fill="auto"/>
            <w:vAlign w:val="center"/>
          </w:tcPr>
          <w:p w14:paraId="2B44FA8A">
            <w:pPr>
              <w:spacing w:line="240" w:lineRule="auto"/>
              <w:ind w:firstLine="0" w:firstLineChars="0"/>
              <w:jc w:val="center"/>
              <w:rPr>
                <w:bCs/>
                <w:kern w:val="10"/>
                <w:sz w:val="21"/>
                <w:szCs w:val="21"/>
              </w:rPr>
            </w:pPr>
            <w:r>
              <w:rPr>
                <w:rFonts w:hint="eastAsia"/>
                <w:bCs/>
                <w:kern w:val="10"/>
                <w:sz w:val="21"/>
                <w:szCs w:val="21"/>
              </w:rPr>
              <w:t>0.0271</w:t>
            </w:r>
          </w:p>
        </w:tc>
        <w:tc>
          <w:tcPr>
            <w:tcW w:w="1760" w:type="dxa"/>
            <w:tcBorders>
              <w:top w:val="single" w:color="auto" w:sz="4" w:space="0"/>
              <w:left w:val="single" w:color="auto" w:sz="4" w:space="0"/>
              <w:bottom w:val="single" w:color="auto" w:sz="4" w:space="0"/>
              <w:right w:val="single" w:color="auto" w:sz="4" w:space="0"/>
            </w:tcBorders>
            <w:shd w:val="clear" w:color="auto" w:fill="auto"/>
            <w:vAlign w:val="center"/>
          </w:tcPr>
          <w:p w14:paraId="6F5D2FA9">
            <w:pPr>
              <w:spacing w:line="240" w:lineRule="auto"/>
              <w:ind w:firstLine="0" w:firstLineChars="0"/>
              <w:jc w:val="center"/>
              <w:rPr>
                <w:bCs/>
                <w:kern w:val="10"/>
                <w:sz w:val="21"/>
                <w:szCs w:val="21"/>
              </w:rPr>
            </w:pPr>
            <w:r>
              <w:rPr>
                <w:rFonts w:hint="eastAsia"/>
                <w:bCs/>
                <w:kern w:val="10"/>
                <w:sz w:val="21"/>
                <w:szCs w:val="21"/>
              </w:rPr>
              <w:t>/</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3B3F320F">
            <w:pPr>
              <w:spacing w:line="240" w:lineRule="auto"/>
              <w:ind w:firstLine="0" w:firstLineChars="0"/>
              <w:jc w:val="center"/>
              <w:rPr>
                <w:bCs/>
                <w:kern w:val="10"/>
                <w:sz w:val="21"/>
                <w:szCs w:val="21"/>
              </w:rPr>
            </w:pPr>
            <w:r>
              <w:rPr>
                <w:rFonts w:hint="eastAsia"/>
                <w:bCs/>
                <w:kern w:val="10"/>
                <w:sz w:val="21"/>
                <w:szCs w:val="21"/>
              </w:rPr>
              <w:t>0.0271</w:t>
            </w:r>
          </w:p>
        </w:tc>
        <w:tc>
          <w:tcPr>
            <w:tcW w:w="1316" w:type="dxa"/>
            <w:tcBorders>
              <w:top w:val="single" w:color="auto" w:sz="4" w:space="0"/>
              <w:left w:val="single" w:color="auto" w:sz="4" w:space="0"/>
              <w:bottom w:val="single" w:color="auto" w:sz="4" w:space="0"/>
              <w:right w:val="single" w:color="auto" w:sz="8" w:space="0"/>
            </w:tcBorders>
            <w:shd w:val="clear" w:color="auto" w:fill="auto"/>
            <w:vAlign w:val="center"/>
          </w:tcPr>
          <w:p w14:paraId="51656E6E">
            <w:pPr>
              <w:spacing w:line="240" w:lineRule="auto"/>
              <w:ind w:firstLine="0" w:firstLineChars="0"/>
              <w:jc w:val="center"/>
              <w:rPr>
                <w:bCs/>
                <w:kern w:val="10"/>
                <w:sz w:val="21"/>
                <w:szCs w:val="21"/>
              </w:rPr>
            </w:pPr>
            <w:r>
              <w:rPr>
                <w:rFonts w:hint="eastAsia"/>
                <w:bCs/>
                <w:kern w:val="10"/>
                <w:sz w:val="21"/>
                <w:szCs w:val="21"/>
              </w:rPr>
              <w:t>/</w:t>
            </w:r>
          </w:p>
        </w:tc>
      </w:tr>
      <w:tr w14:paraId="650C8F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80" w:type="dxa"/>
            <w:vMerge w:val="restart"/>
            <w:tcBorders>
              <w:top w:val="single" w:color="auto" w:sz="4" w:space="0"/>
              <w:left w:val="single" w:color="auto" w:sz="8" w:space="0"/>
              <w:right w:val="single" w:color="auto" w:sz="4" w:space="0"/>
            </w:tcBorders>
            <w:shd w:val="clear" w:color="auto" w:fill="auto"/>
            <w:vAlign w:val="center"/>
          </w:tcPr>
          <w:p w14:paraId="529678DC">
            <w:pPr>
              <w:pStyle w:val="22"/>
              <w:widowControl w:val="0"/>
              <w:adjustRightInd w:val="0"/>
              <w:snapToGrid w:val="0"/>
              <w:spacing w:before="0" w:beforeAutospacing="0" w:after="0" w:afterAutospacing="0" w:line="240" w:lineRule="auto"/>
              <w:ind w:firstLine="0" w:firstLineChars="0"/>
              <w:jc w:val="center"/>
              <w:rPr>
                <w:rFonts w:ascii="Times New Roman" w:hAnsi="Times New Roman" w:cs="宋体"/>
                <w:kern w:val="21"/>
                <w:szCs w:val="21"/>
              </w:rPr>
            </w:pPr>
            <w:r>
              <w:rPr>
                <w:rFonts w:hint="eastAsia" w:ascii="Times New Roman" w:hAnsi="Times New Roman" w:cs="宋体"/>
                <w:snapToGrid w:val="0"/>
                <w:kern w:val="21"/>
                <w:sz w:val="21"/>
                <w:szCs w:val="21"/>
              </w:rPr>
              <w:t>废水</w:t>
            </w:r>
          </w:p>
        </w:tc>
        <w:tc>
          <w:tcPr>
            <w:tcW w:w="1823" w:type="dxa"/>
            <w:tcBorders>
              <w:top w:val="single" w:color="auto" w:sz="4" w:space="0"/>
              <w:left w:val="single" w:color="auto" w:sz="4" w:space="0"/>
              <w:bottom w:val="single" w:color="auto" w:sz="4" w:space="0"/>
              <w:right w:val="single" w:color="auto" w:sz="4" w:space="0"/>
            </w:tcBorders>
            <w:shd w:val="clear" w:color="auto" w:fill="auto"/>
            <w:vAlign w:val="center"/>
          </w:tcPr>
          <w:p w14:paraId="24098EEC">
            <w:pPr>
              <w:pStyle w:val="22"/>
              <w:widowControl w:val="0"/>
              <w:spacing w:before="0" w:beforeAutospacing="0" w:after="0" w:afterAutospacing="0" w:line="240" w:lineRule="auto"/>
              <w:ind w:firstLine="0" w:firstLineChars="0"/>
              <w:jc w:val="center"/>
              <w:rPr>
                <w:rFonts w:ascii="Times New Roman" w:hAnsi="Times New Roman"/>
                <w:bCs/>
                <w:sz w:val="21"/>
                <w:szCs w:val="21"/>
              </w:rPr>
            </w:pPr>
            <w:r>
              <w:rPr>
                <w:rFonts w:hint="eastAsia" w:ascii="Times New Roman" w:hAnsi="Times New Roman"/>
                <w:bCs/>
                <w:sz w:val="21"/>
                <w:szCs w:val="21"/>
              </w:rPr>
              <w:t>废水量</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5DA849C8">
            <w:pPr>
              <w:spacing w:line="240" w:lineRule="auto"/>
              <w:ind w:firstLine="0" w:firstLineChars="0"/>
              <w:jc w:val="center"/>
              <w:rPr>
                <w:bCs/>
                <w:kern w:val="10"/>
                <w:sz w:val="21"/>
                <w:szCs w:val="21"/>
              </w:rPr>
            </w:pPr>
            <w:r>
              <w:rPr>
                <w:rFonts w:hint="eastAsia"/>
                <w:bCs/>
                <w:kern w:val="10"/>
                <w:sz w:val="21"/>
                <w:szCs w:val="21"/>
              </w:rPr>
              <w:t>/</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51724B23">
            <w:pPr>
              <w:spacing w:line="240" w:lineRule="auto"/>
              <w:ind w:firstLine="0" w:firstLineChars="0"/>
              <w:jc w:val="center"/>
              <w:rPr>
                <w:bCs/>
                <w:kern w:val="10"/>
                <w:sz w:val="21"/>
                <w:szCs w:val="21"/>
              </w:rPr>
            </w:pPr>
            <w:r>
              <w:rPr>
                <w:rFonts w:hint="eastAsia"/>
                <w:bCs/>
                <w:kern w:val="10"/>
                <w:sz w:val="21"/>
                <w:szCs w:val="21"/>
              </w:rPr>
              <w:t>/</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7D94D090">
            <w:pPr>
              <w:spacing w:line="240" w:lineRule="auto"/>
              <w:ind w:firstLine="0" w:firstLineChars="0"/>
              <w:jc w:val="center"/>
              <w:rPr>
                <w:bCs/>
                <w:kern w:val="10"/>
                <w:sz w:val="21"/>
                <w:szCs w:val="21"/>
              </w:rPr>
            </w:pPr>
            <w:r>
              <w:rPr>
                <w:rFonts w:hint="eastAsia"/>
                <w:bCs/>
                <w:kern w:val="10"/>
                <w:sz w:val="21"/>
                <w:szCs w:val="21"/>
              </w:rPr>
              <w:t>/</w:t>
            </w:r>
          </w:p>
        </w:tc>
        <w:tc>
          <w:tcPr>
            <w:tcW w:w="1558" w:type="dxa"/>
            <w:tcBorders>
              <w:top w:val="single" w:color="auto" w:sz="4" w:space="0"/>
              <w:left w:val="single" w:color="auto" w:sz="4" w:space="0"/>
              <w:bottom w:val="single" w:color="auto" w:sz="4" w:space="0"/>
              <w:right w:val="single" w:color="auto" w:sz="4" w:space="0"/>
            </w:tcBorders>
            <w:shd w:val="clear" w:color="auto" w:fill="auto"/>
            <w:vAlign w:val="center"/>
          </w:tcPr>
          <w:p w14:paraId="23A9830B">
            <w:pPr>
              <w:spacing w:line="240" w:lineRule="auto"/>
              <w:ind w:firstLine="0" w:firstLineChars="0"/>
              <w:jc w:val="center"/>
              <w:rPr>
                <w:bCs/>
                <w:kern w:val="10"/>
                <w:sz w:val="21"/>
                <w:szCs w:val="21"/>
              </w:rPr>
            </w:pPr>
            <w:r>
              <w:rPr>
                <w:rFonts w:hint="eastAsia"/>
                <w:bCs/>
                <w:kern w:val="10"/>
                <w:sz w:val="21"/>
                <w:szCs w:val="21"/>
              </w:rPr>
              <w:t>/</w:t>
            </w:r>
          </w:p>
        </w:tc>
        <w:tc>
          <w:tcPr>
            <w:tcW w:w="1760" w:type="dxa"/>
            <w:tcBorders>
              <w:top w:val="single" w:color="auto" w:sz="4" w:space="0"/>
              <w:left w:val="single" w:color="auto" w:sz="4" w:space="0"/>
              <w:bottom w:val="single" w:color="auto" w:sz="4" w:space="0"/>
              <w:right w:val="single" w:color="auto" w:sz="4" w:space="0"/>
            </w:tcBorders>
            <w:shd w:val="clear" w:color="auto" w:fill="auto"/>
            <w:vAlign w:val="center"/>
          </w:tcPr>
          <w:p w14:paraId="14BC1516">
            <w:pPr>
              <w:spacing w:line="240" w:lineRule="auto"/>
              <w:ind w:firstLine="0" w:firstLineChars="0"/>
              <w:jc w:val="center"/>
              <w:rPr>
                <w:bCs/>
                <w:kern w:val="10"/>
                <w:sz w:val="21"/>
                <w:szCs w:val="21"/>
              </w:rPr>
            </w:pPr>
            <w:r>
              <w:rPr>
                <w:rFonts w:hint="eastAsia"/>
                <w:bCs/>
                <w:kern w:val="10"/>
                <w:sz w:val="21"/>
                <w:szCs w:val="21"/>
              </w:rPr>
              <w:t>/</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23BF00BF">
            <w:pPr>
              <w:spacing w:line="240" w:lineRule="auto"/>
              <w:ind w:firstLine="0" w:firstLineChars="0"/>
              <w:jc w:val="center"/>
              <w:rPr>
                <w:bCs/>
                <w:kern w:val="10"/>
                <w:sz w:val="21"/>
                <w:szCs w:val="21"/>
              </w:rPr>
            </w:pPr>
            <w:r>
              <w:rPr>
                <w:rFonts w:hint="eastAsia"/>
                <w:bCs/>
                <w:kern w:val="10"/>
                <w:sz w:val="21"/>
                <w:szCs w:val="21"/>
              </w:rPr>
              <w:t>/</w:t>
            </w:r>
          </w:p>
        </w:tc>
        <w:tc>
          <w:tcPr>
            <w:tcW w:w="1316" w:type="dxa"/>
            <w:tcBorders>
              <w:top w:val="single" w:color="auto" w:sz="4" w:space="0"/>
              <w:left w:val="single" w:color="auto" w:sz="4" w:space="0"/>
              <w:bottom w:val="single" w:color="auto" w:sz="4" w:space="0"/>
              <w:right w:val="single" w:color="auto" w:sz="8" w:space="0"/>
            </w:tcBorders>
            <w:shd w:val="clear" w:color="auto" w:fill="auto"/>
            <w:vAlign w:val="center"/>
          </w:tcPr>
          <w:p w14:paraId="771E9DF2">
            <w:pPr>
              <w:spacing w:line="240" w:lineRule="auto"/>
              <w:ind w:firstLine="0" w:firstLineChars="0"/>
              <w:jc w:val="center"/>
              <w:rPr>
                <w:bCs/>
                <w:kern w:val="10"/>
                <w:sz w:val="21"/>
                <w:szCs w:val="21"/>
              </w:rPr>
            </w:pPr>
            <w:r>
              <w:rPr>
                <w:rFonts w:hint="eastAsia"/>
                <w:bCs/>
                <w:kern w:val="10"/>
                <w:sz w:val="21"/>
                <w:szCs w:val="21"/>
              </w:rPr>
              <w:t>/</w:t>
            </w:r>
          </w:p>
        </w:tc>
      </w:tr>
      <w:tr w14:paraId="410C46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80" w:type="dxa"/>
            <w:vMerge w:val="continue"/>
            <w:tcBorders>
              <w:left w:val="single" w:color="auto" w:sz="8" w:space="0"/>
              <w:right w:val="single" w:color="auto" w:sz="4" w:space="0"/>
            </w:tcBorders>
            <w:shd w:val="clear" w:color="auto" w:fill="auto"/>
            <w:vAlign w:val="center"/>
          </w:tcPr>
          <w:p w14:paraId="68420DF8">
            <w:pPr>
              <w:pStyle w:val="22"/>
              <w:widowControl w:val="0"/>
              <w:adjustRightInd w:val="0"/>
              <w:snapToGrid w:val="0"/>
              <w:spacing w:before="0" w:beforeAutospacing="0" w:after="0" w:afterAutospacing="0" w:line="240" w:lineRule="auto"/>
              <w:ind w:firstLine="0" w:firstLineChars="0"/>
              <w:jc w:val="center"/>
              <w:rPr>
                <w:rFonts w:ascii="Times New Roman" w:hAnsi="Times New Roman" w:cs="宋体"/>
                <w:kern w:val="21"/>
                <w:szCs w:val="21"/>
              </w:rPr>
            </w:pPr>
          </w:p>
        </w:tc>
        <w:tc>
          <w:tcPr>
            <w:tcW w:w="1823" w:type="dxa"/>
            <w:tcBorders>
              <w:top w:val="single" w:color="auto" w:sz="4" w:space="0"/>
              <w:left w:val="single" w:color="auto" w:sz="4" w:space="0"/>
              <w:bottom w:val="single" w:color="auto" w:sz="4" w:space="0"/>
              <w:right w:val="single" w:color="auto" w:sz="4" w:space="0"/>
            </w:tcBorders>
            <w:shd w:val="clear" w:color="auto" w:fill="auto"/>
            <w:vAlign w:val="center"/>
          </w:tcPr>
          <w:p w14:paraId="128D40A4">
            <w:pPr>
              <w:pStyle w:val="22"/>
              <w:widowControl w:val="0"/>
              <w:spacing w:before="0" w:beforeAutospacing="0" w:after="0" w:afterAutospacing="0" w:line="240" w:lineRule="auto"/>
              <w:ind w:firstLine="0" w:firstLineChars="0"/>
              <w:jc w:val="center"/>
              <w:rPr>
                <w:rFonts w:ascii="Times New Roman" w:hAnsi="Times New Roman"/>
                <w:snapToGrid w:val="0"/>
                <w:kern w:val="21"/>
                <w:szCs w:val="21"/>
              </w:rPr>
            </w:pPr>
            <w:r>
              <w:rPr>
                <w:rFonts w:ascii="Times New Roman" w:hAnsi="Times New Roman"/>
                <w:bCs/>
                <w:sz w:val="21"/>
                <w:szCs w:val="21"/>
              </w:rPr>
              <w:t>COD</w:t>
            </w:r>
            <w:r>
              <w:rPr>
                <w:rFonts w:ascii="Times New Roman" w:hAnsi="Times New Roman"/>
                <w:bCs/>
                <w:sz w:val="21"/>
                <w:szCs w:val="21"/>
                <w:vertAlign w:val="subscript"/>
              </w:rPr>
              <w:t>cr</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0133A1A2">
            <w:pPr>
              <w:spacing w:line="240" w:lineRule="auto"/>
              <w:ind w:firstLine="0" w:firstLineChars="0"/>
              <w:jc w:val="center"/>
              <w:rPr>
                <w:bCs/>
                <w:kern w:val="10"/>
                <w:sz w:val="21"/>
                <w:szCs w:val="21"/>
              </w:rPr>
            </w:pPr>
            <w:r>
              <w:rPr>
                <w:rFonts w:hint="eastAsia"/>
                <w:bCs/>
                <w:kern w:val="10"/>
                <w:sz w:val="21"/>
                <w:szCs w:val="21"/>
              </w:rPr>
              <w:t>/</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175DE697">
            <w:pPr>
              <w:spacing w:line="240" w:lineRule="auto"/>
              <w:ind w:firstLine="0" w:firstLineChars="0"/>
              <w:jc w:val="center"/>
              <w:rPr>
                <w:bCs/>
                <w:kern w:val="10"/>
                <w:sz w:val="21"/>
                <w:szCs w:val="21"/>
              </w:rPr>
            </w:pPr>
            <w:r>
              <w:rPr>
                <w:rFonts w:hint="eastAsia"/>
                <w:bCs/>
                <w:kern w:val="10"/>
                <w:sz w:val="21"/>
                <w:szCs w:val="21"/>
              </w:rPr>
              <w:t>/</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38E39C1B">
            <w:pPr>
              <w:spacing w:line="240" w:lineRule="auto"/>
              <w:ind w:firstLine="0" w:firstLineChars="0"/>
              <w:jc w:val="center"/>
              <w:rPr>
                <w:bCs/>
                <w:kern w:val="10"/>
                <w:sz w:val="21"/>
                <w:szCs w:val="21"/>
              </w:rPr>
            </w:pPr>
            <w:r>
              <w:rPr>
                <w:rFonts w:hint="eastAsia"/>
                <w:bCs/>
                <w:kern w:val="10"/>
                <w:sz w:val="21"/>
                <w:szCs w:val="21"/>
              </w:rPr>
              <w:t>/</w:t>
            </w:r>
          </w:p>
        </w:tc>
        <w:tc>
          <w:tcPr>
            <w:tcW w:w="1558" w:type="dxa"/>
            <w:tcBorders>
              <w:top w:val="single" w:color="auto" w:sz="4" w:space="0"/>
              <w:left w:val="single" w:color="auto" w:sz="4" w:space="0"/>
              <w:bottom w:val="single" w:color="auto" w:sz="4" w:space="0"/>
              <w:right w:val="single" w:color="auto" w:sz="4" w:space="0"/>
            </w:tcBorders>
            <w:shd w:val="clear" w:color="auto" w:fill="auto"/>
            <w:vAlign w:val="center"/>
          </w:tcPr>
          <w:p w14:paraId="0869EAB9">
            <w:pPr>
              <w:spacing w:line="240" w:lineRule="auto"/>
              <w:ind w:firstLine="0" w:firstLineChars="0"/>
              <w:jc w:val="center"/>
              <w:rPr>
                <w:bCs/>
                <w:kern w:val="10"/>
                <w:sz w:val="21"/>
                <w:szCs w:val="21"/>
              </w:rPr>
            </w:pPr>
            <w:r>
              <w:rPr>
                <w:rFonts w:hint="eastAsia"/>
                <w:bCs/>
                <w:kern w:val="10"/>
                <w:sz w:val="21"/>
                <w:szCs w:val="21"/>
              </w:rPr>
              <w:t>/</w:t>
            </w:r>
          </w:p>
        </w:tc>
        <w:tc>
          <w:tcPr>
            <w:tcW w:w="1760" w:type="dxa"/>
            <w:tcBorders>
              <w:top w:val="single" w:color="auto" w:sz="4" w:space="0"/>
              <w:left w:val="single" w:color="auto" w:sz="4" w:space="0"/>
              <w:bottom w:val="single" w:color="auto" w:sz="4" w:space="0"/>
              <w:right w:val="single" w:color="auto" w:sz="4" w:space="0"/>
            </w:tcBorders>
            <w:shd w:val="clear" w:color="auto" w:fill="auto"/>
            <w:vAlign w:val="center"/>
          </w:tcPr>
          <w:p w14:paraId="1FDA11BF">
            <w:pPr>
              <w:spacing w:line="240" w:lineRule="auto"/>
              <w:ind w:firstLine="0" w:firstLineChars="0"/>
              <w:jc w:val="center"/>
              <w:rPr>
                <w:bCs/>
                <w:kern w:val="10"/>
                <w:sz w:val="21"/>
                <w:szCs w:val="21"/>
              </w:rPr>
            </w:pPr>
            <w:r>
              <w:rPr>
                <w:rFonts w:hint="eastAsia"/>
                <w:bCs/>
                <w:kern w:val="10"/>
                <w:sz w:val="21"/>
                <w:szCs w:val="21"/>
              </w:rPr>
              <w:t>/</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52EF9EBA">
            <w:pPr>
              <w:spacing w:line="240" w:lineRule="auto"/>
              <w:ind w:firstLine="0" w:firstLineChars="0"/>
              <w:jc w:val="center"/>
              <w:rPr>
                <w:bCs/>
                <w:kern w:val="10"/>
                <w:sz w:val="21"/>
                <w:szCs w:val="21"/>
              </w:rPr>
            </w:pPr>
            <w:r>
              <w:rPr>
                <w:rFonts w:hint="eastAsia"/>
                <w:bCs/>
                <w:kern w:val="10"/>
                <w:sz w:val="21"/>
                <w:szCs w:val="21"/>
              </w:rPr>
              <w:t>/</w:t>
            </w:r>
          </w:p>
        </w:tc>
        <w:tc>
          <w:tcPr>
            <w:tcW w:w="1316" w:type="dxa"/>
            <w:tcBorders>
              <w:top w:val="single" w:color="auto" w:sz="4" w:space="0"/>
              <w:left w:val="single" w:color="auto" w:sz="4" w:space="0"/>
              <w:bottom w:val="single" w:color="auto" w:sz="4" w:space="0"/>
              <w:right w:val="single" w:color="auto" w:sz="8" w:space="0"/>
            </w:tcBorders>
            <w:shd w:val="clear" w:color="auto" w:fill="auto"/>
            <w:vAlign w:val="center"/>
          </w:tcPr>
          <w:p w14:paraId="02BFF362">
            <w:pPr>
              <w:spacing w:line="240" w:lineRule="auto"/>
              <w:ind w:firstLine="0" w:firstLineChars="0"/>
              <w:jc w:val="center"/>
              <w:rPr>
                <w:bCs/>
                <w:kern w:val="10"/>
                <w:sz w:val="21"/>
                <w:szCs w:val="21"/>
              </w:rPr>
            </w:pPr>
            <w:r>
              <w:rPr>
                <w:rFonts w:hint="eastAsia"/>
                <w:bCs/>
                <w:kern w:val="10"/>
                <w:sz w:val="21"/>
                <w:szCs w:val="21"/>
              </w:rPr>
              <w:t>/</w:t>
            </w:r>
          </w:p>
        </w:tc>
      </w:tr>
      <w:tr w14:paraId="0D5B02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80" w:type="dxa"/>
            <w:vMerge w:val="continue"/>
            <w:tcBorders>
              <w:left w:val="single" w:color="auto" w:sz="8" w:space="0"/>
              <w:right w:val="single" w:color="auto" w:sz="4" w:space="0"/>
            </w:tcBorders>
            <w:shd w:val="clear" w:color="auto" w:fill="auto"/>
            <w:vAlign w:val="center"/>
          </w:tcPr>
          <w:p w14:paraId="22BD3B9A">
            <w:pPr>
              <w:spacing w:line="240" w:lineRule="auto"/>
              <w:ind w:firstLine="0" w:firstLineChars="0"/>
              <w:jc w:val="center"/>
              <w:rPr>
                <w:sz w:val="20"/>
                <w:szCs w:val="20"/>
              </w:rPr>
            </w:pPr>
          </w:p>
        </w:tc>
        <w:tc>
          <w:tcPr>
            <w:tcW w:w="1823" w:type="dxa"/>
            <w:tcBorders>
              <w:top w:val="single" w:color="auto" w:sz="4" w:space="0"/>
              <w:left w:val="single" w:color="auto" w:sz="4" w:space="0"/>
              <w:bottom w:val="single" w:color="auto" w:sz="4" w:space="0"/>
              <w:right w:val="single" w:color="auto" w:sz="4" w:space="0"/>
            </w:tcBorders>
            <w:shd w:val="clear" w:color="auto" w:fill="auto"/>
            <w:vAlign w:val="center"/>
          </w:tcPr>
          <w:p w14:paraId="7977AD58">
            <w:pPr>
              <w:pStyle w:val="22"/>
              <w:widowControl w:val="0"/>
              <w:spacing w:before="0" w:beforeAutospacing="0" w:after="0" w:afterAutospacing="0" w:line="240" w:lineRule="auto"/>
              <w:ind w:firstLine="0" w:firstLineChars="0"/>
              <w:jc w:val="center"/>
              <w:rPr>
                <w:rFonts w:ascii="Times New Roman" w:hAnsi="Times New Roman"/>
                <w:snapToGrid w:val="0"/>
                <w:kern w:val="21"/>
                <w:szCs w:val="21"/>
              </w:rPr>
            </w:pPr>
            <w:r>
              <w:rPr>
                <w:rFonts w:ascii="Times New Roman" w:hAnsi="Times New Roman"/>
                <w:bCs/>
                <w:sz w:val="21"/>
                <w:szCs w:val="21"/>
              </w:rPr>
              <w:t>NH</w:t>
            </w:r>
            <w:r>
              <w:rPr>
                <w:rFonts w:ascii="Times New Roman" w:hAnsi="Times New Roman"/>
                <w:bCs/>
                <w:sz w:val="21"/>
                <w:szCs w:val="21"/>
                <w:vertAlign w:val="subscript"/>
              </w:rPr>
              <w:t>3</w:t>
            </w:r>
            <w:r>
              <w:rPr>
                <w:rFonts w:ascii="Times New Roman" w:hAnsi="Times New Roman"/>
                <w:bCs/>
                <w:sz w:val="21"/>
                <w:szCs w:val="21"/>
              </w:rPr>
              <w:t>-N</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42BF43C1">
            <w:pPr>
              <w:spacing w:line="240" w:lineRule="auto"/>
              <w:ind w:firstLine="0" w:firstLineChars="0"/>
              <w:jc w:val="center"/>
              <w:rPr>
                <w:bCs/>
                <w:kern w:val="10"/>
                <w:sz w:val="21"/>
                <w:szCs w:val="21"/>
              </w:rPr>
            </w:pPr>
            <w:r>
              <w:rPr>
                <w:rFonts w:hint="eastAsia"/>
                <w:bCs/>
                <w:kern w:val="10"/>
                <w:sz w:val="21"/>
                <w:szCs w:val="21"/>
              </w:rPr>
              <w:t>/</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0CDA757E">
            <w:pPr>
              <w:spacing w:line="240" w:lineRule="auto"/>
              <w:ind w:firstLine="0" w:firstLineChars="0"/>
              <w:jc w:val="center"/>
              <w:rPr>
                <w:bCs/>
                <w:kern w:val="10"/>
                <w:sz w:val="21"/>
                <w:szCs w:val="21"/>
              </w:rPr>
            </w:pPr>
            <w:r>
              <w:rPr>
                <w:rFonts w:hint="eastAsia"/>
                <w:bCs/>
                <w:kern w:val="10"/>
                <w:sz w:val="21"/>
                <w:szCs w:val="21"/>
              </w:rPr>
              <w:t>/</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0440D0DA">
            <w:pPr>
              <w:spacing w:line="240" w:lineRule="auto"/>
              <w:ind w:firstLine="0" w:firstLineChars="0"/>
              <w:jc w:val="center"/>
              <w:rPr>
                <w:bCs/>
                <w:kern w:val="10"/>
                <w:sz w:val="21"/>
                <w:szCs w:val="21"/>
              </w:rPr>
            </w:pPr>
            <w:r>
              <w:rPr>
                <w:rFonts w:hint="eastAsia"/>
                <w:bCs/>
                <w:kern w:val="10"/>
                <w:sz w:val="21"/>
                <w:szCs w:val="21"/>
              </w:rPr>
              <w:t>/</w:t>
            </w:r>
          </w:p>
        </w:tc>
        <w:tc>
          <w:tcPr>
            <w:tcW w:w="1558" w:type="dxa"/>
            <w:tcBorders>
              <w:top w:val="single" w:color="auto" w:sz="4" w:space="0"/>
              <w:left w:val="single" w:color="auto" w:sz="4" w:space="0"/>
              <w:bottom w:val="single" w:color="auto" w:sz="4" w:space="0"/>
              <w:right w:val="single" w:color="auto" w:sz="4" w:space="0"/>
            </w:tcBorders>
            <w:shd w:val="clear" w:color="auto" w:fill="auto"/>
            <w:vAlign w:val="center"/>
          </w:tcPr>
          <w:p w14:paraId="368BA011">
            <w:pPr>
              <w:spacing w:line="240" w:lineRule="auto"/>
              <w:ind w:firstLine="0" w:firstLineChars="0"/>
              <w:jc w:val="center"/>
              <w:rPr>
                <w:bCs/>
                <w:kern w:val="10"/>
                <w:sz w:val="21"/>
                <w:szCs w:val="21"/>
              </w:rPr>
            </w:pPr>
            <w:r>
              <w:rPr>
                <w:rFonts w:hint="eastAsia"/>
                <w:bCs/>
                <w:kern w:val="10"/>
                <w:sz w:val="21"/>
                <w:szCs w:val="21"/>
              </w:rPr>
              <w:t>/</w:t>
            </w:r>
          </w:p>
        </w:tc>
        <w:tc>
          <w:tcPr>
            <w:tcW w:w="1760" w:type="dxa"/>
            <w:tcBorders>
              <w:top w:val="single" w:color="auto" w:sz="4" w:space="0"/>
              <w:left w:val="single" w:color="auto" w:sz="4" w:space="0"/>
              <w:bottom w:val="single" w:color="auto" w:sz="4" w:space="0"/>
              <w:right w:val="single" w:color="auto" w:sz="4" w:space="0"/>
            </w:tcBorders>
            <w:shd w:val="clear" w:color="auto" w:fill="auto"/>
            <w:vAlign w:val="center"/>
          </w:tcPr>
          <w:p w14:paraId="1494A97E">
            <w:pPr>
              <w:spacing w:line="240" w:lineRule="auto"/>
              <w:ind w:firstLine="0" w:firstLineChars="0"/>
              <w:jc w:val="center"/>
              <w:rPr>
                <w:bCs/>
                <w:kern w:val="10"/>
                <w:sz w:val="21"/>
                <w:szCs w:val="21"/>
              </w:rPr>
            </w:pPr>
            <w:r>
              <w:rPr>
                <w:rFonts w:hint="eastAsia"/>
                <w:bCs/>
                <w:kern w:val="10"/>
                <w:sz w:val="21"/>
                <w:szCs w:val="21"/>
              </w:rPr>
              <w:t>/</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39F49386">
            <w:pPr>
              <w:spacing w:line="240" w:lineRule="auto"/>
              <w:ind w:firstLine="0" w:firstLineChars="0"/>
              <w:jc w:val="center"/>
              <w:rPr>
                <w:bCs/>
                <w:kern w:val="10"/>
                <w:sz w:val="21"/>
                <w:szCs w:val="21"/>
              </w:rPr>
            </w:pPr>
            <w:r>
              <w:rPr>
                <w:rFonts w:hint="eastAsia"/>
                <w:bCs/>
                <w:kern w:val="10"/>
                <w:sz w:val="21"/>
                <w:szCs w:val="21"/>
              </w:rPr>
              <w:t>/</w:t>
            </w:r>
          </w:p>
        </w:tc>
        <w:tc>
          <w:tcPr>
            <w:tcW w:w="1316" w:type="dxa"/>
            <w:tcBorders>
              <w:top w:val="single" w:color="auto" w:sz="4" w:space="0"/>
              <w:left w:val="single" w:color="auto" w:sz="4" w:space="0"/>
              <w:bottom w:val="single" w:color="auto" w:sz="4" w:space="0"/>
              <w:right w:val="single" w:color="auto" w:sz="8" w:space="0"/>
            </w:tcBorders>
            <w:shd w:val="clear" w:color="auto" w:fill="auto"/>
            <w:vAlign w:val="center"/>
          </w:tcPr>
          <w:p w14:paraId="5339DE3E">
            <w:pPr>
              <w:spacing w:line="240" w:lineRule="auto"/>
              <w:ind w:firstLine="0" w:firstLineChars="0"/>
              <w:jc w:val="center"/>
              <w:rPr>
                <w:bCs/>
                <w:kern w:val="10"/>
                <w:sz w:val="21"/>
                <w:szCs w:val="21"/>
              </w:rPr>
            </w:pPr>
            <w:r>
              <w:rPr>
                <w:rFonts w:hint="eastAsia"/>
                <w:bCs/>
                <w:kern w:val="10"/>
                <w:sz w:val="21"/>
                <w:szCs w:val="21"/>
              </w:rPr>
              <w:t>/</w:t>
            </w:r>
          </w:p>
        </w:tc>
      </w:tr>
      <w:tr w14:paraId="4F1ED3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80" w:type="dxa"/>
            <w:vMerge w:val="continue"/>
            <w:tcBorders>
              <w:left w:val="single" w:color="auto" w:sz="8" w:space="0"/>
              <w:bottom w:val="single" w:color="auto" w:sz="4" w:space="0"/>
              <w:right w:val="single" w:color="auto" w:sz="4" w:space="0"/>
            </w:tcBorders>
            <w:shd w:val="clear" w:color="auto" w:fill="auto"/>
            <w:vAlign w:val="center"/>
          </w:tcPr>
          <w:p w14:paraId="126C1BCE">
            <w:pPr>
              <w:spacing w:line="240" w:lineRule="auto"/>
              <w:ind w:firstLine="0" w:firstLineChars="0"/>
              <w:jc w:val="center"/>
              <w:rPr>
                <w:sz w:val="20"/>
                <w:szCs w:val="20"/>
              </w:rPr>
            </w:pPr>
          </w:p>
        </w:tc>
        <w:tc>
          <w:tcPr>
            <w:tcW w:w="1823" w:type="dxa"/>
            <w:tcBorders>
              <w:top w:val="single" w:color="auto" w:sz="4" w:space="0"/>
              <w:left w:val="single" w:color="auto" w:sz="4" w:space="0"/>
              <w:bottom w:val="single" w:color="auto" w:sz="4" w:space="0"/>
              <w:right w:val="single" w:color="auto" w:sz="4" w:space="0"/>
            </w:tcBorders>
            <w:shd w:val="clear" w:color="auto" w:fill="auto"/>
            <w:vAlign w:val="center"/>
          </w:tcPr>
          <w:p w14:paraId="623126C1">
            <w:pPr>
              <w:pStyle w:val="22"/>
              <w:widowControl w:val="0"/>
              <w:spacing w:before="0" w:beforeAutospacing="0" w:after="0" w:afterAutospacing="0" w:line="240" w:lineRule="auto"/>
              <w:ind w:firstLine="0" w:firstLineChars="0"/>
              <w:jc w:val="center"/>
              <w:rPr>
                <w:rFonts w:ascii="Times New Roman" w:hAnsi="Times New Roman"/>
                <w:bCs/>
                <w:sz w:val="21"/>
                <w:szCs w:val="21"/>
              </w:rPr>
            </w:pPr>
            <w:r>
              <w:rPr>
                <w:rFonts w:hint="eastAsia" w:ascii="Times New Roman" w:hAnsi="Times New Roman"/>
                <w:bCs/>
                <w:sz w:val="21"/>
                <w:szCs w:val="21"/>
              </w:rPr>
              <w:t>TP</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75BF1451">
            <w:pPr>
              <w:spacing w:line="240" w:lineRule="auto"/>
              <w:ind w:firstLine="0" w:firstLineChars="0"/>
              <w:jc w:val="center"/>
              <w:rPr>
                <w:bCs/>
                <w:kern w:val="10"/>
                <w:sz w:val="21"/>
                <w:szCs w:val="21"/>
              </w:rPr>
            </w:pPr>
            <w:r>
              <w:rPr>
                <w:rFonts w:hint="eastAsia"/>
                <w:bCs/>
                <w:kern w:val="10"/>
                <w:sz w:val="21"/>
                <w:szCs w:val="21"/>
              </w:rPr>
              <w:t>/</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54EFDF80">
            <w:pPr>
              <w:spacing w:line="240" w:lineRule="auto"/>
              <w:ind w:firstLine="0" w:firstLineChars="0"/>
              <w:jc w:val="center"/>
              <w:rPr>
                <w:bCs/>
                <w:kern w:val="10"/>
                <w:sz w:val="21"/>
                <w:szCs w:val="21"/>
              </w:rPr>
            </w:pPr>
            <w:r>
              <w:rPr>
                <w:rFonts w:hint="eastAsia"/>
                <w:bCs/>
                <w:kern w:val="10"/>
                <w:sz w:val="21"/>
                <w:szCs w:val="21"/>
              </w:rPr>
              <w:t>/</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661D7A84">
            <w:pPr>
              <w:spacing w:line="240" w:lineRule="auto"/>
              <w:ind w:firstLine="0" w:firstLineChars="0"/>
              <w:jc w:val="center"/>
              <w:rPr>
                <w:bCs/>
                <w:kern w:val="10"/>
                <w:sz w:val="21"/>
                <w:szCs w:val="21"/>
              </w:rPr>
            </w:pPr>
            <w:r>
              <w:rPr>
                <w:rFonts w:hint="eastAsia"/>
                <w:bCs/>
                <w:kern w:val="10"/>
                <w:sz w:val="21"/>
                <w:szCs w:val="21"/>
              </w:rPr>
              <w:t>/</w:t>
            </w:r>
          </w:p>
        </w:tc>
        <w:tc>
          <w:tcPr>
            <w:tcW w:w="1558" w:type="dxa"/>
            <w:tcBorders>
              <w:top w:val="single" w:color="auto" w:sz="4" w:space="0"/>
              <w:left w:val="single" w:color="auto" w:sz="4" w:space="0"/>
              <w:bottom w:val="single" w:color="auto" w:sz="4" w:space="0"/>
              <w:right w:val="single" w:color="auto" w:sz="4" w:space="0"/>
            </w:tcBorders>
            <w:shd w:val="clear" w:color="auto" w:fill="auto"/>
            <w:vAlign w:val="center"/>
          </w:tcPr>
          <w:p w14:paraId="508AE6D2">
            <w:pPr>
              <w:spacing w:line="240" w:lineRule="auto"/>
              <w:ind w:firstLine="0" w:firstLineChars="0"/>
              <w:jc w:val="center"/>
              <w:rPr>
                <w:bCs/>
                <w:kern w:val="10"/>
                <w:sz w:val="21"/>
                <w:szCs w:val="21"/>
              </w:rPr>
            </w:pPr>
            <w:r>
              <w:rPr>
                <w:rFonts w:hint="eastAsia"/>
                <w:bCs/>
                <w:kern w:val="10"/>
                <w:sz w:val="21"/>
                <w:szCs w:val="21"/>
              </w:rPr>
              <w:t>/</w:t>
            </w:r>
          </w:p>
        </w:tc>
        <w:tc>
          <w:tcPr>
            <w:tcW w:w="1760" w:type="dxa"/>
            <w:tcBorders>
              <w:top w:val="single" w:color="auto" w:sz="4" w:space="0"/>
              <w:left w:val="single" w:color="auto" w:sz="4" w:space="0"/>
              <w:bottom w:val="single" w:color="auto" w:sz="4" w:space="0"/>
              <w:right w:val="single" w:color="auto" w:sz="4" w:space="0"/>
            </w:tcBorders>
            <w:shd w:val="clear" w:color="auto" w:fill="auto"/>
            <w:vAlign w:val="center"/>
          </w:tcPr>
          <w:p w14:paraId="326331FF">
            <w:pPr>
              <w:spacing w:line="240" w:lineRule="auto"/>
              <w:ind w:firstLine="0" w:firstLineChars="0"/>
              <w:jc w:val="center"/>
              <w:rPr>
                <w:bCs/>
                <w:kern w:val="10"/>
                <w:sz w:val="21"/>
                <w:szCs w:val="21"/>
              </w:rPr>
            </w:pPr>
            <w:r>
              <w:rPr>
                <w:rFonts w:hint="eastAsia"/>
                <w:bCs/>
                <w:kern w:val="10"/>
                <w:sz w:val="21"/>
                <w:szCs w:val="21"/>
              </w:rPr>
              <w:t>/</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7E3519DB">
            <w:pPr>
              <w:spacing w:line="240" w:lineRule="auto"/>
              <w:ind w:firstLine="0" w:firstLineChars="0"/>
              <w:jc w:val="center"/>
              <w:rPr>
                <w:bCs/>
                <w:kern w:val="10"/>
                <w:sz w:val="21"/>
                <w:szCs w:val="21"/>
              </w:rPr>
            </w:pPr>
            <w:r>
              <w:rPr>
                <w:rFonts w:hint="eastAsia"/>
                <w:bCs/>
                <w:kern w:val="10"/>
                <w:sz w:val="21"/>
                <w:szCs w:val="21"/>
              </w:rPr>
              <w:t>/</w:t>
            </w:r>
          </w:p>
        </w:tc>
        <w:tc>
          <w:tcPr>
            <w:tcW w:w="1316" w:type="dxa"/>
            <w:tcBorders>
              <w:top w:val="single" w:color="auto" w:sz="4" w:space="0"/>
              <w:left w:val="single" w:color="auto" w:sz="4" w:space="0"/>
              <w:bottom w:val="single" w:color="auto" w:sz="4" w:space="0"/>
              <w:right w:val="single" w:color="auto" w:sz="8" w:space="0"/>
            </w:tcBorders>
            <w:shd w:val="clear" w:color="auto" w:fill="auto"/>
            <w:vAlign w:val="center"/>
          </w:tcPr>
          <w:p w14:paraId="60CD570D">
            <w:pPr>
              <w:spacing w:line="240" w:lineRule="auto"/>
              <w:ind w:firstLine="0" w:firstLineChars="0"/>
              <w:jc w:val="center"/>
              <w:rPr>
                <w:bCs/>
                <w:kern w:val="10"/>
                <w:sz w:val="21"/>
                <w:szCs w:val="21"/>
              </w:rPr>
            </w:pPr>
            <w:r>
              <w:rPr>
                <w:rFonts w:hint="eastAsia"/>
                <w:bCs/>
                <w:kern w:val="10"/>
                <w:sz w:val="21"/>
                <w:szCs w:val="21"/>
              </w:rPr>
              <w:t>/</w:t>
            </w:r>
          </w:p>
        </w:tc>
      </w:tr>
      <w:tr w14:paraId="750A8D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80" w:type="dxa"/>
            <w:vMerge w:val="restart"/>
            <w:tcBorders>
              <w:top w:val="single" w:color="auto" w:sz="4" w:space="0"/>
              <w:left w:val="single" w:color="auto" w:sz="8" w:space="0"/>
              <w:right w:val="single" w:color="auto" w:sz="4" w:space="0"/>
            </w:tcBorders>
            <w:shd w:val="clear" w:color="auto" w:fill="auto"/>
            <w:vAlign w:val="center"/>
          </w:tcPr>
          <w:p w14:paraId="30105348">
            <w:pPr>
              <w:pStyle w:val="22"/>
              <w:widowControl w:val="0"/>
              <w:adjustRightInd w:val="0"/>
              <w:snapToGrid w:val="0"/>
              <w:spacing w:before="0" w:beforeAutospacing="0" w:after="0" w:afterAutospacing="0" w:line="240" w:lineRule="auto"/>
              <w:ind w:firstLine="0" w:firstLineChars="0"/>
              <w:jc w:val="center"/>
              <w:rPr>
                <w:rFonts w:ascii="Times New Roman" w:hAnsi="Times New Roman" w:cs="宋体"/>
                <w:kern w:val="21"/>
                <w:szCs w:val="21"/>
              </w:rPr>
            </w:pPr>
            <w:r>
              <w:rPr>
                <w:rFonts w:hint="eastAsia" w:ascii="Times New Roman" w:hAnsi="Times New Roman" w:cs="宋体"/>
                <w:snapToGrid w:val="0"/>
                <w:kern w:val="21"/>
                <w:sz w:val="21"/>
                <w:szCs w:val="21"/>
              </w:rPr>
              <w:t>一般工业</w:t>
            </w:r>
          </w:p>
          <w:p w14:paraId="1BD71119">
            <w:pPr>
              <w:pStyle w:val="22"/>
              <w:widowControl w:val="0"/>
              <w:adjustRightInd w:val="0"/>
              <w:snapToGrid w:val="0"/>
              <w:spacing w:before="0" w:beforeAutospacing="0" w:after="0" w:afterAutospacing="0" w:line="240" w:lineRule="auto"/>
              <w:ind w:firstLine="0" w:firstLineChars="0"/>
              <w:jc w:val="center"/>
              <w:rPr>
                <w:rFonts w:ascii="Times New Roman" w:hAnsi="Times New Roman" w:cs="宋体"/>
                <w:kern w:val="21"/>
                <w:szCs w:val="21"/>
              </w:rPr>
            </w:pPr>
            <w:r>
              <w:rPr>
                <w:rFonts w:hint="eastAsia" w:ascii="Times New Roman" w:hAnsi="Times New Roman" w:cs="宋体"/>
                <w:snapToGrid w:val="0"/>
                <w:kern w:val="21"/>
                <w:sz w:val="21"/>
                <w:szCs w:val="21"/>
              </w:rPr>
              <w:t>固体废物</w:t>
            </w:r>
          </w:p>
        </w:tc>
        <w:tc>
          <w:tcPr>
            <w:tcW w:w="1823" w:type="dxa"/>
            <w:tcBorders>
              <w:top w:val="single" w:color="auto" w:sz="4" w:space="0"/>
              <w:left w:val="single" w:color="auto" w:sz="4" w:space="0"/>
              <w:bottom w:val="single" w:color="auto" w:sz="4" w:space="0"/>
              <w:right w:val="single" w:color="auto" w:sz="4" w:space="0"/>
            </w:tcBorders>
            <w:shd w:val="clear" w:color="auto" w:fill="auto"/>
            <w:vAlign w:val="center"/>
          </w:tcPr>
          <w:p w14:paraId="19A8D749">
            <w:pPr>
              <w:adjustRightInd w:val="0"/>
              <w:snapToGrid w:val="0"/>
              <w:spacing w:line="240" w:lineRule="auto"/>
              <w:ind w:firstLine="0" w:firstLineChars="0"/>
              <w:jc w:val="center"/>
              <w:rPr>
                <w:kern w:val="0"/>
                <w:szCs w:val="21"/>
              </w:rPr>
            </w:pPr>
            <w:r>
              <w:rPr>
                <w:rFonts w:hint="eastAsia"/>
                <w:sz w:val="21"/>
                <w:szCs w:val="21"/>
              </w:rPr>
              <w:t>收集粉尘</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17CB21BC">
            <w:pPr>
              <w:spacing w:line="240" w:lineRule="auto"/>
              <w:ind w:firstLine="0" w:firstLineChars="0"/>
              <w:jc w:val="center"/>
              <w:rPr>
                <w:bCs/>
                <w:kern w:val="10"/>
                <w:sz w:val="21"/>
                <w:szCs w:val="21"/>
              </w:rPr>
            </w:pPr>
            <w:r>
              <w:rPr>
                <w:rFonts w:hint="eastAsia"/>
                <w:bCs/>
                <w:kern w:val="10"/>
                <w:sz w:val="21"/>
                <w:szCs w:val="21"/>
              </w:rPr>
              <w:t>/</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43CFF8A8">
            <w:pPr>
              <w:spacing w:line="240" w:lineRule="auto"/>
              <w:ind w:firstLine="0" w:firstLineChars="0"/>
              <w:jc w:val="center"/>
              <w:rPr>
                <w:bCs/>
                <w:kern w:val="10"/>
                <w:sz w:val="21"/>
                <w:szCs w:val="21"/>
              </w:rPr>
            </w:pPr>
            <w:r>
              <w:rPr>
                <w:rFonts w:hint="eastAsia"/>
                <w:bCs/>
                <w:kern w:val="10"/>
                <w:sz w:val="21"/>
                <w:szCs w:val="21"/>
              </w:rPr>
              <w:t>/</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3DBE8FA5">
            <w:pPr>
              <w:spacing w:line="240" w:lineRule="auto"/>
              <w:ind w:firstLine="0" w:firstLineChars="0"/>
              <w:jc w:val="center"/>
              <w:rPr>
                <w:bCs/>
                <w:kern w:val="10"/>
                <w:sz w:val="21"/>
                <w:szCs w:val="21"/>
              </w:rPr>
            </w:pPr>
            <w:r>
              <w:rPr>
                <w:rFonts w:hint="eastAsia"/>
                <w:bCs/>
                <w:kern w:val="10"/>
                <w:sz w:val="21"/>
                <w:szCs w:val="21"/>
              </w:rPr>
              <w:t>/</w:t>
            </w:r>
          </w:p>
        </w:tc>
        <w:tc>
          <w:tcPr>
            <w:tcW w:w="1558" w:type="dxa"/>
            <w:tcBorders>
              <w:top w:val="single" w:color="auto" w:sz="4" w:space="0"/>
              <w:left w:val="single" w:color="auto" w:sz="4" w:space="0"/>
              <w:bottom w:val="single" w:color="auto" w:sz="4" w:space="0"/>
              <w:right w:val="single" w:color="auto" w:sz="4" w:space="0"/>
            </w:tcBorders>
            <w:shd w:val="clear" w:color="auto" w:fill="auto"/>
            <w:vAlign w:val="center"/>
          </w:tcPr>
          <w:p w14:paraId="0D5C9A14">
            <w:pPr>
              <w:spacing w:line="240" w:lineRule="auto"/>
              <w:ind w:firstLine="0" w:firstLineChars="0"/>
              <w:jc w:val="center"/>
              <w:rPr>
                <w:bCs/>
                <w:kern w:val="10"/>
                <w:sz w:val="21"/>
                <w:szCs w:val="21"/>
              </w:rPr>
            </w:pPr>
            <w:r>
              <w:rPr>
                <w:rFonts w:hint="eastAsia"/>
                <w:bCs/>
                <w:kern w:val="10"/>
                <w:sz w:val="21"/>
                <w:szCs w:val="21"/>
              </w:rPr>
              <w:t>46.0338t/a</w:t>
            </w:r>
          </w:p>
        </w:tc>
        <w:tc>
          <w:tcPr>
            <w:tcW w:w="1760" w:type="dxa"/>
            <w:tcBorders>
              <w:top w:val="single" w:color="auto" w:sz="4" w:space="0"/>
              <w:left w:val="single" w:color="auto" w:sz="4" w:space="0"/>
              <w:bottom w:val="single" w:color="auto" w:sz="4" w:space="0"/>
              <w:right w:val="single" w:color="auto" w:sz="4" w:space="0"/>
            </w:tcBorders>
            <w:shd w:val="clear" w:color="auto" w:fill="auto"/>
            <w:vAlign w:val="center"/>
          </w:tcPr>
          <w:p w14:paraId="59A6C959">
            <w:pPr>
              <w:spacing w:line="240" w:lineRule="auto"/>
              <w:ind w:firstLine="0" w:firstLineChars="0"/>
              <w:jc w:val="center"/>
              <w:rPr>
                <w:bCs/>
                <w:kern w:val="10"/>
                <w:sz w:val="21"/>
                <w:szCs w:val="21"/>
              </w:rPr>
            </w:pP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3183208D">
            <w:pPr>
              <w:spacing w:line="240" w:lineRule="auto"/>
              <w:ind w:firstLine="0" w:firstLineChars="0"/>
              <w:jc w:val="center"/>
              <w:rPr>
                <w:bCs/>
                <w:kern w:val="10"/>
                <w:sz w:val="21"/>
                <w:szCs w:val="21"/>
              </w:rPr>
            </w:pPr>
            <w:r>
              <w:rPr>
                <w:rFonts w:hint="eastAsia"/>
                <w:bCs/>
                <w:kern w:val="10"/>
                <w:sz w:val="21"/>
                <w:szCs w:val="21"/>
              </w:rPr>
              <w:t>46.0338t/a</w:t>
            </w:r>
          </w:p>
        </w:tc>
        <w:tc>
          <w:tcPr>
            <w:tcW w:w="1316" w:type="dxa"/>
            <w:tcBorders>
              <w:top w:val="single" w:color="auto" w:sz="4" w:space="0"/>
              <w:left w:val="single" w:color="auto" w:sz="4" w:space="0"/>
              <w:bottom w:val="single" w:color="auto" w:sz="4" w:space="0"/>
              <w:right w:val="single" w:color="auto" w:sz="8" w:space="0"/>
            </w:tcBorders>
            <w:shd w:val="clear" w:color="auto" w:fill="auto"/>
            <w:vAlign w:val="center"/>
          </w:tcPr>
          <w:p w14:paraId="7EAE96A8">
            <w:pPr>
              <w:spacing w:line="240" w:lineRule="auto"/>
              <w:ind w:firstLine="0" w:firstLineChars="0"/>
              <w:jc w:val="center"/>
              <w:rPr>
                <w:bCs/>
                <w:kern w:val="10"/>
                <w:sz w:val="21"/>
                <w:szCs w:val="21"/>
              </w:rPr>
            </w:pPr>
            <w:r>
              <w:rPr>
                <w:rFonts w:hint="eastAsia"/>
                <w:bCs/>
                <w:kern w:val="10"/>
                <w:sz w:val="21"/>
                <w:szCs w:val="21"/>
              </w:rPr>
              <w:t>/</w:t>
            </w:r>
          </w:p>
        </w:tc>
      </w:tr>
      <w:tr w14:paraId="1E954A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80" w:type="dxa"/>
            <w:vMerge w:val="continue"/>
            <w:tcBorders>
              <w:left w:val="single" w:color="auto" w:sz="8" w:space="0"/>
              <w:right w:val="single" w:color="auto" w:sz="4" w:space="0"/>
            </w:tcBorders>
            <w:shd w:val="clear" w:color="auto" w:fill="auto"/>
            <w:vAlign w:val="center"/>
          </w:tcPr>
          <w:p w14:paraId="2A03C0F7">
            <w:pPr>
              <w:spacing w:line="240" w:lineRule="auto"/>
              <w:ind w:firstLine="0" w:firstLineChars="0"/>
              <w:jc w:val="center"/>
              <w:rPr>
                <w:sz w:val="20"/>
                <w:szCs w:val="20"/>
              </w:rPr>
            </w:pPr>
          </w:p>
        </w:tc>
        <w:tc>
          <w:tcPr>
            <w:tcW w:w="1823" w:type="dxa"/>
            <w:tcBorders>
              <w:top w:val="single" w:color="auto" w:sz="4" w:space="0"/>
              <w:left w:val="single" w:color="auto" w:sz="4" w:space="0"/>
              <w:bottom w:val="single" w:color="auto" w:sz="4" w:space="0"/>
              <w:right w:val="single" w:color="auto" w:sz="4" w:space="0"/>
            </w:tcBorders>
            <w:shd w:val="clear" w:color="auto" w:fill="auto"/>
            <w:vAlign w:val="center"/>
          </w:tcPr>
          <w:p w14:paraId="73CC7829">
            <w:pPr>
              <w:adjustRightInd w:val="0"/>
              <w:snapToGrid w:val="0"/>
              <w:spacing w:line="240" w:lineRule="auto"/>
              <w:ind w:firstLine="0" w:firstLineChars="0"/>
              <w:jc w:val="center"/>
              <w:rPr>
                <w:rFonts w:cs="宋体"/>
                <w:kern w:val="0"/>
                <w:szCs w:val="21"/>
              </w:rPr>
            </w:pPr>
            <w:r>
              <w:rPr>
                <w:rFonts w:hint="eastAsia"/>
                <w:sz w:val="21"/>
                <w:szCs w:val="21"/>
              </w:rPr>
              <w:t>废布袋</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02D8F193">
            <w:pPr>
              <w:spacing w:line="240" w:lineRule="auto"/>
              <w:ind w:firstLine="0" w:firstLineChars="0"/>
              <w:jc w:val="center"/>
              <w:rPr>
                <w:bCs/>
                <w:kern w:val="10"/>
                <w:sz w:val="21"/>
                <w:szCs w:val="21"/>
              </w:rPr>
            </w:pPr>
            <w:r>
              <w:rPr>
                <w:rFonts w:hint="eastAsia"/>
                <w:bCs/>
                <w:kern w:val="10"/>
                <w:sz w:val="21"/>
                <w:szCs w:val="21"/>
              </w:rPr>
              <w:t>/</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54826930">
            <w:pPr>
              <w:spacing w:line="240" w:lineRule="auto"/>
              <w:ind w:firstLine="0" w:firstLineChars="0"/>
              <w:jc w:val="center"/>
              <w:rPr>
                <w:bCs/>
                <w:kern w:val="10"/>
                <w:sz w:val="21"/>
                <w:szCs w:val="21"/>
              </w:rPr>
            </w:pPr>
            <w:r>
              <w:rPr>
                <w:rFonts w:hint="eastAsia"/>
                <w:bCs/>
                <w:kern w:val="10"/>
                <w:sz w:val="21"/>
                <w:szCs w:val="21"/>
              </w:rPr>
              <w:t>/</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5E1FFDDE">
            <w:pPr>
              <w:spacing w:line="240" w:lineRule="auto"/>
              <w:ind w:firstLine="0" w:firstLineChars="0"/>
              <w:jc w:val="center"/>
              <w:rPr>
                <w:bCs/>
                <w:kern w:val="10"/>
                <w:sz w:val="21"/>
                <w:szCs w:val="21"/>
              </w:rPr>
            </w:pPr>
            <w:r>
              <w:rPr>
                <w:rFonts w:hint="eastAsia"/>
                <w:bCs/>
                <w:kern w:val="10"/>
                <w:sz w:val="21"/>
                <w:szCs w:val="21"/>
              </w:rPr>
              <w:t>/</w:t>
            </w:r>
          </w:p>
        </w:tc>
        <w:tc>
          <w:tcPr>
            <w:tcW w:w="1558" w:type="dxa"/>
            <w:tcBorders>
              <w:top w:val="single" w:color="auto" w:sz="4" w:space="0"/>
              <w:left w:val="single" w:color="auto" w:sz="4" w:space="0"/>
              <w:bottom w:val="single" w:color="auto" w:sz="4" w:space="0"/>
              <w:right w:val="single" w:color="auto" w:sz="4" w:space="0"/>
            </w:tcBorders>
            <w:shd w:val="clear" w:color="auto" w:fill="auto"/>
            <w:vAlign w:val="center"/>
          </w:tcPr>
          <w:p w14:paraId="3CE5F2D3">
            <w:pPr>
              <w:spacing w:line="240" w:lineRule="auto"/>
              <w:ind w:firstLine="0" w:firstLineChars="0"/>
              <w:jc w:val="center"/>
              <w:rPr>
                <w:bCs/>
                <w:kern w:val="10"/>
                <w:sz w:val="21"/>
                <w:szCs w:val="21"/>
              </w:rPr>
            </w:pPr>
            <w:r>
              <w:rPr>
                <w:rFonts w:hint="eastAsia"/>
                <w:bCs/>
                <w:kern w:val="10"/>
                <w:sz w:val="21"/>
                <w:szCs w:val="21"/>
              </w:rPr>
              <w:t>0.2t/a</w:t>
            </w:r>
          </w:p>
        </w:tc>
        <w:tc>
          <w:tcPr>
            <w:tcW w:w="1760" w:type="dxa"/>
            <w:tcBorders>
              <w:top w:val="single" w:color="auto" w:sz="4" w:space="0"/>
              <w:left w:val="single" w:color="auto" w:sz="4" w:space="0"/>
              <w:bottom w:val="single" w:color="auto" w:sz="4" w:space="0"/>
              <w:right w:val="single" w:color="auto" w:sz="4" w:space="0"/>
            </w:tcBorders>
            <w:shd w:val="clear" w:color="auto" w:fill="auto"/>
            <w:vAlign w:val="center"/>
          </w:tcPr>
          <w:p w14:paraId="18632099">
            <w:pPr>
              <w:spacing w:line="240" w:lineRule="auto"/>
              <w:ind w:firstLine="0" w:firstLineChars="0"/>
              <w:jc w:val="center"/>
              <w:rPr>
                <w:bCs/>
                <w:kern w:val="10"/>
                <w:sz w:val="21"/>
                <w:szCs w:val="21"/>
              </w:rPr>
            </w:pPr>
            <w:r>
              <w:rPr>
                <w:rFonts w:hint="eastAsia"/>
                <w:bCs/>
                <w:kern w:val="10"/>
                <w:sz w:val="21"/>
                <w:szCs w:val="21"/>
              </w:rPr>
              <w:t>/</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72CC3555">
            <w:pPr>
              <w:spacing w:line="240" w:lineRule="auto"/>
              <w:ind w:firstLine="0" w:firstLineChars="0"/>
              <w:jc w:val="center"/>
              <w:rPr>
                <w:bCs/>
                <w:kern w:val="10"/>
                <w:sz w:val="21"/>
                <w:szCs w:val="21"/>
                <w:highlight w:val="yellow"/>
              </w:rPr>
            </w:pPr>
            <w:r>
              <w:rPr>
                <w:rFonts w:hint="eastAsia"/>
                <w:bCs/>
                <w:kern w:val="10"/>
                <w:sz w:val="21"/>
                <w:szCs w:val="21"/>
              </w:rPr>
              <w:t>0.2t/a</w:t>
            </w:r>
          </w:p>
        </w:tc>
        <w:tc>
          <w:tcPr>
            <w:tcW w:w="1316" w:type="dxa"/>
            <w:tcBorders>
              <w:top w:val="single" w:color="auto" w:sz="4" w:space="0"/>
              <w:left w:val="single" w:color="auto" w:sz="4" w:space="0"/>
              <w:bottom w:val="single" w:color="auto" w:sz="4" w:space="0"/>
              <w:right w:val="single" w:color="auto" w:sz="8" w:space="0"/>
            </w:tcBorders>
            <w:shd w:val="clear" w:color="auto" w:fill="auto"/>
            <w:vAlign w:val="center"/>
          </w:tcPr>
          <w:p w14:paraId="5EB05B12">
            <w:pPr>
              <w:spacing w:line="240" w:lineRule="auto"/>
              <w:ind w:firstLine="0" w:firstLineChars="0"/>
              <w:jc w:val="center"/>
              <w:rPr>
                <w:bCs/>
                <w:kern w:val="10"/>
                <w:sz w:val="21"/>
                <w:szCs w:val="21"/>
                <w:highlight w:val="yellow"/>
              </w:rPr>
            </w:pPr>
            <w:r>
              <w:rPr>
                <w:rFonts w:hint="eastAsia"/>
                <w:bCs/>
                <w:kern w:val="10"/>
                <w:sz w:val="21"/>
                <w:szCs w:val="21"/>
              </w:rPr>
              <w:t>/</w:t>
            </w:r>
          </w:p>
        </w:tc>
      </w:tr>
      <w:tr w14:paraId="3572DD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80" w:type="dxa"/>
            <w:vMerge w:val="continue"/>
            <w:tcBorders>
              <w:left w:val="single" w:color="auto" w:sz="8" w:space="0"/>
              <w:right w:val="single" w:color="auto" w:sz="4" w:space="0"/>
            </w:tcBorders>
            <w:shd w:val="clear" w:color="auto" w:fill="auto"/>
            <w:vAlign w:val="center"/>
          </w:tcPr>
          <w:p w14:paraId="5EA00926">
            <w:pPr>
              <w:spacing w:line="240" w:lineRule="auto"/>
              <w:ind w:firstLine="0" w:firstLineChars="0"/>
              <w:jc w:val="center"/>
              <w:rPr>
                <w:sz w:val="20"/>
                <w:szCs w:val="20"/>
              </w:rPr>
            </w:pPr>
          </w:p>
        </w:tc>
        <w:tc>
          <w:tcPr>
            <w:tcW w:w="1823" w:type="dxa"/>
            <w:tcBorders>
              <w:top w:val="single" w:color="auto" w:sz="4" w:space="0"/>
              <w:left w:val="single" w:color="auto" w:sz="4" w:space="0"/>
              <w:bottom w:val="single" w:color="auto" w:sz="4" w:space="0"/>
              <w:right w:val="single" w:color="auto" w:sz="4" w:space="0"/>
            </w:tcBorders>
            <w:shd w:val="clear" w:color="auto" w:fill="auto"/>
            <w:vAlign w:val="center"/>
          </w:tcPr>
          <w:p w14:paraId="573BB0C7">
            <w:pPr>
              <w:adjustRightInd w:val="0"/>
              <w:snapToGrid w:val="0"/>
              <w:spacing w:line="240" w:lineRule="auto"/>
              <w:ind w:firstLine="0" w:firstLineChars="0"/>
              <w:jc w:val="center"/>
              <w:rPr>
                <w:rFonts w:cs="宋体"/>
                <w:kern w:val="0"/>
                <w:szCs w:val="21"/>
              </w:rPr>
            </w:pPr>
            <w:r>
              <w:rPr>
                <w:rFonts w:hint="eastAsia"/>
                <w:sz w:val="21"/>
                <w:szCs w:val="21"/>
              </w:rPr>
              <w:t>沉渣</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07F24D31">
            <w:pPr>
              <w:spacing w:line="240" w:lineRule="auto"/>
              <w:ind w:firstLine="0" w:firstLineChars="0"/>
              <w:jc w:val="center"/>
              <w:rPr>
                <w:bCs/>
                <w:kern w:val="10"/>
                <w:sz w:val="21"/>
                <w:szCs w:val="21"/>
              </w:rPr>
            </w:pPr>
            <w:r>
              <w:rPr>
                <w:rFonts w:hint="eastAsia"/>
                <w:bCs/>
                <w:kern w:val="10"/>
                <w:sz w:val="21"/>
                <w:szCs w:val="21"/>
              </w:rPr>
              <w:t>/</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5C2E285C">
            <w:pPr>
              <w:spacing w:line="240" w:lineRule="auto"/>
              <w:ind w:firstLine="0" w:firstLineChars="0"/>
              <w:jc w:val="center"/>
              <w:rPr>
                <w:bCs/>
                <w:kern w:val="10"/>
                <w:sz w:val="21"/>
                <w:szCs w:val="21"/>
              </w:rPr>
            </w:pPr>
            <w:r>
              <w:rPr>
                <w:rFonts w:hint="eastAsia"/>
                <w:bCs/>
                <w:kern w:val="10"/>
                <w:sz w:val="21"/>
                <w:szCs w:val="21"/>
              </w:rPr>
              <w:t>/</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2C3A21D6">
            <w:pPr>
              <w:spacing w:line="240" w:lineRule="auto"/>
              <w:ind w:firstLine="0" w:firstLineChars="0"/>
              <w:jc w:val="center"/>
              <w:rPr>
                <w:bCs/>
                <w:kern w:val="10"/>
                <w:sz w:val="21"/>
                <w:szCs w:val="21"/>
              </w:rPr>
            </w:pPr>
            <w:r>
              <w:rPr>
                <w:rFonts w:hint="eastAsia"/>
                <w:bCs/>
                <w:kern w:val="10"/>
                <w:sz w:val="21"/>
                <w:szCs w:val="21"/>
              </w:rPr>
              <w:t>/</w:t>
            </w:r>
          </w:p>
        </w:tc>
        <w:tc>
          <w:tcPr>
            <w:tcW w:w="1558" w:type="dxa"/>
            <w:tcBorders>
              <w:top w:val="single" w:color="auto" w:sz="4" w:space="0"/>
              <w:left w:val="single" w:color="auto" w:sz="4" w:space="0"/>
              <w:bottom w:val="single" w:color="auto" w:sz="4" w:space="0"/>
              <w:right w:val="single" w:color="auto" w:sz="4" w:space="0"/>
            </w:tcBorders>
            <w:shd w:val="clear" w:color="auto" w:fill="auto"/>
            <w:vAlign w:val="center"/>
          </w:tcPr>
          <w:p w14:paraId="68B0B16B">
            <w:pPr>
              <w:spacing w:line="240" w:lineRule="auto"/>
              <w:ind w:firstLine="0" w:firstLineChars="0"/>
              <w:jc w:val="center"/>
              <w:rPr>
                <w:bCs/>
                <w:kern w:val="10"/>
                <w:sz w:val="21"/>
                <w:szCs w:val="21"/>
              </w:rPr>
            </w:pPr>
            <w:r>
              <w:rPr>
                <w:rFonts w:hint="eastAsia"/>
                <w:bCs/>
                <w:kern w:val="10"/>
                <w:sz w:val="21"/>
                <w:szCs w:val="21"/>
              </w:rPr>
              <w:t>0.5t/a</w:t>
            </w:r>
          </w:p>
        </w:tc>
        <w:tc>
          <w:tcPr>
            <w:tcW w:w="1760" w:type="dxa"/>
            <w:tcBorders>
              <w:top w:val="single" w:color="auto" w:sz="4" w:space="0"/>
              <w:left w:val="single" w:color="auto" w:sz="4" w:space="0"/>
              <w:bottom w:val="single" w:color="auto" w:sz="4" w:space="0"/>
              <w:right w:val="single" w:color="auto" w:sz="4" w:space="0"/>
            </w:tcBorders>
            <w:shd w:val="clear" w:color="auto" w:fill="auto"/>
            <w:vAlign w:val="center"/>
          </w:tcPr>
          <w:p w14:paraId="1A2CD879">
            <w:pPr>
              <w:spacing w:line="240" w:lineRule="auto"/>
              <w:ind w:firstLine="0" w:firstLineChars="0"/>
              <w:jc w:val="center"/>
              <w:rPr>
                <w:bCs/>
                <w:kern w:val="10"/>
                <w:sz w:val="21"/>
                <w:szCs w:val="21"/>
              </w:rPr>
            </w:pPr>
            <w:r>
              <w:rPr>
                <w:rFonts w:hint="eastAsia"/>
                <w:bCs/>
                <w:kern w:val="10"/>
                <w:sz w:val="21"/>
                <w:szCs w:val="21"/>
              </w:rPr>
              <w:t>/</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40DA88C2">
            <w:pPr>
              <w:spacing w:line="240" w:lineRule="auto"/>
              <w:ind w:firstLine="0" w:firstLineChars="0"/>
              <w:jc w:val="center"/>
              <w:rPr>
                <w:bCs/>
                <w:kern w:val="10"/>
                <w:sz w:val="21"/>
                <w:szCs w:val="21"/>
              </w:rPr>
            </w:pPr>
            <w:r>
              <w:rPr>
                <w:rFonts w:hint="eastAsia"/>
                <w:bCs/>
                <w:kern w:val="10"/>
                <w:sz w:val="21"/>
                <w:szCs w:val="21"/>
              </w:rPr>
              <w:t>0.5t/a</w:t>
            </w:r>
          </w:p>
        </w:tc>
        <w:tc>
          <w:tcPr>
            <w:tcW w:w="1316" w:type="dxa"/>
            <w:tcBorders>
              <w:top w:val="single" w:color="auto" w:sz="4" w:space="0"/>
              <w:left w:val="single" w:color="auto" w:sz="4" w:space="0"/>
              <w:bottom w:val="single" w:color="auto" w:sz="4" w:space="0"/>
              <w:right w:val="single" w:color="auto" w:sz="8" w:space="0"/>
            </w:tcBorders>
            <w:shd w:val="clear" w:color="auto" w:fill="auto"/>
            <w:vAlign w:val="center"/>
          </w:tcPr>
          <w:p w14:paraId="4E5C0944">
            <w:pPr>
              <w:spacing w:line="240" w:lineRule="auto"/>
              <w:ind w:firstLine="0" w:firstLineChars="0"/>
              <w:jc w:val="center"/>
              <w:rPr>
                <w:bCs/>
                <w:kern w:val="10"/>
                <w:sz w:val="21"/>
                <w:szCs w:val="21"/>
              </w:rPr>
            </w:pPr>
            <w:r>
              <w:rPr>
                <w:rFonts w:hint="eastAsia"/>
                <w:bCs/>
                <w:kern w:val="10"/>
                <w:sz w:val="21"/>
                <w:szCs w:val="21"/>
              </w:rPr>
              <w:t>/</w:t>
            </w:r>
          </w:p>
        </w:tc>
      </w:tr>
      <w:tr w14:paraId="7B5F23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80" w:type="dxa"/>
            <w:vMerge w:val="restart"/>
            <w:tcBorders>
              <w:top w:val="single" w:color="auto" w:sz="4" w:space="0"/>
              <w:left w:val="single" w:color="auto" w:sz="8" w:space="0"/>
              <w:right w:val="single" w:color="auto" w:sz="4" w:space="0"/>
            </w:tcBorders>
            <w:shd w:val="clear" w:color="auto" w:fill="auto"/>
            <w:vAlign w:val="center"/>
          </w:tcPr>
          <w:p w14:paraId="316C83FA">
            <w:pPr>
              <w:pStyle w:val="22"/>
              <w:widowControl w:val="0"/>
              <w:adjustRightInd w:val="0"/>
              <w:snapToGrid w:val="0"/>
              <w:spacing w:before="0" w:beforeAutospacing="0" w:after="0" w:afterAutospacing="0" w:line="240" w:lineRule="auto"/>
              <w:ind w:firstLine="0" w:firstLineChars="0"/>
              <w:jc w:val="center"/>
              <w:rPr>
                <w:rFonts w:ascii="Times New Roman" w:hAnsi="Times New Roman"/>
                <w:sz w:val="20"/>
              </w:rPr>
            </w:pPr>
            <w:r>
              <w:rPr>
                <w:rFonts w:hint="eastAsia" w:ascii="Times New Roman" w:hAnsi="Times New Roman" w:cs="宋体"/>
                <w:snapToGrid w:val="0"/>
                <w:kern w:val="21"/>
                <w:sz w:val="21"/>
                <w:szCs w:val="21"/>
              </w:rPr>
              <w:t>危险废物</w:t>
            </w:r>
          </w:p>
        </w:tc>
        <w:tc>
          <w:tcPr>
            <w:tcW w:w="1823" w:type="dxa"/>
            <w:tcBorders>
              <w:top w:val="single" w:color="auto" w:sz="4" w:space="0"/>
              <w:left w:val="single" w:color="auto" w:sz="4" w:space="0"/>
              <w:bottom w:val="single" w:color="auto" w:sz="4" w:space="0"/>
              <w:right w:val="single" w:color="auto" w:sz="4" w:space="0"/>
            </w:tcBorders>
            <w:shd w:val="clear" w:color="auto" w:fill="auto"/>
            <w:vAlign w:val="center"/>
          </w:tcPr>
          <w:p w14:paraId="107A1096">
            <w:pPr>
              <w:pStyle w:val="12"/>
              <w:keepLines/>
              <w:adjustRightInd w:val="0"/>
              <w:snapToGrid w:val="0"/>
              <w:spacing w:line="240" w:lineRule="auto"/>
              <w:ind w:firstLine="0" w:firstLineChars="0"/>
              <w:jc w:val="center"/>
              <w:rPr>
                <w:rFonts w:ascii="Times New Roman" w:hAnsi="Times New Roman" w:cs="宋体"/>
                <w:kern w:val="0"/>
              </w:rPr>
            </w:pPr>
            <w:r>
              <w:rPr>
                <w:rFonts w:hint="eastAsia" w:ascii="Times New Roman" w:hAnsi="Times New Roman"/>
                <w:sz w:val="21"/>
              </w:rPr>
              <w:t>废活性炭</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2E446F05">
            <w:pPr>
              <w:spacing w:line="240" w:lineRule="auto"/>
              <w:ind w:firstLine="0" w:firstLineChars="0"/>
              <w:jc w:val="center"/>
              <w:rPr>
                <w:kern w:val="0"/>
                <w:sz w:val="21"/>
                <w:szCs w:val="21"/>
              </w:rPr>
            </w:pPr>
            <w:r>
              <w:rPr>
                <w:rFonts w:hint="eastAsia"/>
                <w:bCs/>
                <w:kern w:val="10"/>
                <w:sz w:val="21"/>
                <w:szCs w:val="21"/>
              </w:rPr>
              <w:t>/</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5DEFF623">
            <w:pPr>
              <w:spacing w:line="240" w:lineRule="auto"/>
              <w:ind w:firstLine="0" w:firstLineChars="0"/>
              <w:jc w:val="center"/>
              <w:rPr>
                <w:snapToGrid w:val="0"/>
                <w:kern w:val="21"/>
                <w:sz w:val="21"/>
                <w:szCs w:val="21"/>
              </w:rPr>
            </w:pPr>
            <w:r>
              <w:rPr>
                <w:rFonts w:hint="eastAsia"/>
                <w:bCs/>
                <w:kern w:val="10"/>
                <w:sz w:val="21"/>
                <w:szCs w:val="21"/>
              </w:rPr>
              <w:t>/</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56159D49">
            <w:pPr>
              <w:spacing w:line="240" w:lineRule="auto"/>
              <w:ind w:firstLine="0" w:firstLineChars="0"/>
              <w:jc w:val="center"/>
              <w:rPr>
                <w:snapToGrid w:val="0"/>
                <w:kern w:val="21"/>
                <w:sz w:val="21"/>
                <w:szCs w:val="21"/>
              </w:rPr>
            </w:pPr>
            <w:r>
              <w:rPr>
                <w:rFonts w:hint="eastAsia"/>
                <w:bCs/>
                <w:kern w:val="10"/>
                <w:sz w:val="21"/>
                <w:szCs w:val="21"/>
              </w:rPr>
              <w:t>/</w:t>
            </w:r>
          </w:p>
        </w:tc>
        <w:tc>
          <w:tcPr>
            <w:tcW w:w="1558" w:type="dxa"/>
            <w:tcBorders>
              <w:top w:val="single" w:color="auto" w:sz="4" w:space="0"/>
              <w:left w:val="single" w:color="auto" w:sz="4" w:space="0"/>
              <w:bottom w:val="single" w:color="auto" w:sz="4" w:space="0"/>
              <w:right w:val="single" w:color="auto" w:sz="4" w:space="0"/>
            </w:tcBorders>
            <w:shd w:val="clear" w:color="auto" w:fill="auto"/>
            <w:vAlign w:val="center"/>
          </w:tcPr>
          <w:p w14:paraId="4A3747A2">
            <w:pPr>
              <w:spacing w:line="240" w:lineRule="auto"/>
              <w:ind w:firstLine="0" w:firstLineChars="0"/>
              <w:jc w:val="center"/>
              <w:rPr>
                <w:snapToGrid w:val="0"/>
                <w:kern w:val="21"/>
                <w:sz w:val="21"/>
                <w:szCs w:val="21"/>
              </w:rPr>
            </w:pPr>
            <w:r>
              <w:rPr>
                <w:rFonts w:hint="eastAsia"/>
                <w:bCs/>
                <w:kern w:val="10"/>
                <w:sz w:val="21"/>
                <w:szCs w:val="21"/>
              </w:rPr>
              <w:t>0.4223t/a</w:t>
            </w:r>
          </w:p>
        </w:tc>
        <w:tc>
          <w:tcPr>
            <w:tcW w:w="1760" w:type="dxa"/>
            <w:tcBorders>
              <w:top w:val="single" w:color="auto" w:sz="4" w:space="0"/>
              <w:left w:val="single" w:color="auto" w:sz="4" w:space="0"/>
              <w:bottom w:val="single" w:color="auto" w:sz="4" w:space="0"/>
              <w:right w:val="single" w:color="auto" w:sz="4" w:space="0"/>
            </w:tcBorders>
            <w:shd w:val="clear" w:color="auto" w:fill="auto"/>
            <w:vAlign w:val="center"/>
          </w:tcPr>
          <w:p w14:paraId="171B0A5F">
            <w:pPr>
              <w:spacing w:line="240" w:lineRule="auto"/>
              <w:ind w:firstLine="0" w:firstLineChars="0"/>
              <w:jc w:val="center"/>
              <w:rPr>
                <w:snapToGrid w:val="0"/>
                <w:kern w:val="21"/>
                <w:sz w:val="21"/>
                <w:szCs w:val="21"/>
              </w:rPr>
            </w:pPr>
            <w:r>
              <w:rPr>
                <w:rFonts w:hint="eastAsia"/>
                <w:bCs/>
                <w:kern w:val="10"/>
                <w:sz w:val="21"/>
                <w:szCs w:val="21"/>
              </w:rPr>
              <w:t>/</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59AC1820">
            <w:pPr>
              <w:spacing w:line="240" w:lineRule="auto"/>
              <w:ind w:firstLine="0" w:firstLineChars="0"/>
              <w:jc w:val="center"/>
              <w:rPr>
                <w:snapToGrid w:val="0"/>
                <w:kern w:val="21"/>
                <w:sz w:val="21"/>
                <w:szCs w:val="21"/>
              </w:rPr>
            </w:pPr>
            <w:r>
              <w:rPr>
                <w:rFonts w:hint="eastAsia"/>
                <w:bCs/>
                <w:kern w:val="10"/>
                <w:sz w:val="21"/>
                <w:szCs w:val="21"/>
              </w:rPr>
              <w:t>0.4223t/a</w:t>
            </w:r>
          </w:p>
        </w:tc>
        <w:tc>
          <w:tcPr>
            <w:tcW w:w="1316" w:type="dxa"/>
            <w:tcBorders>
              <w:top w:val="single" w:color="auto" w:sz="4" w:space="0"/>
              <w:left w:val="single" w:color="auto" w:sz="4" w:space="0"/>
              <w:bottom w:val="single" w:color="auto" w:sz="4" w:space="0"/>
              <w:right w:val="single" w:color="auto" w:sz="8" w:space="0"/>
            </w:tcBorders>
            <w:shd w:val="clear" w:color="auto" w:fill="auto"/>
            <w:vAlign w:val="center"/>
          </w:tcPr>
          <w:p w14:paraId="2188A009">
            <w:pPr>
              <w:pStyle w:val="22"/>
              <w:widowControl w:val="0"/>
              <w:adjustRightInd w:val="0"/>
              <w:snapToGrid w:val="0"/>
              <w:spacing w:before="0" w:beforeAutospacing="0" w:after="0" w:afterAutospacing="0" w:line="240" w:lineRule="auto"/>
              <w:ind w:firstLine="0" w:firstLineChars="0"/>
              <w:jc w:val="center"/>
              <w:rPr>
                <w:rFonts w:ascii="Times New Roman" w:hAnsi="Times New Roman"/>
                <w:snapToGrid w:val="0"/>
                <w:kern w:val="21"/>
                <w:sz w:val="21"/>
                <w:szCs w:val="21"/>
              </w:rPr>
            </w:pPr>
            <w:r>
              <w:rPr>
                <w:rFonts w:hint="eastAsia"/>
                <w:bCs/>
                <w:kern w:val="10"/>
                <w:sz w:val="21"/>
                <w:szCs w:val="21"/>
              </w:rPr>
              <w:t>/</w:t>
            </w:r>
          </w:p>
        </w:tc>
      </w:tr>
      <w:tr w14:paraId="0973AC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80" w:type="dxa"/>
            <w:vMerge w:val="continue"/>
            <w:tcBorders>
              <w:left w:val="single" w:color="auto" w:sz="8" w:space="0"/>
              <w:right w:val="single" w:color="auto" w:sz="4" w:space="0"/>
            </w:tcBorders>
            <w:shd w:val="clear" w:color="auto" w:fill="auto"/>
            <w:vAlign w:val="center"/>
          </w:tcPr>
          <w:p w14:paraId="067CE50A">
            <w:pPr>
              <w:pStyle w:val="22"/>
              <w:widowControl w:val="0"/>
              <w:adjustRightInd w:val="0"/>
              <w:snapToGrid w:val="0"/>
              <w:spacing w:before="0" w:beforeAutospacing="0" w:after="0" w:afterAutospacing="0" w:line="240" w:lineRule="auto"/>
              <w:ind w:firstLine="0" w:firstLineChars="0"/>
              <w:jc w:val="center"/>
              <w:rPr>
                <w:rFonts w:ascii="Times New Roman" w:hAnsi="Times New Roman" w:cs="宋体"/>
                <w:snapToGrid w:val="0"/>
                <w:kern w:val="21"/>
                <w:sz w:val="21"/>
                <w:szCs w:val="21"/>
              </w:rPr>
            </w:pPr>
          </w:p>
        </w:tc>
        <w:tc>
          <w:tcPr>
            <w:tcW w:w="1823" w:type="dxa"/>
            <w:tcBorders>
              <w:top w:val="single" w:color="auto" w:sz="4" w:space="0"/>
              <w:left w:val="single" w:color="auto" w:sz="4" w:space="0"/>
              <w:bottom w:val="single" w:color="auto" w:sz="4" w:space="0"/>
              <w:right w:val="single" w:color="auto" w:sz="4" w:space="0"/>
            </w:tcBorders>
            <w:shd w:val="clear" w:color="auto" w:fill="auto"/>
            <w:vAlign w:val="center"/>
          </w:tcPr>
          <w:p w14:paraId="224CA94E">
            <w:pPr>
              <w:pStyle w:val="12"/>
              <w:keepLines/>
              <w:adjustRightInd w:val="0"/>
              <w:snapToGrid w:val="0"/>
              <w:spacing w:line="240" w:lineRule="auto"/>
              <w:ind w:firstLine="0" w:firstLineChars="0"/>
              <w:jc w:val="center"/>
              <w:rPr>
                <w:rFonts w:ascii="Times New Roman" w:hAnsi="Times New Roman" w:cs="宋体"/>
                <w:kern w:val="0"/>
              </w:rPr>
            </w:pPr>
            <w:r>
              <w:rPr>
                <w:rFonts w:hint="eastAsia" w:ascii="Times New Roman" w:hAnsi="Times New Roman"/>
                <w:kern w:val="0"/>
                <w:sz w:val="21"/>
              </w:rPr>
              <w:t>废导热油</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2E3A11BB">
            <w:pPr>
              <w:spacing w:line="240" w:lineRule="auto"/>
              <w:ind w:firstLine="0" w:firstLineChars="0"/>
              <w:jc w:val="center"/>
              <w:rPr>
                <w:bCs/>
                <w:kern w:val="10"/>
                <w:sz w:val="21"/>
                <w:szCs w:val="21"/>
              </w:rPr>
            </w:pPr>
            <w:r>
              <w:rPr>
                <w:rFonts w:hint="eastAsia"/>
                <w:bCs/>
                <w:kern w:val="10"/>
                <w:sz w:val="21"/>
                <w:szCs w:val="21"/>
              </w:rPr>
              <w:t>/</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594E98B9">
            <w:pPr>
              <w:spacing w:line="240" w:lineRule="auto"/>
              <w:ind w:firstLine="0" w:firstLineChars="0"/>
              <w:jc w:val="center"/>
              <w:rPr>
                <w:bCs/>
                <w:kern w:val="10"/>
                <w:sz w:val="21"/>
                <w:szCs w:val="21"/>
              </w:rPr>
            </w:pPr>
            <w:r>
              <w:rPr>
                <w:rFonts w:hint="eastAsia"/>
                <w:bCs/>
                <w:kern w:val="10"/>
                <w:sz w:val="21"/>
                <w:szCs w:val="21"/>
              </w:rPr>
              <w:t>/</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49530587">
            <w:pPr>
              <w:spacing w:line="240" w:lineRule="auto"/>
              <w:ind w:firstLine="0" w:firstLineChars="0"/>
              <w:jc w:val="center"/>
              <w:rPr>
                <w:snapToGrid w:val="0"/>
                <w:kern w:val="21"/>
                <w:sz w:val="21"/>
                <w:szCs w:val="21"/>
              </w:rPr>
            </w:pPr>
            <w:r>
              <w:rPr>
                <w:rFonts w:hint="eastAsia"/>
                <w:bCs/>
                <w:kern w:val="10"/>
                <w:sz w:val="21"/>
                <w:szCs w:val="21"/>
              </w:rPr>
              <w:t>/</w:t>
            </w:r>
          </w:p>
        </w:tc>
        <w:tc>
          <w:tcPr>
            <w:tcW w:w="1558" w:type="dxa"/>
            <w:tcBorders>
              <w:top w:val="single" w:color="auto" w:sz="4" w:space="0"/>
              <w:left w:val="single" w:color="auto" w:sz="4" w:space="0"/>
              <w:bottom w:val="single" w:color="auto" w:sz="4" w:space="0"/>
              <w:right w:val="single" w:color="auto" w:sz="4" w:space="0"/>
            </w:tcBorders>
            <w:shd w:val="clear" w:color="auto" w:fill="auto"/>
            <w:vAlign w:val="center"/>
          </w:tcPr>
          <w:p w14:paraId="50668B1F">
            <w:pPr>
              <w:spacing w:line="240" w:lineRule="auto"/>
              <w:ind w:firstLine="0" w:firstLineChars="0"/>
              <w:jc w:val="center"/>
              <w:rPr>
                <w:snapToGrid w:val="0"/>
                <w:kern w:val="21"/>
                <w:sz w:val="21"/>
                <w:szCs w:val="21"/>
              </w:rPr>
            </w:pPr>
            <w:r>
              <w:rPr>
                <w:rFonts w:hint="eastAsia"/>
                <w:bCs/>
                <w:kern w:val="10"/>
                <w:sz w:val="21"/>
                <w:szCs w:val="21"/>
              </w:rPr>
              <w:t>1.0t/a</w:t>
            </w:r>
          </w:p>
        </w:tc>
        <w:tc>
          <w:tcPr>
            <w:tcW w:w="1760" w:type="dxa"/>
            <w:tcBorders>
              <w:top w:val="single" w:color="auto" w:sz="4" w:space="0"/>
              <w:left w:val="single" w:color="auto" w:sz="4" w:space="0"/>
              <w:bottom w:val="single" w:color="auto" w:sz="4" w:space="0"/>
              <w:right w:val="single" w:color="auto" w:sz="4" w:space="0"/>
            </w:tcBorders>
            <w:shd w:val="clear" w:color="auto" w:fill="auto"/>
            <w:vAlign w:val="center"/>
          </w:tcPr>
          <w:p w14:paraId="2599E34B">
            <w:pPr>
              <w:spacing w:line="240" w:lineRule="auto"/>
              <w:ind w:firstLine="0" w:firstLineChars="0"/>
              <w:jc w:val="center"/>
              <w:rPr>
                <w:bCs/>
                <w:kern w:val="10"/>
                <w:sz w:val="21"/>
                <w:szCs w:val="21"/>
              </w:rPr>
            </w:pPr>
            <w:r>
              <w:rPr>
                <w:rFonts w:hint="eastAsia"/>
                <w:bCs/>
                <w:kern w:val="10"/>
                <w:sz w:val="21"/>
                <w:szCs w:val="21"/>
              </w:rPr>
              <w:t>/</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4BD4F1FA">
            <w:pPr>
              <w:spacing w:line="240" w:lineRule="auto"/>
              <w:ind w:firstLine="0" w:firstLineChars="0"/>
              <w:jc w:val="center"/>
              <w:rPr>
                <w:snapToGrid w:val="0"/>
                <w:kern w:val="21"/>
                <w:sz w:val="21"/>
                <w:szCs w:val="21"/>
              </w:rPr>
            </w:pPr>
            <w:r>
              <w:rPr>
                <w:rFonts w:hint="eastAsia"/>
                <w:bCs/>
                <w:kern w:val="10"/>
                <w:sz w:val="21"/>
                <w:szCs w:val="21"/>
              </w:rPr>
              <w:t>1.0t/a</w:t>
            </w:r>
          </w:p>
        </w:tc>
        <w:tc>
          <w:tcPr>
            <w:tcW w:w="1316" w:type="dxa"/>
            <w:tcBorders>
              <w:top w:val="single" w:color="auto" w:sz="4" w:space="0"/>
              <w:left w:val="single" w:color="auto" w:sz="4" w:space="0"/>
              <w:bottom w:val="single" w:color="auto" w:sz="4" w:space="0"/>
              <w:right w:val="single" w:color="auto" w:sz="8" w:space="0"/>
            </w:tcBorders>
            <w:shd w:val="clear" w:color="auto" w:fill="auto"/>
            <w:vAlign w:val="center"/>
          </w:tcPr>
          <w:p w14:paraId="72001B3D">
            <w:pPr>
              <w:pStyle w:val="22"/>
              <w:widowControl w:val="0"/>
              <w:adjustRightInd w:val="0"/>
              <w:snapToGrid w:val="0"/>
              <w:spacing w:before="0" w:beforeAutospacing="0" w:after="0" w:afterAutospacing="0" w:line="240" w:lineRule="auto"/>
              <w:ind w:firstLine="0" w:firstLineChars="0"/>
              <w:jc w:val="center"/>
              <w:rPr>
                <w:rFonts w:ascii="Times New Roman" w:hAnsi="Times New Roman"/>
                <w:snapToGrid w:val="0"/>
                <w:kern w:val="21"/>
                <w:sz w:val="21"/>
                <w:szCs w:val="21"/>
              </w:rPr>
            </w:pPr>
            <w:r>
              <w:rPr>
                <w:rFonts w:hint="eastAsia"/>
                <w:bCs/>
                <w:kern w:val="10"/>
                <w:sz w:val="21"/>
                <w:szCs w:val="21"/>
              </w:rPr>
              <w:t>/</w:t>
            </w:r>
          </w:p>
        </w:tc>
      </w:tr>
      <w:tr w14:paraId="0B474D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80" w:type="dxa"/>
            <w:vMerge w:val="continue"/>
            <w:tcBorders>
              <w:left w:val="single" w:color="auto" w:sz="8" w:space="0"/>
              <w:right w:val="single" w:color="auto" w:sz="4" w:space="0"/>
            </w:tcBorders>
            <w:shd w:val="clear" w:color="auto" w:fill="auto"/>
            <w:vAlign w:val="center"/>
          </w:tcPr>
          <w:p w14:paraId="0FCD4AE9">
            <w:pPr>
              <w:pStyle w:val="22"/>
              <w:widowControl w:val="0"/>
              <w:adjustRightInd w:val="0"/>
              <w:snapToGrid w:val="0"/>
              <w:spacing w:before="0" w:beforeAutospacing="0" w:after="0" w:afterAutospacing="0" w:line="240" w:lineRule="auto"/>
              <w:ind w:firstLine="0" w:firstLineChars="0"/>
              <w:jc w:val="center"/>
              <w:rPr>
                <w:rFonts w:ascii="Times New Roman" w:hAnsi="Times New Roman" w:cs="宋体"/>
                <w:snapToGrid w:val="0"/>
                <w:kern w:val="21"/>
                <w:sz w:val="21"/>
                <w:szCs w:val="21"/>
              </w:rPr>
            </w:pPr>
          </w:p>
        </w:tc>
        <w:tc>
          <w:tcPr>
            <w:tcW w:w="1823" w:type="dxa"/>
            <w:tcBorders>
              <w:top w:val="single" w:color="auto" w:sz="4" w:space="0"/>
              <w:left w:val="single" w:color="auto" w:sz="4" w:space="0"/>
              <w:bottom w:val="single" w:color="auto" w:sz="4" w:space="0"/>
              <w:right w:val="single" w:color="auto" w:sz="4" w:space="0"/>
            </w:tcBorders>
            <w:shd w:val="clear" w:color="auto" w:fill="auto"/>
            <w:vAlign w:val="center"/>
          </w:tcPr>
          <w:p w14:paraId="3580BFC5">
            <w:pPr>
              <w:pStyle w:val="12"/>
              <w:keepLines/>
              <w:adjustRightInd w:val="0"/>
              <w:snapToGrid w:val="0"/>
              <w:spacing w:line="240" w:lineRule="auto"/>
              <w:ind w:firstLine="0" w:firstLineChars="0"/>
              <w:jc w:val="center"/>
              <w:rPr>
                <w:rFonts w:ascii="Times New Roman" w:hAnsi="Times New Roman" w:cs="宋体"/>
                <w:kern w:val="0"/>
              </w:rPr>
            </w:pPr>
            <w:r>
              <w:rPr>
                <w:rFonts w:hint="eastAsia" w:ascii="Times New Roman" w:hAnsi="Times New Roman"/>
                <w:kern w:val="0"/>
                <w:sz w:val="21"/>
              </w:rPr>
              <w:t>废矿物油</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3259D6EC">
            <w:pPr>
              <w:spacing w:line="240" w:lineRule="auto"/>
              <w:ind w:firstLine="0" w:firstLineChars="0"/>
              <w:jc w:val="center"/>
              <w:rPr>
                <w:bCs/>
                <w:kern w:val="10"/>
                <w:sz w:val="21"/>
                <w:szCs w:val="21"/>
              </w:rPr>
            </w:pPr>
            <w:r>
              <w:rPr>
                <w:rFonts w:hint="eastAsia"/>
                <w:bCs/>
                <w:kern w:val="10"/>
                <w:sz w:val="21"/>
                <w:szCs w:val="21"/>
              </w:rPr>
              <w:t>/</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3AEF3BB3">
            <w:pPr>
              <w:spacing w:line="240" w:lineRule="auto"/>
              <w:ind w:firstLine="0" w:firstLineChars="0"/>
              <w:jc w:val="center"/>
              <w:rPr>
                <w:bCs/>
                <w:kern w:val="10"/>
                <w:sz w:val="21"/>
                <w:szCs w:val="21"/>
              </w:rPr>
            </w:pPr>
            <w:r>
              <w:rPr>
                <w:rFonts w:hint="eastAsia"/>
                <w:bCs/>
                <w:kern w:val="10"/>
                <w:sz w:val="21"/>
                <w:szCs w:val="21"/>
              </w:rPr>
              <w:t>/</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74424027">
            <w:pPr>
              <w:spacing w:line="240" w:lineRule="auto"/>
              <w:ind w:firstLine="0" w:firstLineChars="0"/>
              <w:jc w:val="center"/>
              <w:rPr>
                <w:snapToGrid w:val="0"/>
                <w:kern w:val="21"/>
                <w:sz w:val="21"/>
                <w:szCs w:val="21"/>
              </w:rPr>
            </w:pPr>
            <w:r>
              <w:rPr>
                <w:rFonts w:hint="eastAsia"/>
                <w:bCs/>
                <w:kern w:val="10"/>
                <w:sz w:val="21"/>
                <w:szCs w:val="21"/>
              </w:rPr>
              <w:t>/</w:t>
            </w:r>
          </w:p>
        </w:tc>
        <w:tc>
          <w:tcPr>
            <w:tcW w:w="1558" w:type="dxa"/>
            <w:tcBorders>
              <w:top w:val="single" w:color="auto" w:sz="4" w:space="0"/>
              <w:left w:val="single" w:color="auto" w:sz="4" w:space="0"/>
              <w:bottom w:val="single" w:color="auto" w:sz="4" w:space="0"/>
              <w:right w:val="single" w:color="auto" w:sz="4" w:space="0"/>
            </w:tcBorders>
            <w:shd w:val="clear" w:color="auto" w:fill="auto"/>
            <w:vAlign w:val="center"/>
          </w:tcPr>
          <w:p w14:paraId="46A16F32">
            <w:pPr>
              <w:spacing w:line="240" w:lineRule="auto"/>
              <w:ind w:firstLine="0" w:firstLineChars="0"/>
              <w:jc w:val="center"/>
              <w:rPr>
                <w:snapToGrid w:val="0"/>
                <w:kern w:val="21"/>
                <w:sz w:val="21"/>
                <w:szCs w:val="21"/>
              </w:rPr>
            </w:pPr>
            <w:r>
              <w:rPr>
                <w:rFonts w:hint="eastAsia"/>
                <w:bCs/>
                <w:kern w:val="10"/>
                <w:sz w:val="21"/>
                <w:szCs w:val="21"/>
              </w:rPr>
              <w:t>0.05t/a</w:t>
            </w:r>
          </w:p>
        </w:tc>
        <w:tc>
          <w:tcPr>
            <w:tcW w:w="1760" w:type="dxa"/>
            <w:tcBorders>
              <w:top w:val="single" w:color="auto" w:sz="4" w:space="0"/>
              <w:left w:val="single" w:color="auto" w:sz="4" w:space="0"/>
              <w:bottom w:val="single" w:color="auto" w:sz="4" w:space="0"/>
              <w:right w:val="single" w:color="auto" w:sz="4" w:space="0"/>
            </w:tcBorders>
            <w:shd w:val="clear" w:color="auto" w:fill="auto"/>
            <w:vAlign w:val="center"/>
          </w:tcPr>
          <w:p w14:paraId="7CFCA610">
            <w:pPr>
              <w:spacing w:line="240" w:lineRule="auto"/>
              <w:ind w:firstLine="0" w:firstLineChars="0"/>
              <w:jc w:val="center"/>
              <w:rPr>
                <w:bCs/>
                <w:kern w:val="10"/>
                <w:sz w:val="21"/>
                <w:szCs w:val="21"/>
              </w:rPr>
            </w:pPr>
            <w:r>
              <w:rPr>
                <w:rFonts w:hint="eastAsia"/>
                <w:bCs/>
                <w:kern w:val="10"/>
                <w:sz w:val="21"/>
                <w:szCs w:val="21"/>
              </w:rPr>
              <w:t>/</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57B2BECC">
            <w:pPr>
              <w:spacing w:line="240" w:lineRule="auto"/>
              <w:ind w:firstLine="0" w:firstLineChars="0"/>
              <w:jc w:val="center"/>
              <w:rPr>
                <w:snapToGrid w:val="0"/>
                <w:kern w:val="21"/>
                <w:sz w:val="21"/>
                <w:szCs w:val="21"/>
              </w:rPr>
            </w:pPr>
            <w:r>
              <w:rPr>
                <w:rFonts w:hint="eastAsia"/>
                <w:bCs/>
                <w:kern w:val="10"/>
                <w:sz w:val="21"/>
                <w:szCs w:val="21"/>
              </w:rPr>
              <w:t>0.05t/a</w:t>
            </w:r>
          </w:p>
        </w:tc>
        <w:tc>
          <w:tcPr>
            <w:tcW w:w="1316" w:type="dxa"/>
            <w:tcBorders>
              <w:top w:val="single" w:color="auto" w:sz="4" w:space="0"/>
              <w:left w:val="single" w:color="auto" w:sz="4" w:space="0"/>
              <w:bottom w:val="single" w:color="auto" w:sz="4" w:space="0"/>
              <w:right w:val="single" w:color="auto" w:sz="8" w:space="0"/>
            </w:tcBorders>
            <w:shd w:val="clear" w:color="auto" w:fill="auto"/>
            <w:vAlign w:val="center"/>
          </w:tcPr>
          <w:p w14:paraId="5C8C4226">
            <w:pPr>
              <w:pStyle w:val="22"/>
              <w:widowControl w:val="0"/>
              <w:adjustRightInd w:val="0"/>
              <w:snapToGrid w:val="0"/>
              <w:spacing w:before="0" w:beforeAutospacing="0" w:after="0" w:afterAutospacing="0" w:line="240" w:lineRule="auto"/>
              <w:ind w:firstLine="0" w:firstLineChars="0"/>
              <w:jc w:val="center"/>
              <w:rPr>
                <w:rFonts w:ascii="Times New Roman" w:hAnsi="Times New Roman"/>
                <w:snapToGrid w:val="0"/>
                <w:kern w:val="21"/>
                <w:sz w:val="21"/>
                <w:szCs w:val="21"/>
              </w:rPr>
            </w:pPr>
            <w:r>
              <w:rPr>
                <w:rFonts w:hint="eastAsia"/>
                <w:bCs/>
                <w:kern w:val="10"/>
                <w:sz w:val="21"/>
                <w:szCs w:val="21"/>
              </w:rPr>
              <w:t>/</w:t>
            </w:r>
          </w:p>
        </w:tc>
      </w:tr>
      <w:tr w14:paraId="12A0A6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80" w:type="dxa"/>
            <w:vMerge w:val="continue"/>
            <w:tcBorders>
              <w:left w:val="single" w:color="auto" w:sz="8" w:space="0"/>
              <w:right w:val="single" w:color="auto" w:sz="4" w:space="0"/>
            </w:tcBorders>
            <w:shd w:val="clear" w:color="auto" w:fill="auto"/>
            <w:vAlign w:val="center"/>
          </w:tcPr>
          <w:p w14:paraId="54BFC47D">
            <w:pPr>
              <w:pStyle w:val="22"/>
              <w:widowControl w:val="0"/>
              <w:adjustRightInd w:val="0"/>
              <w:snapToGrid w:val="0"/>
              <w:spacing w:before="0" w:beforeAutospacing="0" w:after="0" w:afterAutospacing="0" w:line="240" w:lineRule="auto"/>
              <w:ind w:firstLine="0" w:firstLineChars="0"/>
              <w:jc w:val="center"/>
              <w:rPr>
                <w:rFonts w:ascii="Times New Roman" w:hAnsi="Times New Roman" w:cs="宋体"/>
                <w:snapToGrid w:val="0"/>
                <w:kern w:val="21"/>
                <w:sz w:val="21"/>
                <w:szCs w:val="21"/>
              </w:rPr>
            </w:pPr>
          </w:p>
        </w:tc>
        <w:tc>
          <w:tcPr>
            <w:tcW w:w="1823" w:type="dxa"/>
            <w:tcBorders>
              <w:top w:val="single" w:color="auto" w:sz="4" w:space="0"/>
              <w:left w:val="single" w:color="auto" w:sz="4" w:space="0"/>
              <w:bottom w:val="single" w:color="auto" w:sz="4" w:space="0"/>
              <w:right w:val="single" w:color="auto" w:sz="4" w:space="0"/>
            </w:tcBorders>
            <w:shd w:val="clear" w:color="auto" w:fill="auto"/>
            <w:vAlign w:val="center"/>
          </w:tcPr>
          <w:p w14:paraId="0576B1CA">
            <w:pPr>
              <w:pStyle w:val="12"/>
              <w:keepLines/>
              <w:adjustRightInd w:val="0"/>
              <w:snapToGrid w:val="0"/>
              <w:spacing w:line="240" w:lineRule="auto"/>
              <w:ind w:firstLine="0" w:firstLineChars="0"/>
              <w:jc w:val="center"/>
              <w:rPr>
                <w:rFonts w:ascii="Times New Roman" w:hAnsi="Times New Roman" w:cs="宋体"/>
                <w:kern w:val="0"/>
              </w:rPr>
            </w:pPr>
            <w:r>
              <w:rPr>
                <w:rFonts w:hint="eastAsia" w:ascii="Times New Roman" w:hAnsi="Times New Roman"/>
                <w:kern w:val="0"/>
                <w:sz w:val="21"/>
              </w:rPr>
              <w:t>含油抹布、劳保用品</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4247E06B">
            <w:pPr>
              <w:spacing w:line="240" w:lineRule="auto"/>
              <w:ind w:firstLine="0" w:firstLineChars="0"/>
              <w:jc w:val="center"/>
              <w:rPr>
                <w:bCs/>
                <w:kern w:val="10"/>
                <w:sz w:val="21"/>
                <w:szCs w:val="21"/>
              </w:rPr>
            </w:pPr>
            <w:r>
              <w:rPr>
                <w:rFonts w:hint="eastAsia"/>
                <w:bCs/>
                <w:kern w:val="10"/>
                <w:sz w:val="21"/>
                <w:szCs w:val="21"/>
              </w:rPr>
              <w:t>/</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5E62B50D">
            <w:pPr>
              <w:spacing w:line="240" w:lineRule="auto"/>
              <w:ind w:firstLine="0" w:firstLineChars="0"/>
              <w:jc w:val="center"/>
              <w:rPr>
                <w:bCs/>
                <w:kern w:val="10"/>
                <w:sz w:val="21"/>
                <w:szCs w:val="21"/>
              </w:rPr>
            </w:pPr>
            <w:r>
              <w:rPr>
                <w:rFonts w:hint="eastAsia"/>
                <w:bCs/>
                <w:kern w:val="10"/>
                <w:sz w:val="21"/>
                <w:szCs w:val="21"/>
              </w:rPr>
              <w:t>/</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5307DA15">
            <w:pPr>
              <w:spacing w:line="240" w:lineRule="auto"/>
              <w:ind w:firstLine="0" w:firstLineChars="0"/>
              <w:jc w:val="center"/>
              <w:rPr>
                <w:snapToGrid w:val="0"/>
                <w:kern w:val="21"/>
                <w:sz w:val="21"/>
                <w:szCs w:val="21"/>
              </w:rPr>
            </w:pPr>
            <w:r>
              <w:rPr>
                <w:rFonts w:hint="eastAsia"/>
                <w:bCs/>
                <w:kern w:val="10"/>
                <w:sz w:val="21"/>
                <w:szCs w:val="21"/>
              </w:rPr>
              <w:t>/</w:t>
            </w:r>
          </w:p>
        </w:tc>
        <w:tc>
          <w:tcPr>
            <w:tcW w:w="1558" w:type="dxa"/>
            <w:tcBorders>
              <w:top w:val="single" w:color="auto" w:sz="4" w:space="0"/>
              <w:left w:val="single" w:color="auto" w:sz="4" w:space="0"/>
              <w:bottom w:val="single" w:color="auto" w:sz="4" w:space="0"/>
              <w:right w:val="single" w:color="auto" w:sz="4" w:space="0"/>
            </w:tcBorders>
            <w:shd w:val="clear" w:color="auto" w:fill="auto"/>
            <w:vAlign w:val="center"/>
          </w:tcPr>
          <w:p w14:paraId="6AD28B78">
            <w:pPr>
              <w:spacing w:line="240" w:lineRule="auto"/>
              <w:ind w:firstLine="0" w:firstLineChars="0"/>
              <w:jc w:val="center"/>
              <w:rPr>
                <w:snapToGrid w:val="0"/>
                <w:kern w:val="21"/>
                <w:sz w:val="21"/>
                <w:szCs w:val="21"/>
              </w:rPr>
            </w:pPr>
            <w:r>
              <w:rPr>
                <w:rFonts w:hint="eastAsia"/>
                <w:bCs/>
                <w:kern w:val="10"/>
                <w:sz w:val="21"/>
                <w:szCs w:val="21"/>
              </w:rPr>
              <w:t>0.01t/a</w:t>
            </w:r>
          </w:p>
        </w:tc>
        <w:tc>
          <w:tcPr>
            <w:tcW w:w="1760" w:type="dxa"/>
            <w:tcBorders>
              <w:top w:val="single" w:color="auto" w:sz="4" w:space="0"/>
              <w:left w:val="single" w:color="auto" w:sz="4" w:space="0"/>
              <w:bottom w:val="single" w:color="auto" w:sz="4" w:space="0"/>
              <w:right w:val="single" w:color="auto" w:sz="4" w:space="0"/>
            </w:tcBorders>
            <w:shd w:val="clear" w:color="auto" w:fill="auto"/>
            <w:vAlign w:val="center"/>
          </w:tcPr>
          <w:p w14:paraId="0C1D65B5">
            <w:pPr>
              <w:spacing w:line="240" w:lineRule="auto"/>
              <w:ind w:firstLine="0" w:firstLineChars="0"/>
              <w:jc w:val="center"/>
              <w:rPr>
                <w:bCs/>
                <w:kern w:val="10"/>
                <w:sz w:val="21"/>
                <w:szCs w:val="21"/>
              </w:rPr>
            </w:pPr>
            <w:r>
              <w:rPr>
                <w:rFonts w:hint="eastAsia"/>
                <w:bCs/>
                <w:kern w:val="10"/>
                <w:sz w:val="21"/>
                <w:szCs w:val="21"/>
              </w:rPr>
              <w:t>/</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4131AA67">
            <w:pPr>
              <w:spacing w:line="240" w:lineRule="auto"/>
              <w:ind w:firstLine="0" w:firstLineChars="0"/>
              <w:jc w:val="center"/>
              <w:rPr>
                <w:snapToGrid w:val="0"/>
                <w:kern w:val="21"/>
                <w:sz w:val="21"/>
                <w:szCs w:val="21"/>
              </w:rPr>
            </w:pPr>
            <w:r>
              <w:rPr>
                <w:rFonts w:hint="eastAsia"/>
                <w:bCs/>
                <w:kern w:val="10"/>
                <w:sz w:val="21"/>
                <w:szCs w:val="21"/>
              </w:rPr>
              <w:t>0.01t/a</w:t>
            </w:r>
          </w:p>
        </w:tc>
        <w:tc>
          <w:tcPr>
            <w:tcW w:w="1316" w:type="dxa"/>
            <w:tcBorders>
              <w:top w:val="single" w:color="auto" w:sz="4" w:space="0"/>
              <w:left w:val="single" w:color="auto" w:sz="4" w:space="0"/>
              <w:bottom w:val="single" w:color="auto" w:sz="4" w:space="0"/>
              <w:right w:val="single" w:color="auto" w:sz="8" w:space="0"/>
            </w:tcBorders>
            <w:shd w:val="clear" w:color="auto" w:fill="auto"/>
            <w:vAlign w:val="center"/>
          </w:tcPr>
          <w:p w14:paraId="060CEE63">
            <w:pPr>
              <w:pStyle w:val="22"/>
              <w:widowControl w:val="0"/>
              <w:adjustRightInd w:val="0"/>
              <w:snapToGrid w:val="0"/>
              <w:spacing w:before="0" w:beforeAutospacing="0" w:after="0" w:afterAutospacing="0" w:line="240" w:lineRule="auto"/>
              <w:ind w:firstLine="0" w:firstLineChars="0"/>
              <w:jc w:val="center"/>
              <w:rPr>
                <w:rFonts w:ascii="Times New Roman" w:hAnsi="Times New Roman"/>
                <w:snapToGrid w:val="0"/>
                <w:kern w:val="21"/>
                <w:sz w:val="21"/>
                <w:szCs w:val="21"/>
              </w:rPr>
            </w:pPr>
            <w:r>
              <w:rPr>
                <w:rFonts w:hint="eastAsia"/>
                <w:bCs/>
                <w:kern w:val="10"/>
                <w:sz w:val="21"/>
                <w:szCs w:val="21"/>
              </w:rPr>
              <w:t>/</w:t>
            </w:r>
          </w:p>
        </w:tc>
      </w:tr>
      <w:tr w14:paraId="7AA332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80" w:type="dxa"/>
            <w:vMerge w:val="continue"/>
            <w:tcBorders>
              <w:left w:val="single" w:color="auto" w:sz="8" w:space="0"/>
              <w:right w:val="single" w:color="auto" w:sz="4" w:space="0"/>
            </w:tcBorders>
            <w:shd w:val="clear" w:color="auto" w:fill="auto"/>
            <w:vAlign w:val="center"/>
          </w:tcPr>
          <w:p w14:paraId="60A610E5">
            <w:pPr>
              <w:pStyle w:val="22"/>
              <w:widowControl w:val="0"/>
              <w:adjustRightInd w:val="0"/>
              <w:snapToGrid w:val="0"/>
              <w:spacing w:before="0" w:beforeAutospacing="0" w:after="0" w:afterAutospacing="0" w:line="240" w:lineRule="auto"/>
              <w:ind w:firstLine="0" w:firstLineChars="0"/>
              <w:jc w:val="center"/>
              <w:rPr>
                <w:rFonts w:ascii="Times New Roman" w:hAnsi="Times New Roman" w:cs="宋体"/>
                <w:snapToGrid w:val="0"/>
                <w:kern w:val="21"/>
                <w:sz w:val="21"/>
                <w:szCs w:val="21"/>
              </w:rPr>
            </w:pPr>
          </w:p>
        </w:tc>
        <w:tc>
          <w:tcPr>
            <w:tcW w:w="1823" w:type="dxa"/>
            <w:tcBorders>
              <w:top w:val="single" w:color="auto" w:sz="4" w:space="0"/>
              <w:left w:val="single" w:color="auto" w:sz="4" w:space="0"/>
              <w:bottom w:val="single" w:color="auto" w:sz="4" w:space="0"/>
              <w:right w:val="single" w:color="auto" w:sz="4" w:space="0"/>
            </w:tcBorders>
            <w:shd w:val="clear" w:color="auto" w:fill="auto"/>
            <w:vAlign w:val="center"/>
          </w:tcPr>
          <w:p w14:paraId="302ADA2A">
            <w:pPr>
              <w:pStyle w:val="12"/>
              <w:keepLines/>
              <w:adjustRightInd w:val="0"/>
              <w:snapToGrid w:val="0"/>
              <w:spacing w:line="240" w:lineRule="auto"/>
              <w:ind w:firstLine="0" w:firstLineChars="0"/>
              <w:jc w:val="center"/>
              <w:rPr>
                <w:rFonts w:ascii="Times New Roman" w:hAnsi="Times New Roman" w:cs="宋体"/>
                <w:kern w:val="0"/>
              </w:rPr>
            </w:pPr>
            <w:r>
              <w:rPr>
                <w:rFonts w:hint="eastAsia" w:ascii="Times New Roman" w:hAnsi="Times New Roman"/>
                <w:kern w:val="0"/>
                <w:sz w:val="21"/>
              </w:rPr>
              <w:t>废焦油</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142300F4">
            <w:pPr>
              <w:spacing w:line="240" w:lineRule="auto"/>
              <w:ind w:firstLine="0" w:firstLineChars="0"/>
              <w:jc w:val="center"/>
              <w:rPr>
                <w:bCs/>
                <w:kern w:val="10"/>
                <w:sz w:val="21"/>
                <w:szCs w:val="21"/>
              </w:rPr>
            </w:pPr>
            <w:r>
              <w:rPr>
                <w:rFonts w:hint="eastAsia"/>
                <w:bCs/>
                <w:kern w:val="10"/>
                <w:sz w:val="21"/>
                <w:szCs w:val="21"/>
              </w:rPr>
              <w:t>/</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33D5E092">
            <w:pPr>
              <w:spacing w:line="240" w:lineRule="auto"/>
              <w:ind w:firstLine="0" w:firstLineChars="0"/>
              <w:jc w:val="center"/>
              <w:rPr>
                <w:bCs/>
                <w:kern w:val="10"/>
                <w:sz w:val="21"/>
                <w:szCs w:val="21"/>
              </w:rPr>
            </w:pPr>
            <w:r>
              <w:rPr>
                <w:rFonts w:hint="eastAsia"/>
                <w:bCs/>
                <w:kern w:val="10"/>
                <w:sz w:val="21"/>
                <w:szCs w:val="21"/>
              </w:rPr>
              <w:t>/</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7E972DC8">
            <w:pPr>
              <w:spacing w:line="240" w:lineRule="auto"/>
              <w:ind w:firstLine="0" w:firstLineChars="0"/>
              <w:jc w:val="center"/>
              <w:rPr>
                <w:snapToGrid w:val="0"/>
                <w:kern w:val="21"/>
                <w:sz w:val="21"/>
                <w:szCs w:val="21"/>
              </w:rPr>
            </w:pPr>
            <w:r>
              <w:rPr>
                <w:rFonts w:hint="eastAsia"/>
                <w:bCs/>
                <w:kern w:val="10"/>
                <w:sz w:val="21"/>
                <w:szCs w:val="21"/>
              </w:rPr>
              <w:t>/</w:t>
            </w:r>
          </w:p>
        </w:tc>
        <w:tc>
          <w:tcPr>
            <w:tcW w:w="1558" w:type="dxa"/>
            <w:tcBorders>
              <w:top w:val="single" w:color="auto" w:sz="4" w:space="0"/>
              <w:left w:val="single" w:color="auto" w:sz="4" w:space="0"/>
              <w:bottom w:val="single" w:color="auto" w:sz="4" w:space="0"/>
              <w:right w:val="single" w:color="auto" w:sz="4" w:space="0"/>
            </w:tcBorders>
            <w:shd w:val="clear" w:color="auto" w:fill="auto"/>
            <w:vAlign w:val="center"/>
          </w:tcPr>
          <w:p w14:paraId="0CB9D63C">
            <w:pPr>
              <w:spacing w:line="240" w:lineRule="auto"/>
              <w:ind w:firstLine="0" w:firstLineChars="0"/>
              <w:jc w:val="center"/>
              <w:rPr>
                <w:snapToGrid w:val="0"/>
                <w:kern w:val="21"/>
                <w:sz w:val="21"/>
                <w:szCs w:val="21"/>
              </w:rPr>
            </w:pPr>
            <w:r>
              <w:rPr>
                <w:rFonts w:hint="eastAsia"/>
                <w:bCs/>
                <w:kern w:val="10"/>
                <w:sz w:val="21"/>
                <w:szCs w:val="21"/>
              </w:rPr>
              <w:t>0.2759t/a</w:t>
            </w:r>
          </w:p>
        </w:tc>
        <w:tc>
          <w:tcPr>
            <w:tcW w:w="1760" w:type="dxa"/>
            <w:tcBorders>
              <w:top w:val="single" w:color="auto" w:sz="4" w:space="0"/>
              <w:left w:val="single" w:color="auto" w:sz="4" w:space="0"/>
              <w:bottom w:val="single" w:color="auto" w:sz="4" w:space="0"/>
              <w:right w:val="single" w:color="auto" w:sz="4" w:space="0"/>
            </w:tcBorders>
            <w:shd w:val="clear" w:color="auto" w:fill="auto"/>
            <w:vAlign w:val="center"/>
          </w:tcPr>
          <w:p w14:paraId="067A3F93">
            <w:pPr>
              <w:spacing w:line="240" w:lineRule="auto"/>
              <w:ind w:firstLine="0" w:firstLineChars="0"/>
              <w:jc w:val="center"/>
              <w:rPr>
                <w:bCs/>
                <w:kern w:val="10"/>
                <w:sz w:val="21"/>
                <w:szCs w:val="21"/>
              </w:rPr>
            </w:pPr>
            <w:r>
              <w:rPr>
                <w:rFonts w:hint="eastAsia"/>
                <w:bCs/>
                <w:kern w:val="10"/>
                <w:sz w:val="21"/>
                <w:szCs w:val="21"/>
              </w:rPr>
              <w:t>/</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147A5591">
            <w:pPr>
              <w:spacing w:line="240" w:lineRule="auto"/>
              <w:ind w:firstLine="0" w:firstLineChars="0"/>
              <w:jc w:val="center"/>
              <w:rPr>
                <w:snapToGrid w:val="0"/>
                <w:kern w:val="21"/>
                <w:sz w:val="21"/>
                <w:szCs w:val="21"/>
              </w:rPr>
            </w:pPr>
            <w:r>
              <w:rPr>
                <w:rFonts w:hint="eastAsia"/>
                <w:bCs/>
                <w:kern w:val="10"/>
                <w:sz w:val="21"/>
                <w:szCs w:val="21"/>
              </w:rPr>
              <w:t>0.2759t/a</w:t>
            </w:r>
          </w:p>
        </w:tc>
        <w:tc>
          <w:tcPr>
            <w:tcW w:w="1316" w:type="dxa"/>
            <w:tcBorders>
              <w:top w:val="single" w:color="auto" w:sz="4" w:space="0"/>
              <w:left w:val="single" w:color="auto" w:sz="4" w:space="0"/>
              <w:bottom w:val="single" w:color="auto" w:sz="4" w:space="0"/>
              <w:right w:val="single" w:color="auto" w:sz="8" w:space="0"/>
            </w:tcBorders>
            <w:shd w:val="clear" w:color="auto" w:fill="auto"/>
            <w:vAlign w:val="center"/>
          </w:tcPr>
          <w:p w14:paraId="36672D9F">
            <w:pPr>
              <w:pStyle w:val="22"/>
              <w:widowControl w:val="0"/>
              <w:adjustRightInd w:val="0"/>
              <w:snapToGrid w:val="0"/>
              <w:spacing w:before="0" w:beforeAutospacing="0" w:after="0" w:afterAutospacing="0" w:line="240" w:lineRule="auto"/>
              <w:ind w:firstLine="0" w:firstLineChars="0"/>
              <w:jc w:val="center"/>
              <w:rPr>
                <w:rFonts w:ascii="Times New Roman" w:hAnsi="Times New Roman"/>
                <w:snapToGrid w:val="0"/>
                <w:kern w:val="21"/>
                <w:sz w:val="21"/>
                <w:szCs w:val="21"/>
              </w:rPr>
            </w:pPr>
            <w:r>
              <w:rPr>
                <w:rFonts w:hint="eastAsia"/>
                <w:bCs/>
                <w:kern w:val="10"/>
                <w:sz w:val="21"/>
                <w:szCs w:val="21"/>
              </w:rPr>
              <w:t>/</w:t>
            </w:r>
          </w:p>
        </w:tc>
      </w:tr>
      <w:tr w14:paraId="12E2C1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80" w:type="dxa"/>
            <w:vMerge w:val="continue"/>
            <w:tcBorders>
              <w:left w:val="single" w:color="auto" w:sz="8" w:space="0"/>
              <w:right w:val="single" w:color="auto" w:sz="4" w:space="0"/>
            </w:tcBorders>
            <w:shd w:val="clear" w:color="auto" w:fill="auto"/>
            <w:vAlign w:val="center"/>
          </w:tcPr>
          <w:p w14:paraId="5A1B499D">
            <w:pPr>
              <w:pStyle w:val="22"/>
              <w:widowControl w:val="0"/>
              <w:adjustRightInd w:val="0"/>
              <w:snapToGrid w:val="0"/>
              <w:spacing w:before="0" w:beforeAutospacing="0" w:after="0" w:afterAutospacing="0" w:line="240" w:lineRule="auto"/>
              <w:ind w:firstLine="0" w:firstLineChars="0"/>
              <w:jc w:val="center"/>
              <w:rPr>
                <w:rFonts w:ascii="Times New Roman" w:hAnsi="Times New Roman" w:cs="宋体"/>
                <w:snapToGrid w:val="0"/>
                <w:kern w:val="21"/>
                <w:sz w:val="21"/>
                <w:szCs w:val="21"/>
              </w:rPr>
            </w:pPr>
          </w:p>
        </w:tc>
        <w:tc>
          <w:tcPr>
            <w:tcW w:w="1823" w:type="dxa"/>
            <w:tcBorders>
              <w:top w:val="single" w:color="auto" w:sz="4" w:space="0"/>
              <w:left w:val="single" w:color="auto" w:sz="4" w:space="0"/>
              <w:bottom w:val="single" w:color="auto" w:sz="4" w:space="0"/>
              <w:right w:val="single" w:color="auto" w:sz="4" w:space="0"/>
            </w:tcBorders>
            <w:shd w:val="clear" w:color="auto" w:fill="auto"/>
            <w:vAlign w:val="center"/>
          </w:tcPr>
          <w:p w14:paraId="69B0C8BC">
            <w:pPr>
              <w:pStyle w:val="12"/>
              <w:keepLines/>
              <w:adjustRightInd w:val="0"/>
              <w:snapToGrid w:val="0"/>
              <w:spacing w:line="240" w:lineRule="auto"/>
              <w:ind w:firstLine="0" w:firstLineChars="0"/>
              <w:jc w:val="center"/>
              <w:rPr>
                <w:rFonts w:ascii="Times New Roman" w:hAnsi="Times New Roman" w:cs="宋体"/>
                <w:kern w:val="0"/>
              </w:rPr>
            </w:pPr>
            <w:r>
              <w:rPr>
                <w:rFonts w:hint="eastAsia" w:ascii="Times New Roman" w:hAnsi="Times New Roman"/>
                <w:kern w:val="0"/>
                <w:sz w:val="21"/>
              </w:rPr>
              <w:t>废油桶</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00C077FE">
            <w:pPr>
              <w:spacing w:line="240" w:lineRule="auto"/>
              <w:ind w:firstLine="0" w:firstLineChars="0"/>
              <w:jc w:val="center"/>
              <w:rPr>
                <w:bCs/>
                <w:kern w:val="10"/>
                <w:sz w:val="21"/>
                <w:szCs w:val="21"/>
              </w:rPr>
            </w:pPr>
            <w:r>
              <w:rPr>
                <w:rFonts w:hint="eastAsia"/>
                <w:bCs/>
                <w:kern w:val="10"/>
                <w:sz w:val="21"/>
                <w:szCs w:val="21"/>
              </w:rPr>
              <w:t>/</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378D09ED">
            <w:pPr>
              <w:spacing w:line="240" w:lineRule="auto"/>
              <w:ind w:firstLine="0" w:firstLineChars="0"/>
              <w:jc w:val="center"/>
              <w:rPr>
                <w:bCs/>
                <w:kern w:val="10"/>
                <w:sz w:val="21"/>
                <w:szCs w:val="21"/>
              </w:rPr>
            </w:pPr>
            <w:r>
              <w:rPr>
                <w:rFonts w:hint="eastAsia"/>
                <w:bCs/>
                <w:kern w:val="10"/>
                <w:sz w:val="21"/>
                <w:szCs w:val="21"/>
              </w:rPr>
              <w:t>/</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4E9DCAC9">
            <w:pPr>
              <w:spacing w:line="240" w:lineRule="auto"/>
              <w:ind w:firstLine="0" w:firstLineChars="0"/>
              <w:jc w:val="center"/>
              <w:rPr>
                <w:snapToGrid w:val="0"/>
                <w:kern w:val="21"/>
                <w:sz w:val="21"/>
                <w:szCs w:val="21"/>
              </w:rPr>
            </w:pPr>
            <w:r>
              <w:rPr>
                <w:rFonts w:hint="eastAsia"/>
                <w:bCs/>
                <w:kern w:val="10"/>
                <w:sz w:val="21"/>
                <w:szCs w:val="21"/>
              </w:rPr>
              <w:t>/</w:t>
            </w:r>
          </w:p>
        </w:tc>
        <w:tc>
          <w:tcPr>
            <w:tcW w:w="1558" w:type="dxa"/>
            <w:tcBorders>
              <w:top w:val="single" w:color="auto" w:sz="4" w:space="0"/>
              <w:left w:val="single" w:color="auto" w:sz="4" w:space="0"/>
              <w:bottom w:val="single" w:color="auto" w:sz="4" w:space="0"/>
              <w:right w:val="single" w:color="auto" w:sz="4" w:space="0"/>
            </w:tcBorders>
            <w:shd w:val="clear" w:color="auto" w:fill="auto"/>
            <w:vAlign w:val="center"/>
          </w:tcPr>
          <w:p w14:paraId="470FF30B">
            <w:pPr>
              <w:spacing w:line="240" w:lineRule="auto"/>
              <w:ind w:firstLine="0" w:firstLineChars="0"/>
              <w:jc w:val="center"/>
              <w:rPr>
                <w:snapToGrid w:val="0"/>
                <w:kern w:val="21"/>
                <w:sz w:val="21"/>
                <w:szCs w:val="21"/>
              </w:rPr>
            </w:pPr>
            <w:r>
              <w:rPr>
                <w:rFonts w:hint="eastAsia"/>
                <w:bCs/>
                <w:kern w:val="10"/>
                <w:sz w:val="21"/>
                <w:szCs w:val="21"/>
              </w:rPr>
              <w:t>0.03t/a</w:t>
            </w:r>
          </w:p>
        </w:tc>
        <w:tc>
          <w:tcPr>
            <w:tcW w:w="1760" w:type="dxa"/>
            <w:tcBorders>
              <w:top w:val="single" w:color="auto" w:sz="4" w:space="0"/>
              <w:left w:val="single" w:color="auto" w:sz="4" w:space="0"/>
              <w:bottom w:val="single" w:color="auto" w:sz="4" w:space="0"/>
              <w:right w:val="single" w:color="auto" w:sz="4" w:space="0"/>
            </w:tcBorders>
            <w:shd w:val="clear" w:color="auto" w:fill="auto"/>
            <w:vAlign w:val="center"/>
          </w:tcPr>
          <w:p w14:paraId="08A55C13">
            <w:pPr>
              <w:spacing w:line="240" w:lineRule="auto"/>
              <w:ind w:firstLine="0" w:firstLineChars="0"/>
              <w:jc w:val="center"/>
              <w:rPr>
                <w:bCs/>
                <w:kern w:val="10"/>
                <w:sz w:val="21"/>
                <w:szCs w:val="21"/>
              </w:rPr>
            </w:pPr>
            <w:r>
              <w:rPr>
                <w:rFonts w:hint="eastAsia"/>
                <w:bCs/>
                <w:kern w:val="10"/>
                <w:sz w:val="21"/>
                <w:szCs w:val="21"/>
              </w:rPr>
              <w:t>/</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1AFE4262">
            <w:pPr>
              <w:spacing w:line="240" w:lineRule="auto"/>
              <w:ind w:firstLine="0" w:firstLineChars="0"/>
              <w:jc w:val="center"/>
              <w:rPr>
                <w:snapToGrid w:val="0"/>
                <w:kern w:val="21"/>
                <w:sz w:val="21"/>
                <w:szCs w:val="21"/>
              </w:rPr>
            </w:pPr>
            <w:r>
              <w:rPr>
                <w:rFonts w:hint="eastAsia"/>
                <w:bCs/>
                <w:kern w:val="10"/>
                <w:sz w:val="21"/>
                <w:szCs w:val="21"/>
              </w:rPr>
              <w:t>0.03t/a</w:t>
            </w:r>
          </w:p>
        </w:tc>
        <w:tc>
          <w:tcPr>
            <w:tcW w:w="1316" w:type="dxa"/>
            <w:tcBorders>
              <w:top w:val="single" w:color="auto" w:sz="4" w:space="0"/>
              <w:left w:val="single" w:color="auto" w:sz="4" w:space="0"/>
              <w:bottom w:val="single" w:color="auto" w:sz="4" w:space="0"/>
              <w:right w:val="single" w:color="auto" w:sz="8" w:space="0"/>
            </w:tcBorders>
            <w:shd w:val="clear" w:color="auto" w:fill="auto"/>
            <w:vAlign w:val="center"/>
          </w:tcPr>
          <w:p w14:paraId="2F5D0F10">
            <w:pPr>
              <w:pStyle w:val="22"/>
              <w:widowControl w:val="0"/>
              <w:adjustRightInd w:val="0"/>
              <w:snapToGrid w:val="0"/>
              <w:spacing w:before="0" w:beforeAutospacing="0" w:after="0" w:afterAutospacing="0" w:line="240" w:lineRule="auto"/>
              <w:ind w:firstLine="0" w:firstLineChars="0"/>
              <w:jc w:val="center"/>
              <w:rPr>
                <w:rFonts w:ascii="Times New Roman" w:hAnsi="Times New Roman"/>
                <w:snapToGrid w:val="0"/>
                <w:kern w:val="21"/>
                <w:sz w:val="21"/>
                <w:szCs w:val="21"/>
              </w:rPr>
            </w:pPr>
            <w:r>
              <w:rPr>
                <w:rFonts w:hint="eastAsia"/>
                <w:bCs/>
                <w:kern w:val="10"/>
                <w:sz w:val="21"/>
                <w:szCs w:val="21"/>
              </w:rPr>
              <w:t>/</w:t>
            </w:r>
          </w:p>
        </w:tc>
      </w:tr>
      <w:tr w14:paraId="79B0B2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80" w:type="dxa"/>
            <w:vMerge w:val="continue"/>
            <w:tcBorders>
              <w:left w:val="single" w:color="auto" w:sz="8" w:space="0"/>
              <w:bottom w:val="single" w:color="auto" w:sz="4" w:space="0"/>
              <w:right w:val="single" w:color="auto" w:sz="4" w:space="0"/>
            </w:tcBorders>
            <w:shd w:val="clear" w:color="auto" w:fill="auto"/>
            <w:vAlign w:val="center"/>
          </w:tcPr>
          <w:p w14:paraId="7A43548A">
            <w:pPr>
              <w:spacing w:line="240" w:lineRule="auto"/>
              <w:ind w:firstLine="0" w:firstLineChars="0"/>
              <w:jc w:val="center"/>
              <w:rPr>
                <w:sz w:val="20"/>
                <w:szCs w:val="20"/>
              </w:rPr>
            </w:pPr>
          </w:p>
        </w:tc>
        <w:tc>
          <w:tcPr>
            <w:tcW w:w="1823" w:type="dxa"/>
            <w:tcBorders>
              <w:top w:val="single" w:color="auto" w:sz="4" w:space="0"/>
              <w:left w:val="single" w:color="auto" w:sz="4" w:space="0"/>
              <w:bottom w:val="single" w:color="auto" w:sz="4" w:space="0"/>
              <w:right w:val="single" w:color="auto" w:sz="4" w:space="0"/>
            </w:tcBorders>
            <w:shd w:val="clear" w:color="auto" w:fill="auto"/>
            <w:vAlign w:val="center"/>
          </w:tcPr>
          <w:p w14:paraId="4EFC20D7">
            <w:pPr>
              <w:pStyle w:val="12"/>
              <w:keepLines/>
              <w:adjustRightInd w:val="0"/>
              <w:snapToGrid w:val="0"/>
              <w:spacing w:line="240" w:lineRule="auto"/>
              <w:ind w:firstLine="0" w:firstLineChars="0"/>
              <w:jc w:val="center"/>
              <w:rPr>
                <w:rFonts w:ascii="Times New Roman" w:hAnsi="Times New Roman" w:cs="宋体"/>
                <w:kern w:val="0"/>
              </w:rPr>
            </w:pPr>
            <w:r>
              <w:rPr>
                <w:rFonts w:hint="eastAsia" w:ascii="Times New Roman" w:hAnsi="Times New Roman"/>
                <w:kern w:val="0"/>
                <w:sz w:val="21"/>
              </w:rPr>
              <w:t>储油罐油泥</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42CECA6D">
            <w:pPr>
              <w:spacing w:line="240" w:lineRule="auto"/>
              <w:ind w:firstLine="0" w:firstLineChars="0"/>
              <w:jc w:val="center"/>
              <w:rPr>
                <w:kern w:val="0"/>
                <w:sz w:val="21"/>
                <w:szCs w:val="21"/>
              </w:rPr>
            </w:pPr>
            <w:r>
              <w:rPr>
                <w:rFonts w:hint="eastAsia"/>
                <w:bCs/>
                <w:kern w:val="10"/>
                <w:sz w:val="21"/>
                <w:szCs w:val="21"/>
              </w:rPr>
              <w:t>/</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16AAAD17">
            <w:pPr>
              <w:spacing w:line="240" w:lineRule="auto"/>
              <w:ind w:firstLine="0" w:firstLineChars="0"/>
              <w:jc w:val="center"/>
              <w:rPr>
                <w:snapToGrid w:val="0"/>
                <w:kern w:val="21"/>
                <w:sz w:val="21"/>
                <w:szCs w:val="21"/>
              </w:rPr>
            </w:pPr>
            <w:r>
              <w:rPr>
                <w:rFonts w:hint="eastAsia"/>
                <w:bCs/>
                <w:kern w:val="10"/>
                <w:sz w:val="21"/>
                <w:szCs w:val="21"/>
              </w:rPr>
              <w:t>/</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4730867D">
            <w:pPr>
              <w:spacing w:line="240" w:lineRule="auto"/>
              <w:ind w:firstLine="0" w:firstLineChars="0"/>
              <w:jc w:val="center"/>
              <w:rPr>
                <w:snapToGrid w:val="0"/>
                <w:kern w:val="21"/>
                <w:sz w:val="21"/>
                <w:szCs w:val="21"/>
              </w:rPr>
            </w:pPr>
            <w:r>
              <w:rPr>
                <w:rFonts w:hint="eastAsia"/>
                <w:bCs/>
                <w:kern w:val="10"/>
                <w:sz w:val="21"/>
                <w:szCs w:val="21"/>
              </w:rPr>
              <w:t>/</w:t>
            </w:r>
          </w:p>
        </w:tc>
        <w:tc>
          <w:tcPr>
            <w:tcW w:w="1558" w:type="dxa"/>
            <w:tcBorders>
              <w:top w:val="single" w:color="auto" w:sz="4" w:space="0"/>
              <w:left w:val="single" w:color="auto" w:sz="4" w:space="0"/>
              <w:bottom w:val="single" w:color="auto" w:sz="4" w:space="0"/>
              <w:right w:val="single" w:color="auto" w:sz="4" w:space="0"/>
            </w:tcBorders>
            <w:shd w:val="clear" w:color="auto" w:fill="auto"/>
            <w:vAlign w:val="center"/>
          </w:tcPr>
          <w:p w14:paraId="77073305">
            <w:pPr>
              <w:spacing w:line="240" w:lineRule="auto"/>
              <w:ind w:firstLine="0" w:firstLineChars="0"/>
              <w:jc w:val="center"/>
              <w:rPr>
                <w:snapToGrid w:val="0"/>
                <w:kern w:val="21"/>
                <w:sz w:val="21"/>
                <w:szCs w:val="21"/>
              </w:rPr>
            </w:pPr>
            <w:r>
              <w:rPr>
                <w:rFonts w:hint="eastAsia"/>
                <w:bCs/>
                <w:kern w:val="10"/>
                <w:sz w:val="21"/>
                <w:szCs w:val="21"/>
              </w:rPr>
              <w:t>0.05t/a</w:t>
            </w:r>
          </w:p>
        </w:tc>
        <w:tc>
          <w:tcPr>
            <w:tcW w:w="1760" w:type="dxa"/>
            <w:tcBorders>
              <w:top w:val="single" w:color="auto" w:sz="4" w:space="0"/>
              <w:left w:val="single" w:color="auto" w:sz="4" w:space="0"/>
              <w:bottom w:val="single" w:color="auto" w:sz="4" w:space="0"/>
              <w:right w:val="single" w:color="auto" w:sz="4" w:space="0"/>
            </w:tcBorders>
            <w:shd w:val="clear" w:color="auto" w:fill="auto"/>
            <w:vAlign w:val="center"/>
          </w:tcPr>
          <w:p w14:paraId="1C45F147">
            <w:pPr>
              <w:spacing w:line="240" w:lineRule="auto"/>
              <w:ind w:firstLine="0" w:firstLineChars="0"/>
              <w:jc w:val="center"/>
              <w:rPr>
                <w:snapToGrid w:val="0"/>
                <w:kern w:val="21"/>
                <w:sz w:val="21"/>
                <w:szCs w:val="21"/>
              </w:rPr>
            </w:pPr>
            <w:r>
              <w:rPr>
                <w:rFonts w:hint="eastAsia"/>
                <w:bCs/>
                <w:kern w:val="10"/>
                <w:sz w:val="21"/>
                <w:szCs w:val="21"/>
              </w:rPr>
              <w:t>/</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14:paraId="61F990B1">
            <w:pPr>
              <w:spacing w:line="240" w:lineRule="auto"/>
              <w:ind w:firstLine="0" w:firstLineChars="0"/>
              <w:jc w:val="center"/>
              <w:rPr>
                <w:snapToGrid w:val="0"/>
                <w:kern w:val="21"/>
                <w:sz w:val="21"/>
                <w:szCs w:val="21"/>
              </w:rPr>
            </w:pPr>
            <w:r>
              <w:rPr>
                <w:rFonts w:hint="eastAsia"/>
                <w:bCs/>
                <w:kern w:val="10"/>
                <w:sz w:val="21"/>
                <w:szCs w:val="21"/>
              </w:rPr>
              <w:t>0.05t/a</w:t>
            </w:r>
          </w:p>
        </w:tc>
        <w:tc>
          <w:tcPr>
            <w:tcW w:w="1316" w:type="dxa"/>
            <w:tcBorders>
              <w:top w:val="single" w:color="auto" w:sz="4" w:space="0"/>
              <w:left w:val="single" w:color="auto" w:sz="4" w:space="0"/>
              <w:bottom w:val="single" w:color="auto" w:sz="4" w:space="0"/>
              <w:right w:val="single" w:color="auto" w:sz="8" w:space="0"/>
            </w:tcBorders>
            <w:shd w:val="clear" w:color="auto" w:fill="auto"/>
            <w:vAlign w:val="center"/>
          </w:tcPr>
          <w:p w14:paraId="57475ACD">
            <w:pPr>
              <w:pStyle w:val="22"/>
              <w:widowControl w:val="0"/>
              <w:adjustRightInd w:val="0"/>
              <w:snapToGrid w:val="0"/>
              <w:spacing w:before="0" w:beforeAutospacing="0" w:after="0" w:afterAutospacing="0" w:line="240" w:lineRule="auto"/>
              <w:ind w:firstLine="0" w:firstLineChars="0"/>
              <w:jc w:val="center"/>
              <w:rPr>
                <w:rFonts w:ascii="Times New Roman" w:hAnsi="Times New Roman"/>
                <w:snapToGrid w:val="0"/>
                <w:kern w:val="21"/>
                <w:sz w:val="21"/>
                <w:szCs w:val="21"/>
              </w:rPr>
            </w:pPr>
            <w:r>
              <w:rPr>
                <w:rFonts w:hint="eastAsia"/>
                <w:bCs/>
                <w:kern w:val="10"/>
                <w:sz w:val="21"/>
                <w:szCs w:val="21"/>
              </w:rPr>
              <w:t>/</w:t>
            </w:r>
          </w:p>
        </w:tc>
      </w:tr>
    </w:tbl>
    <w:p w14:paraId="43CA61DA">
      <w:pPr>
        <w:ind w:firstLine="480"/>
      </w:pPr>
      <w:r>
        <w:rPr>
          <w:rFonts w:hint="eastAsia"/>
        </w:rPr>
        <w:t>注：⑥=①+③+④－⑤；⑦=⑥－①</w:t>
      </w:r>
    </w:p>
    <w:p w14:paraId="6C9ECD21">
      <w:pPr>
        <w:ind w:firstLine="480"/>
      </w:pPr>
    </w:p>
    <w:sectPr>
      <w:headerReference r:id="rId9" w:type="default"/>
      <w:footerReference r:id="rId10" w:type="default"/>
      <w:pgSz w:w="15840" w:h="12240" w:orient="landscape"/>
      <w:pgMar w:top="1800" w:right="1440" w:bottom="1800" w:left="1440" w:header="720" w:footer="720" w:gutter="0"/>
      <w:cols w:space="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modern"/>
    <w:pitch w:val="default"/>
    <w:sig w:usb0="00000001" w:usb1="080E0000" w:usb2="00000000" w:usb3="00000000" w:csb0="00040000" w:csb1="00000000"/>
  </w:font>
  <w:font w:name="MingLiU">
    <w:panose1 w:val="02020509000000000000"/>
    <w:charset w:val="88"/>
    <w:family w:val="modern"/>
    <w:pitch w:val="default"/>
    <w:sig w:usb0="A00002FF" w:usb1="28CFFCFA" w:usb2="00000016" w:usb3="00000000" w:csb0="00100001" w:csb1="00000000"/>
  </w:font>
  <w:font w:name="??">
    <w:altName w:val="Times New Roman"/>
    <w:panose1 w:val="00000000000000000000"/>
    <w:charset w:val="00"/>
    <w:family w:val="roman"/>
    <w:pitch w:val="default"/>
    <w:sig w:usb0="00000000" w:usb1="00000000" w:usb2="00000000" w:usb3="00000000" w:csb0="00040001" w:csb1="00000000"/>
  </w:font>
  <w:font w:name="方正小标宋_GBK">
    <w:altName w:val="微软雅黑"/>
    <w:panose1 w:val="00000000000000000000"/>
    <w:charset w:val="86"/>
    <w:family w:val="script"/>
    <w:pitch w:val="default"/>
    <w:sig w:usb0="00000000" w:usb1="00000000" w:usb2="00000000" w:usb3="00000000" w:csb0="00040000" w:csb1="00000000"/>
  </w:font>
  <w:font w:name="Arial Unicode MS">
    <w:altName w:val="宋体"/>
    <w:panose1 w:val="020B0604020202020204"/>
    <w:charset w:val="86"/>
    <w:family w:val="auto"/>
    <w:pitch w:val="default"/>
    <w:sig w:usb0="00000000" w:usb1="00000000" w:usb2="0000003F" w:usb3="00000000" w:csb0="603F01FF" w:csb1="FFFF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微软雅黑">
    <w:panose1 w:val="020B0503020204020204"/>
    <w:charset w:val="86"/>
    <w:family w:val="swiss"/>
    <w:pitch w:val="default"/>
    <w:sig w:usb0="80000287" w:usb1="280F3C52" w:usb2="00000016" w:usb3="00000000" w:csb0="0004001F" w:csb1="00000000"/>
  </w:font>
  <w:font w:name="Wingdings">
    <w:panose1 w:val="05000000000000000000"/>
    <w:charset w:val="00"/>
    <w:family w:val="auto"/>
    <w:pitch w:val="default"/>
    <w:sig w:usb0="00000000" w:usb1="00000000" w:usb2="00000000" w:usb3="00000000" w:csb0="80000000" w:csb1="0000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EF457">
    <w:pPr>
      <w:pStyle w:val="17"/>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61DC1F">
    <w:pPr>
      <w:pStyle w:val="17"/>
      <w:ind w:right="360" w:firstLine="36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6"/>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a:effectLst/>
                    </wps:spPr>
                    <wps:txbx>
                      <w:txbxContent>
                        <w:p w14:paraId="60022C2B">
                          <w:pPr>
                            <w:pStyle w:val="17"/>
                            <w:ind w:firstLine="360"/>
                          </w:pPr>
                          <w:r>
                            <w:fldChar w:fldCharType="begin"/>
                          </w:r>
                          <w:r>
                            <w:instrText xml:space="preserve"> PAGE  \* MERGEFORMAT </w:instrText>
                          </w:r>
                          <w:r>
                            <w:fldChar w:fldCharType="separate"/>
                          </w:r>
                          <w:r>
                            <w:t>II</w:t>
                          </w:r>
                          <w:r>
                            <w:fldChar w:fldCharType="end"/>
                          </w:r>
                        </w:p>
                      </w:txbxContent>
                    </wps:txbx>
                    <wps:bodyPr vert="horz" wrap="none" lIns="0" tIns="0" rIns="0" bIns="0" anchor="t">
                      <a:spAutoFit/>
                    </wps:bodyPr>
                  </wps:wsp>
                </a:graphicData>
              </a:graphic>
            </wp:anchor>
          </w:drawing>
        </mc:Choice>
        <mc:Fallback>
          <w:pict>
            <v:rect id="文本框 6" o:spid="_x0000_s1026" o:spt="1"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XW5UtAAAAAFAQAADwAAAAAAAAABACAAAAAiAAAAZHJz&#10;L2Rvd25yZXYueG1sUEsBAhQAFAAAAAgAh07iQHUw4iXTAQAAqwMAAA4AAAAAAAAAAQAgAAAAHwEA&#10;AGRycy9lMm9Eb2MueG1sUEsFBgAAAAAGAAYAWQEAAGQFAAAAAA==&#10;">
              <v:fill on="f" focussize="0,0"/>
              <v:stroke on="f"/>
              <v:imagedata o:title=""/>
              <o:lock v:ext="edit" aspectratio="f"/>
              <v:textbox inset="0mm,0mm,0mm,0mm" style="mso-fit-shape-to-text:t;">
                <w:txbxContent>
                  <w:p w14:paraId="60022C2B">
                    <w:pPr>
                      <w:pStyle w:val="17"/>
                      <w:ind w:firstLine="360"/>
                    </w:pPr>
                    <w:r>
                      <w:fldChar w:fldCharType="begin"/>
                    </w:r>
                    <w:r>
                      <w:instrText xml:space="preserve"> PAGE  \* MERGEFORMAT </w:instrText>
                    </w:r>
                    <w:r>
                      <w:fldChar w:fldCharType="separate"/>
                    </w:r>
                    <w:r>
                      <w:t>II</w:t>
                    </w:r>
                    <w:r>
                      <w:fldChar w:fldCharType="end"/>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38CD76">
    <w:pPr>
      <w:pStyle w:val="17"/>
      <w:ind w:right="360"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8" name="文本框 9"/>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a:effectLst/>
                    </wps:spPr>
                    <wps:txbx>
                      <w:txbxContent>
                        <w:p w14:paraId="72388207">
                          <w:pPr>
                            <w:pStyle w:val="17"/>
                            <w:ind w:firstLine="360"/>
                          </w:pPr>
                          <w:r>
                            <w:fldChar w:fldCharType="begin"/>
                          </w:r>
                          <w:r>
                            <w:instrText xml:space="preserve"> PAGE  \* MERGEFORMAT </w:instrText>
                          </w:r>
                          <w:r>
                            <w:fldChar w:fldCharType="separate"/>
                          </w:r>
                          <w:r>
                            <w:t>14</w:t>
                          </w:r>
                          <w:r>
                            <w:fldChar w:fldCharType="end"/>
                          </w:r>
                        </w:p>
                      </w:txbxContent>
                    </wps:txbx>
                    <wps:bodyPr vert="horz" wrap="none" lIns="0" tIns="0" rIns="0" bIns="0" anchor="t">
                      <a:spAutoFit/>
                    </wps:bodyPr>
                  </wps:wsp>
                </a:graphicData>
              </a:graphic>
            </wp:anchor>
          </w:drawing>
        </mc:Choice>
        <mc:Fallback>
          <w:pict>
            <v:rect id="文本框 9" o:spid="_x0000_s1026" o:spt="1"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&#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XW5UtAAAAAFAQAADwAAAAAAAAABACAAAAAiAAAAZHJz&#10;L2Rvd25yZXYueG1sUEsBAhQAFAAAAAgAh07iQEAu4OrTAQAAqwMAAA4AAAAAAAAAAQAgAAAAHwEA&#10;AGRycy9lMm9Eb2MueG1sUEsFBgAAAAAGAAYAWQEAAGQFAAAAAA==&#10;">
              <v:fill on="f" focussize="0,0"/>
              <v:stroke on="f"/>
              <v:imagedata o:title=""/>
              <o:lock v:ext="edit" aspectratio="f"/>
              <v:textbox inset="0mm,0mm,0mm,0mm" style="mso-fit-shape-to-text:t;">
                <w:txbxContent>
                  <w:p w14:paraId="72388207">
                    <w:pPr>
                      <w:pStyle w:val="17"/>
                      <w:ind w:firstLine="360"/>
                    </w:pPr>
                    <w:r>
                      <w:fldChar w:fldCharType="begin"/>
                    </w:r>
                    <w:r>
                      <w:instrText xml:space="preserve"> PAGE  \* MERGEFORMAT </w:instrText>
                    </w:r>
                    <w:r>
                      <w:fldChar w:fldCharType="separate"/>
                    </w:r>
                    <w:r>
                      <w:t>14</w:t>
                    </w:r>
                    <w:r>
                      <w:fldChar w:fldCharType="end"/>
                    </w:r>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3D65A0">
    <w:pPr>
      <w:pStyle w:val="17"/>
      <w:tabs>
        <w:tab w:val="center" w:pos="4213"/>
        <w:tab w:val="left" w:pos="4818"/>
      </w:tabs>
      <w:ind w:firstLine="360"/>
    </w:pPr>
    <w:r>
      <w:rPr>
        <w:rFonts w:hint="eastAsia"/>
      </w:rPr>
      <w:tab/>
    </w:r>
    <w:r>
      <w:rPr>
        <w:rFonts w:hint="eastAsia"/>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C8BE3">
    <w:pPr>
      <w:ind w:firstLine="480"/>
    </w:pPr>
  </w:p>
  <w:p w14:paraId="1BAF6B2D">
    <w:pPr>
      <w:pStyle w:val="12"/>
      <w:ind w:firstLine="48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FD481B">
    <w:pPr>
      <w:pStyle w:val="18"/>
      <w:pBdr>
        <w:bottom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B1F0D8"/>
    <w:multiLevelType w:val="singleLevel"/>
    <w:tmpl w:val="E1B1F0D8"/>
    <w:lvl w:ilvl="0" w:tentative="0">
      <w:start w:val="4"/>
      <w:numFmt w:val="chineseCounting"/>
      <w:suff w:val="nothing"/>
      <w:lvlText w:val="%1、"/>
      <w:lvlJc w:val="left"/>
      <w:rPr>
        <w:rFonts w:hint="eastAsia"/>
      </w:rPr>
    </w:lvl>
  </w:abstractNum>
  <w:abstractNum w:abstractNumId="1">
    <w:nsid w:val="00000002"/>
    <w:multiLevelType w:val="singleLevel"/>
    <w:tmpl w:val="00000002"/>
    <w:lvl w:ilvl="0" w:tentative="0">
      <w:start w:val="1"/>
      <w:numFmt w:val="chineseCounting"/>
      <w:suff w:val="nothing"/>
      <w:lvlText w:val="%1、"/>
      <w:lvlJc w:val="left"/>
      <w:rPr>
        <w:rFonts w:hint="eastAsia"/>
      </w:rPr>
    </w:lvl>
  </w:abstractNum>
  <w:abstractNum w:abstractNumId="2">
    <w:nsid w:val="0000000B"/>
    <w:multiLevelType w:val="singleLevel"/>
    <w:tmpl w:val="0000000B"/>
    <w:lvl w:ilvl="0" w:tentative="0">
      <w:start w:val="1"/>
      <w:numFmt w:val="decimal"/>
      <w:suff w:val="nothing"/>
      <w:lvlText w:val="%1、"/>
      <w:lvlJc w:val="left"/>
    </w:lvl>
  </w:abstractNum>
  <w:abstractNum w:abstractNumId="3">
    <w:nsid w:val="0000000E"/>
    <w:multiLevelType w:val="multilevel"/>
    <w:tmpl w:val="0000000E"/>
    <w:lvl w:ilvl="0" w:tentative="0">
      <w:start w:val="2"/>
      <w:numFmt w:val="decimal"/>
      <w:suff w:val="nothing"/>
      <w:lvlText w:val="%1、"/>
      <w:lvlJc w:val="left"/>
      <w:pPr>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00000014"/>
    <w:multiLevelType w:val="multilevel"/>
    <w:tmpl w:val="00000014"/>
    <w:lvl w:ilvl="0" w:tentative="0">
      <w:start w:val="1"/>
      <w:numFmt w:val="decimal"/>
      <w:suff w:val="nothing"/>
      <w:lvlText w:val="%1、"/>
      <w:lvlJc w:val="left"/>
      <w:pPr>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00000015"/>
    <w:multiLevelType w:val="singleLevel"/>
    <w:tmpl w:val="00000015"/>
    <w:lvl w:ilvl="0" w:tentative="0">
      <w:start w:val="1"/>
      <w:numFmt w:val="decimal"/>
      <w:suff w:val="nothing"/>
      <w:lvlText w:val="%1、"/>
      <w:lvlJc w:val="left"/>
    </w:lvl>
  </w:abstractNum>
  <w:abstractNum w:abstractNumId="6">
    <w:nsid w:val="00000020"/>
    <w:multiLevelType w:val="singleLevel"/>
    <w:tmpl w:val="00000020"/>
    <w:lvl w:ilvl="0" w:tentative="0">
      <w:start w:val="1"/>
      <w:numFmt w:val="decimal"/>
      <w:suff w:val="nothing"/>
      <w:lvlText w:val="%1、"/>
      <w:lvlJc w:val="left"/>
    </w:lvl>
  </w:abstractNum>
  <w:abstractNum w:abstractNumId="7">
    <w:nsid w:val="00000022"/>
    <w:multiLevelType w:val="singleLevel"/>
    <w:tmpl w:val="00000022"/>
    <w:lvl w:ilvl="0" w:tentative="0">
      <w:start w:val="1"/>
      <w:numFmt w:val="decimal"/>
      <w:suff w:val="nothing"/>
      <w:lvlText w:val="（%1）"/>
      <w:lvlJc w:val="left"/>
    </w:lvl>
  </w:abstractNum>
  <w:abstractNum w:abstractNumId="8">
    <w:nsid w:val="0053208E"/>
    <w:multiLevelType w:val="singleLevel"/>
    <w:tmpl w:val="0053208E"/>
    <w:lvl w:ilvl="0" w:tentative="0">
      <w:start w:val="1"/>
      <w:numFmt w:val="decimal"/>
      <w:suff w:val="nothing"/>
      <w:lvlText w:val="%1、"/>
      <w:lvlJc w:val="left"/>
    </w:lvl>
  </w:abstractNum>
  <w:abstractNum w:abstractNumId="9">
    <w:nsid w:val="0F6A65E1"/>
    <w:multiLevelType w:val="singleLevel"/>
    <w:tmpl w:val="0F6A65E1"/>
    <w:lvl w:ilvl="0" w:tentative="0">
      <w:start w:val="1"/>
      <w:numFmt w:val="decimal"/>
      <w:suff w:val="nothing"/>
      <w:lvlText w:val="（%1）"/>
      <w:lvlJc w:val="left"/>
    </w:lvl>
  </w:abstractNum>
  <w:abstractNum w:abstractNumId="10">
    <w:nsid w:val="1824186E"/>
    <w:multiLevelType w:val="singleLevel"/>
    <w:tmpl w:val="1824186E"/>
    <w:lvl w:ilvl="0" w:tentative="0">
      <w:start w:val="1"/>
      <w:numFmt w:val="chineseCounting"/>
      <w:suff w:val="nothing"/>
      <w:lvlText w:val="%1、"/>
      <w:lvlJc w:val="left"/>
      <w:rPr>
        <w:rFonts w:hint="eastAsia"/>
      </w:rPr>
    </w:lvl>
  </w:abstractNum>
  <w:abstractNum w:abstractNumId="11">
    <w:nsid w:val="64A13D97"/>
    <w:multiLevelType w:val="singleLevel"/>
    <w:tmpl w:val="64A13D97"/>
    <w:lvl w:ilvl="0" w:tentative="0">
      <w:start w:val="1"/>
      <w:numFmt w:val="decimal"/>
      <w:lvlText w:val="%1."/>
      <w:lvlJc w:val="left"/>
      <w:pPr>
        <w:tabs>
          <w:tab w:val="left" w:pos="312"/>
        </w:tabs>
      </w:pPr>
    </w:lvl>
  </w:abstractNum>
  <w:num w:numId="1">
    <w:abstractNumId w:val="1"/>
  </w:num>
  <w:num w:numId="2">
    <w:abstractNumId w:val="5"/>
  </w:num>
  <w:num w:numId="3">
    <w:abstractNumId w:val="2"/>
  </w:num>
  <w:num w:numId="4">
    <w:abstractNumId w:val="11"/>
  </w:num>
  <w:num w:numId="5">
    <w:abstractNumId w:val="6"/>
  </w:num>
  <w:num w:numId="6">
    <w:abstractNumId w:val="7"/>
  </w:num>
  <w:num w:numId="7">
    <w:abstractNumId w:val="8"/>
  </w:num>
  <w:num w:numId="8">
    <w:abstractNumId w:val="4"/>
  </w:num>
  <w:num w:numId="9">
    <w:abstractNumId w:val="3"/>
  </w:num>
  <w:num w:numId="10">
    <w:abstractNumId w:val="0"/>
  </w:num>
  <w:num w:numId="11">
    <w:abstractNumId w:val="9"/>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06DF"/>
    <w:rsid w:val="000D5C3D"/>
    <w:rsid w:val="000E7078"/>
    <w:rsid w:val="00141139"/>
    <w:rsid w:val="001A0BAD"/>
    <w:rsid w:val="001A114D"/>
    <w:rsid w:val="001D1CDB"/>
    <w:rsid w:val="001E272A"/>
    <w:rsid w:val="00207852"/>
    <w:rsid w:val="002151DA"/>
    <w:rsid w:val="002543E0"/>
    <w:rsid w:val="002600C3"/>
    <w:rsid w:val="00321081"/>
    <w:rsid w:val="0037745A"/>
    <w:rsid w:val="003A7879"/>
    <w:rsid w:val="003D1CE0"/>
    <w:rsid w:val="004D6305"/>
    <w:rsid w:val="004F76C1"/>
    <w:rsid w:val="0050594F"/>
    <w:rsid w:val="005B020B"/>
    <w:rsid w:val="0066247F"/>
    <w:rsid w:val="00697A1E"/>
    <w:rsid w:val="006A7997"/>
    <w:rsid w:val="006F0AB2"/>
    <w:rsid w:val="007177BE"/>
    <w:rsid w:val="00724349"/>
    <w:rsid w:val="00742D07"/>
    <w:rsid w:val="007552BC"/>
    <w:rsid w:val="0078143C"/>
    <w:rsid w:val="00782E76"/>
    <w:rsid w:val="007D4CD5"/>
    <w:rsid w:val="008406DF"/>
    <w:rsid w:val="008411D0"/>
    <w:rsid w:val="008D7276"/>
    <w:rsid w:val="00991CF9"/>
    <w:rsid w:val="009A0DDC"/>
    <w:rsid w:val="00AC68AB"/>
    <w:rsid w:val="00AF7FC1"/>
    <w:rsid w:val="00B22977"/>
    <w:rsid w:val="00B54CD5"/>
    <w:rsid w:val="00CD0A9B"/>
    <w:rsid w:val="00E74441"/>
    <w:rsid w:val="00EB3F2F"/>
    <w:rsid w:val="00EC5E13"/>
    <w:rsid w:val="00EE00CE"/>
    <w:rsid w:val="00EE485C"/>
    <w:rsid w:val="00EE59D2"/>
    <w:rsid w:val="00EF37DA"/>
    <w:rsid w:val="00F76DBB"/>
    <w:rsid w:val="00FF59C5"/>
    <w:rsid w:val="01010AEE"/>
    <w:rsid w:val="010158D6"/>
    <w:rsid w:val="010540F7"/>
    <w:rsid w:val="011B0745"/>
    <w:rsid w:val="01565D4D"/>
    <w:rsid w:val="015A016E"/>
    <w:rsid w:val="015D6BAC"/>
    <w:rsid w:val="0172557B"/>
    <w:rsid w:val="017779D9"/>
    <w:rsid w:val="01874212"/>
    <w:rsid w:val="01AE3368"/>
    <w:rsid w:val="01E41B1F"/>
    <w:rsid w:val="01EC5C3E"/>
    <w:rsid w:val="01FE5971"/>
    <w:rsid w:val="02117D9A"/>
    <w:rsid w:val="021A3610"/>
    <w:rsid w:val="02367A76"/>
    <w:rsid w:val="02383CE7"/>
    <w:rsid w:val="02595322"/>
    <w:rsid w:val="025C5CB3"/>
    <w:rsid w:val="029F0F02"/>
    <w:rsid w:val="02CA22A1"/>
    <w:rsid w:val="02D647E9"/>
    <w:rsid w:val="02E61D6D"/>
    <w:rsid w:val="02F92D08"/>
    <w:rsid w:val="03001DF9"/>
    <w:rsid w:val="03085511"/>
    <w:rsid w:val="032D331F"/>
    <w:rsid w:val="036D31FB"/>
    <w:rsid w:val="037E6BB8"/>
    <w:rsid w:val="03AC207D"/>
    <w:rsid w:val="03C266D1"/>
    <w:rsid w:val="04094717"/>
    <w:rsid w:val="040D69D5"/>
    <w:rsid w:val="043E1E4C"/>
    <w:rsid w:val="048802D7"/>
    <w:rsid w:val="049A7BD3"/>
    <w:rsid w:val="04D1595C"/>
    <w:rsid w:val="05137D43"/>
    <w:rsid w:val="05310873"/>
    <w:rsid w:val="05327BA8"/>
    <w:rsid w:val="05600E1D"/>
    <w:rsid w:val="056831D8"/>
    <w:rsid w:val="056A7110"/>
    <w:rsid w:val="0576374F"/>
    <w:rsid w:val="05785C74"/>
    <w:rsid w:val="058B008A"/>
    <w:rsid w:val="05A266C9"/>
    <w:rsid w:val="05A50F26"/>
    <w:rsid w:val="05AA653C"/>
    <w:rsid w:val="05B64EE1"/>
    <w:rsid w:val="05BD626F"/>
    <w:rsid w:val="05E0766C"/>
    <w:rsid w:val="0619193C"/>
    <w:rsid w:val="062639CE"/>
    <w:rsid w:val="066B520D"/>
    <w:rsid w:val="068F128E"/>
    <w:rsid w:val="06B37672"/>
    <w:rsid w:val="06C74ECC"/>
    <w:rsid w:val="06D46A80"/>
    <w:rsid w:val="070B795F"/>
    <w:rsid w:val="07304FAA"/>
    <w:rsid w:val="077A53ED"/>
    <w:rsid w:val="07A01913"/>
    <w:rsid w:val="07E84685"/>
    <w:rsid w:val="08183C31"/>
    <w:rsid w:val="0822060B"/>
    <w:rsid w:val="082C0578"/>
    <w:rsid w:val="082F4AD6"/>
    <w:rsid w:val="083413F2"/>
    <w:rsid w:val="0864352F"/>
    <w:rsid w:val="08716E9D"/>
    <w:rsid w:val="08766CE3"/>
    <w:rsid w:val="08A84EEE"/>
    <w:rsid w:val="08B5322E"/>
    <w:rsid w:val="08B651F8"/>
    <w:rsid w:val="08DD4532"/>
    <w:rsid w:val="08E104C7"/>
    <w:rsid w:val="090E293E"/>
    <w:rsid w:val="09137F54"/>
    <w:rsid w:val="094840A2"/>
    <w:rsid w:val="09B61C0A"/>
    <w:rsid w:val="09BC4A90"/>
    <w:rsid w:val="0A1042DF"/>
    <w:rsid w:val="0A155730"/>
    <w:rsid w:val="0A1E3055"/>
    <w:rsid w:val="0A2322F4"/>
    <w:rsid w:val="0A350D23"/>
    <w:rsid w:val="0A5D1DCF"/>
    <w:rsid w:val="0A6F1B02"/>
    <w:rsid w:val="0A747118"/>
    <w:rsid w:val="0AC534D0"/>
    <w:rsid w:val="0AE95411"/>
    <w:rsid w:val="0AF63404"/>
    <w:rsid w:val="0B2F7D95"/>
    <w:rsid w:val="0B867103"/>
    <w:rsid w:val="0BA31A63"/>
    <w:rsid w:val="0BD25B76"/>
    <w:rsid w:val="0BD60DC9"/>
    <w:rsid w:val="0C040028"/>
    <w:rsid w:val="0C116BED"/>
    <w:rsid w:val="0C236700"/>
    <w:rsid w:val="0C3504B5"/>
    <w:rsid w:val="0C3C2156"/>
    <w:rsid w:val="0C436DA2"/>
    <w:rsid w:val="0C4D56A5"/>
    <w:rsid w:val="0C582D50"/>
    <w:rsid w:val="0C68717B"/>
    <w:rsid w:val="0C721436"/>
    <w:rsid w:val="0C7C4062"/>
    <w:rsid w:val="0C8E35C1"/>
    <w:rsid w:val="0CDF2F6F"/>
    <w:rsid w:val="0CE23E66"/>
    <w:rsid w:val="0D0A383C"/>
    <w:rsid w:val="0D163702"/>
    <w:rsid w:val="0D19047D"/>
    <w:rsid w:val="0D4B4161"/>
    <w:rsid w:val="0D975F08"/>
    <w:rsid w:val="0DC22523"/>
    <w:rsid w:val="0DD20D93"/>
    <w:rsid w:val="0DEF37FE"/>
    <w:rsid w:val="0E1B195D"/>
    <w:rsid w:val="0E4F0A69"/>
    <w:rsid w:val="0E52151F"/>
    <w:rsid w:val="0E6C7CDA"/>
    <w:rsid w:val="0E7771D7"/>
    <w:rsid w:val="0EA33B28"/>
    <w:rsid w:val="0EA855E3"/>
    <w:rsid w:val="0EB01450"/>
    <w:rsid w:val="0EB20B6F"/>
    <w:rsid w:val="0EC07C41"/>
    <w:rsid w:val="0F087E2F"/>
    <w:rsid w:val="0F2C6214"/>
    <w:rsid w:val="0F7C33C8"/>
    <w:rsid w:val="0F8047DE"/>
    <w:rsid w:val="0F8B2F3A"/>
    <w:rsid w:val="0FC12318"/>
    <w:rsid w:val="0FC20860"/>
    <w:rsid w:val="0FDA73F1"/>
    <w:rsid w:val="0FE6025A"/>
    <w:rsid w:val="0FF46D31"/>
    <w:rsid w:val="10120BD1"/>
    <w:rsid w:val="10207243"/>
    <w:rsid w:val="10A349F5"/>
    <w:rsid w:val="10CD2E3D"/>
    <w:rsid w:val="10D8227B"/>
    <w:rsid w:val="10FD1D28"/>
    <w:rsid w:val="11046A4D"/>
    <w:rsid w:val="110805BA"/>
    <w:rsid w:val="110A4333"/>
    <w:rsid w:val="113E4049"/>
    <w:rsid w:val="1154782E"/>
    <w:rsid w:val="115B1C24"/>
    <w:rsid w:val="11614615"/>
    <w:rsid w:val="11651A4D"/>
    <w:rsid w:val="11A26319"/>
    <w:rsid w:val="11CF505E"/>
    <w:rsid w:val="11E626AA"/>
    <w:rsid w:val="121168C8"/>
    <w:rsid w:val="122C51BD"/>
    <w:rsid w:val="12307022"/>
    <w:rsid w:val="123D4986"/>
    <w:rsid w:val="125C471A"/>
    <w:rsid w:val="12A64309"/>
    <w:rsid w:val="12CD5618"/>
    <w:rsid w:val="130A6AB8"/>
    <w:rsid w:val="130F32F3"/>
    <w:rsid w:val="13286C49"/>
    <w:rsid w:val="13390ABB"/>
    <w:rsid w:val="134E38DA"/>
    <w:rsid w:val="135574F5"/>
    <w:rsid w:val="136715C8"/>
    <w:rsid w:val="13724665"/>
    <w:rsid w:val="13805A3A"/>
    <w:rsid w:val="13C06F2A"/>
    <w:rsid w:val="13C76090"/>
    <w:rsid w:val="13F43D56"/>
    <w:rsid w:val="13F5705E"/>
    <w:rsid w:val="13FF3EF7"/>
    <w:rsid w:val="14177060"/>
    <w:rsid w:val="14223741"/>
    <w:rsid w:val="14532AEF"/>
    <w:rsid w:val="145F3E84"/>
    <w:rsid w:val="14A46193"/>
    <w:rsid w:val="14AA20B4"/>
    <w:rsid w:val="14CD4A71"/>
    <w:rsid w:val="14CF38C9"/>
    <w:rsid w:val="150F1F18"/>
    <w:rsid w:val="15126B3E"/>
    <w:rsid w:val="156A35F2"/>
    <w:rsid w:val="15836462"/>
    <w:rsid w:val="15CA22E2"/>
    <w:rsid w:val="15CE592F"/>
    <w:rsid w:val="160550C9"/>
    <w:rsid w:val="160A01D1"/>
    <w:rsid w:val="160B0931"/>
    <w:rsid w:val="16146ECF"/>
    <w:rsid w:val="161D7F04"/>
    <w:rsid w:val="163C6D3C"/>
    <w:rsid w:val="166444E5"/>
    <w:rsid w:val="1672794A"/>
    <w:rsid w:val="16825D60"/>
    <w:rsid w:val="16834DE7"/>
    <w:rsid w:val="16866209"/>
    <w:rsid w:val="169344A6"/>
    <w:rsid w:val="1694677A"/>
    <w:rsid w:val="169D663C"/>
    <w:rsid w:val="16AE5760"/>
    <w:rsid w:val="16DF6236"/>
    <w:rsid w:val="16F46EE5"/>
    <w:rsid w:val="170A0BE8"/>
    <w:rsid w:val="174F0F7F"/>
    <w:rsid w:val="175B1444"/>
    <w:rsid w:val="17602EFE"/>
    <w:rsid w:val="176C18A3"/>
    <w:rsid w:val="17793FC0"/>
    <w:rsid w:val="177C4BFE"/>
    <w:rsid w:val="17BF5E77"/>
    <w:rsid w:val="17F03571"/>
    <w:rsid w:val="1803771B"/>
    <w:rsid w:val="180B36BA"/>
    <w:rsid w:val="1812308C"/>
    <w:rsid w:val="181630EA"/>
    <w:rsid w:val="18301F1C"/>
    <w:rsid w:val="18583BD5"/>
    <w:rsid w:val="18736C61"/>
    <w:rsid w:val="187622AE"/>
    <w:rsid w:val="18A94431"/>
    <w:rsid w:val="18B64561"/>
    <w:rsid w:val="192561AE"/>
    <w:rsid w:val="19514339"/>
    <w:rsid w:val="195F60B9"/>
    <w:rsid w:val="19632832"/>
    <w:rsid w:val="196825B4"/>
    <w:rsid w:val="19951B16"/>
    <w:rsid w:val="19D43730"/>
    <w:rsid w:val="1A4172FB"/>
    <w:rsid w:val="1A4268EB"/>
    <w:rsid w:val="1A6C69E2"/>
    <w:rsid w:val="1A903AFB"/>
    <w:rsid w:val="1AA50C28"/>
    <w:rsid w:val="1AA66E7A"/>
    <w:rsid w:val="1AC16EB3"/>
    <w:rsid w:val="1AC75042"/>
    <w:rsid w:val="1ACC4407"/>
    <w:rsid w:val="1AE551BB"/>
    <w:rsid w:val="1AE66B94"/>
    <w:rsid w:val="1B043976"/>
    <w:rsid w:val="1B0E5E80"/>
    <w:rsid w:val="1B1F1731"/>
    <w:rsid w:val="1B283D33"/>
    <w:rsid w:val="1B3F107D"/>
    <w:rsid w:val="1B624E40"/>
    <w:rsid w:val="1B77495B"/>
    <w:rsid w:val="1B972C67"/>
    <w:rsid w:val="1BA93174"/>
    <w:rsid w:val="1BB0015F"/>
    <w:rsid w:val="1BBF1A1F"/>
    <w:rsid w:val="1BDC7A5D"/>
    <w:rsid w:val="1C006A5E"/>
    <w:rsid w:val="1C145E41"/>
    <w:rsid w:val="1C316C17"/>
    <w:rsid w:val="1C5D17BA"/>
    <w:rsid w:val="1C6505AF"/>
    <w:rsid w:val="1C694A85"/>
    <w:rsid w:val="1C744D56"/>
    <w:rsid w:val="1C7B0660"/>
    <w:rsid w:val="1C847229"/>
    <w:rsid w:val="1CC932F4"/>
    <w:rsid w:val="1D055FB0"/>
    <w:rsid w:val="1D181B85"/>
    <w:rsid w:val="1D3F6A19"/>
    <w:rsid w:val="1D706292"/>
    <w:rsid w:val="1D7F230D"/>
    <w:rsid w:val="1DA512DF"/>
    <w:rsid w:val="1DDB565E"/>
    <w:rsid w:val="1DE25359"/>
    <w:rsid w:val="1DFE6FCD"/>
    <w:rsid w:val="1E0A2C36"/>
    <w:rsid w:val="1E113148"/>
    <w:rsid w:val="1E2E4331"/>
    <w:rsid w:val="1E5B4D81"/>
    <w:rsid w:val="1EE47F8F"/>
    <w:rsid w:val="1EE85BE4"/>
    <w:rsid w:val="1EF1268E"/>
    <w:rsid w:val="1EFD7285"/>
    <w:rsid w:val="1F3321C3"/>
    <w:rsid w:val="1F4630C6"/>
    <w:rsid w:val="1F5F5356"/>
    <w:rsid w:val="1F6C3E55"/>
    <w:rsid w:val="1F6E3CDF"/>
    <w:rsid w:val="1FD17E59"/>
    <w:rsid w:val="1FDC0A28"/>
    <w:rsid w:val="1FE12702"/>
    <w:rsid w:val="1FEC0E41"/>
    <w:rsid w:val="1FEC17D3"/>
    <w:rsid w:val="20393367"/>
    <w:rsid w:val="203C5A02"/>
    <w:rsid w:val="20531852"/>
    <w:rsid w:val="206A0E38"/>
    <w:rsid w:val="20855784"/>
    <w:rsid w:val="20962FD5"/>
    <w:rsid w:val="20CA3197"/>
    <w:rsid w:val="20D01F6D"/>
    <w:rsid w:val="20D44015"/>
    <w:rsid w:val="20DD5930"/>
    <w:rsid w:val="20EE157B"/>
    <w:rsid w:val="20FF1092"/>
    <w:rsid w:val="21004E0A"/>
    <w:rsid w:val="210B5C89"/>
    <w:rsid w:val="212E5E1B"/>
    <w:rsid w:val="21377492"/>
    <w:rsid w:val="213F3B84"/>
    <w:rsid w:val="214340A2"/>
    <w:rsid w:val="216E4553"/>
    <w:rsid w:val="21C97F2F"/>
    <w:rsid w:val="21DB4A3C"/>
    <w:rsid w:val="21E92244"/>
    <w:rsid w:val="21F40AF0"/>
    <w:rsid w:val="22036DC5"/>
    <w:rsid w:val="220E5AF5"/>
    <w:rsid w:val="22274D44"/>
    <w:rsid w:val="222B5EB7"/>
    <w:rsid w:val="223876B6"/>
    <w:rsid w:val="22667CBE"/>
    <w:rsid w:val="227B6E3E"/>
    <w:rsid w:val="22837AA1"/>
    <w:rsid w:val="228A0E2F"/>
    <w:rsid w:val="228D6B72"/>
    <w:rsid w:val="229677D4"/>
    <w:rsid w:val="22BD7457"/>
    <w:rsid w:val="22CD7E0E"/>
    <w:rsid w:val="22DC0D0D"/>
    <w:rsid w:val="23285C68"/>
    <w:rsid w:val="232E062B"/>
    <w:rsid w:val="232E56F6"/>
    <w:rsid w:val="2355143D"/>
    <w:rsid w:val="237B69CA"/>
    <w:rsid w:val="238166D6"/>
    <w:rsid w:val="23860994"/>
    <w:rsid w:val="23957A8C"/>
    <w:rsid w:val="239A7798"/>
    <w:rsid w:val="23C75FCD"/>
    <w:rsid w:val="23D5257E"/>
    <w:rsid w:val="242332EA"/>
    <w:rsid w:val="242A0B1C"/>
    <w:rsid w:val="24376D95"/>
    <w:rsid w:val="2438765C"/>
    <w:rsid w:val="246F1DB3"/>
    <w:rsid w:val="24D85F80"/>
    <w:rsid w:val="253432D4"/>
    <w:rsid w:val="25373AE1"/>
    <w:rsid w:val="258561BD"/>
    <w:rsid w:val="258C3BBB"/>
    <w:rsid w:val="25956469"/>
    <w:rsid w:val="25C414C9"/>
    <w:rsid w:val="25EB7E37"/>
    <w:rsid w:val="26567509"/>
    <w:rsid w:val="26C74473"/>
    <w:rsid w:val="26E01966"/>
    <w:rsid w:val="27286E69"/>
    <w:rsid w:val="272F01F7"/>
    <w:rsid w:val="27A73E71"/>
    <w:rsid w:val="27AA6CC8"/>
    <w:rsid w:val="27D25F92"/>
    <w:rsid w:val="27EC60E8"/>
    <w:rsid w:val="281D097B"/>
    <w:rsid w:val="28471393"/>
    <w:rsid w:val="28732366"/>
    <w:rsid w:val="2877396A"/>
    <w:rsid w:val="287E4F92"/>
    <w:rsid w:val="28CB3F50"/>
    <w:rsid w:val="28E82D54"/>
    <w:rsid w:val="28EA086E"/>
    <w:rsid w:val="290E511A"/>
    <w:rsid w:val="291B46D5"/>
    <w:rsid w:val="292D0766"/>
    <w:rsid w:val="2946266B"/>
    <w:rsid w:val="29791BFE"/>
    <w:rsid w:val="297D16EE"/>
    <w:rsid w:val="29954C89"/>
    <w:rsid w:val="299D58EC"/>
    <w:rsid w:val="29D900A9"/>
    <w:rsid w:val="29FF65A7"/>
    <w:rsid w:val="2A09503E"/>
    <w:rsid w:val="2A27165A"/>
    <w:rsid w:val="2A3E70CF"/>
    <w:rsid w:val="2A554B8C"/>
    <w:rsid w:val="2A9C2048"/>
    <w:rsid w:val="2B035C23"/>
    <w:rsid w:val="2B1C4F36"/>
    <w:rsid w:val="2B4029D3"/>
    <w:rsid w:val="2B512E32"/>
    <w:rsid w:val="2BD3716A"/>
    <w:rsid w:val="2C6A62C8"/>
    <w:rsid w:val="2C866B0B"/>
    <w:rsid w:val="2CA51DC6"/>
    <w:rsid w:val="2CAB47C4"/>
    <w:rsid w:val="2CBF274A"/>
    <w:rsid w:val="2CBF5B79"/>
    <w:rsid w:val="2CFE48F4"/>
    <w:rsid w:val="2D533957"/>
    <w:rsid w:val="2D546C0A"/>
    <w:rsid w:val="2DB34FC9"/>
    <w:rsid w:val="2DC62A23"/>
    <w:rsid w:val="2DCF4E69"/>
    <w:rsid w:val="2DD9710F"/>
    <w:rsid w:val="2DE232B1"/>
    <w:rsid w:val="2DF950BB"/>
    <w:rsid w:val="2E287D37"/>
    <w:rsid w:val="2E334E31"/>
    <w:rsid w:val="2E424CB4"/>
    <w:rsid w:val="2E67296D"/>
    <w:rsid w:val="2E813A2E"/>
    <w:rsid w:val="2E9D1A0C"/>
    <w:rsid w:val="2EB20408"/>
    <w:rsid w:val="2EB86AFF"/>
    <w:rsid w:val="2ECA3572"/>
    <w:rsid w:val="2ED51684"/>
    <w:rsid w:val="2EE93382"/>
    <w:rsid w:val="2F06773C"/>
    <w:rsid w:val="2F254D83"/>
    <w:rsid w:val="2F416D1A"/>
    <w:rsid w:val="2F7C1F0D"/>
    <w:rsid w:val="2FDC6A42"/>
    <w:rsid w:val="2FF67B04"/>
    <w:rsid w:val="30191A45"/>
    <w:rsid w:val="30274F30"/>
    <w:rsid w:val="302911CE"/>
    <w:rsid w:val="303A0CA6"/>
    <w:rsid w:val="3041515F"/>
    <w:rsid w:val="30683C8B"/>
    <w:rsid w:val="30716B1B"/>
    <w:rsid w:val="30AC4667"/>
    <w:rsid w:val="30DD0CC4"/>
    <w:rsid w:val="30E97669"/>
    <w:rsid w:val="30F83ACC"/>
    <w:rsid w:val="310A7EE2"/>
    <w:rsid w:val="31193A54"/>
    <w:rsid w:val="313E79B5"/>
    <w:rsid w:val="314D0CC2"/>
    <w:rsid w:val="31545BC2"/>
    <w:rsid w:val="315F59BF"/>
    <w:rsid w:val="316E0FC0"/>
    <w:rsid w:val="3186135C"/>
    <w:rsid w:val="319B18F1"/>
    <w:rsid w:val="31BA266A"/>
    <w:rsid w:val="320A1CA1"/>
    <w:rsid w:val="32146967"/>
    <w:rsid w:val="32496611"/>
    <w:rsid w:val="32867865"/>
    <w:rsid w:val="328B113D"/>
    <w:rsid w:val="329E432A"/>
    <w:rsid w:val="32AC3044"/>
    <w:rsid w:val="32B141B6"/>
    <w:rsid w:val="32C128BF"/>
    <w:rsid w:val="32CF3C28"/>
    <w:rsid w:val="32F30FDE"/>
    <w:rsid w:val="32F97E02"/>
    <w:rsid w:val="331A77E4"/>
    <w:rsid w:val="331F7372"/>
    <w:rsid w:val="336245E7"/>
    <w:rsid w:val="339064C2"/>
    <w:rsid w:val="33941B0E"/>
    <w:rsid w:val="33B52B2A"/>
    <w:rsid w:val="33BC09FF"/>
    <w:rsid w:val="33C87A09"/>
    <w:rsid w:val="33D77C4D"/>
    <w:rsid w:val="341E263A"/>
    <w:rsid w:val="342310E4"/>
    <w:rsid w:val="342B04AD"/>
    <w:rsid w:val="346D2A0F"/>
    <w:rsid w:val="34842DE4"/>
    <w:rsid w:val="3488405D"/>
    <w:rsid w:val="348C6C89"/>
    <w:rsid w:val="34B166F0"/>
    <w:rsid w:val="34CC177B"/>
    <w:rsid w:val="34E82FA8"/>
    <w:rsid w:val="34EA76DE"/>
    <w:rsid w:val="35017E15"/>
    <w:rsid w:val="35040F15"/>
    <w:rsid w:val="353335A8"/>
    <w:rsid w:val="35484615"/>
    <w:rsid w:val="355157DD"/>
    <w:rsid w:val="357C6CFE"/>
    <w:rsid w:val="357F5E30"/>
    <w:rsid w:val="35973CF8"/>
    <w:rsid w:val="35A16764"/>
    <w:rsid w:val="35AE3ACA"/>
    <w:rsid w:val="35BC359E"/>
    <w:rsid w:val="35BE7497"/>
    <w:rsid w:val="35D07F22"/>
    <w:rsid w:val="35E746B4"/>
    <w:rsid w:val="360A60B7"/>
    <w:rsid w:val="36133197"/>
    <w:rsid w:val="36140CE4"/>
    <w:rsid w:val="362865D3"/>
    <w:rsid w:val="36592A97"/>
    <w:rsid w:val="365E2564"/>
    <w:rsid w:val="36A007CA"/>
    <w:rsid w:val="36A04C6E"/>
    <w:rsid w:val="36BF0C62"/>
    <w:rsid w:val="36E27034"/>
    <w:rsid w:val="36E903C3"/>
    <w:rsid w:val="36F12692"/>
    <w:rsid w:val="37313B18"/>
    <w:rsid w:val="373A29CC"/>
    <w:rsid w:val="376D0FF4"/>
    <w:rsid w:val="37790C78"/>
    <w:rsid w:val="37812379"/>
    <w:rsid w:val="378679C0"/>
    <w:rsid w:val="379E3E06"/>
    <w:rsid w:val="37DA7D0B"/>
    <w:rsid w:val="37FE39FA"/>
    <w:rsid w:val="3837515E"/>
    <w:rsid w:val="386E3D1F"/>
    <w:rsid w:val="38A239D2"/>
    <w:rsid w:val="38A87E0A"/>
    <w:rsid w:val="38D40BFF"/>
    <w:rsid w:val="390436A9"/>
    <w:rsid w:val="3905700A"/>
    <w:rsid w:val="390827EA"/>
    <w:rsid w:val="392751D2"/>
    <w:rsid w:val="392B58F2"/>
    <w:rsid w:val="3951224F"/>
    <w:rsid w:val="396957EB"/>
    <w:rsid w:val="39897A4F"/>
    <w:rsid w:val="3995038E"/>
    <w:rsid w:val="39A348DA"/>
    <w:rsid w:val="39FE5653"/>
    <w:rsid w:val="3A0B4AF4"/>
    <w:rsid w:val="3A13103F"/>
    <w:rsid w:val="3A1F5EA9"/>
    <w:rsid w:val="3A2B16AE"/>
    <w:rsid w:val="3A2D7E2B"/>
    <w:rsid w:val="3A3A2CE3"/>
    <w:rsid w:val="3A4154E8"/>
    <w:rsid w:val="3A4E5ED7"/>
    <w:rsid w:val="3A52002D"/>
    <w:rsid w:val="3A5244D1"/>
    <w:rsid w:val="3A691566"/>
    <w:rsid w:val="3A804519"/>
    <w:rsid w:val="3A8300F1"/>
    <w:rsid w:val="3AB40CE8"/>
    <w:rsid w:val="3B054E18"/>
    <w:rsid w:val="3B1479D8"/>
    <w:rsid w:val="3B18527C"/>
    <w:rsid w:val="3B1B6E04"/>
    <w:rsid w:val="3B4C7172"/>
    <w:rsid w:val="3B846DD5"/>
    <w:rsid w:val="3BA1126C"/>
    <w:rsid w:val="3BB858DE"/>
    <w:rsid w:val="3BD322AF"/>
    <w:rsid w:val="3C4A3258"/>
    <w:rsid w:val="3C4D0969"/>
    <w:rsid w:val="3C601127"/>
    <w:rsid w:val="3C83241C"/>
    <w:rsid w:val="3CB708C4"/>
    <w:rsid w:val="3CBB635D"/>
    <w:rsid w:val="3CCA49C6"/>
    <w:rsid w:val="3CDB16D2"/>
    <w:rsid w:val="3D007E34"/>
    <w:rsid w:val="3D125759"/>
    <w:rsid w:val="3D41049D"/>
    <w:rsid w:val="3D694A1F"/>
    <w:rsid w:val="3D6C10B3"/>
    <w:rsid w:val="3D713A67"/>
    <w:rsid w:val="3D7824A0"/>
    <w:rsid w:val="3D89020A"/>
    <w:rsid w:val="3D8F0A75"/>
    <w:rsid w:val="3DA31D4B"/>
    <w:rsid w:val="3DBD6105"/>
    <w:rsid w:val="3DFB09DB"/>
    <w:rsid w:val="3E014244"/>
    <w:rsid w:val="3E6A7C28"/>
    <w:rsid w:val="3E703177"/>
    <w:rsid w:val="3E716647"/>
    <w:rsid w:val="3E774506"/>
    <w:rsid w:val="3EA85C6E"/>
    <w:rsid w:val="3F226016"/>
    <w:rsid w:val="3F40171D"/>
    <w:rsid w:val="3F5E56C6"/>
    <w:rsid w:val="3F72393F"/>
    <w:rsid w:val="3F7933ED"/>
    <w:rsid w:val="3F861E85"/>
    <w:rsid w:val="3F88629F"/>
    <w:rsid w:val="3F9C0C0E"/>
    <w:rsid w:val="3FA73C06"/>
    <w:rsid w:val="3FAD7FFA"/>
    <w:rsid w:val="3FC26FB4"/>
    <w:rsid w:val="3FFF4431"/>
    <w:rsid w:val="404D5F3C"/>
    <w:rsid w:val="404E1296"/>
    <w:rsid w:val="405215CC"/>
    <w:rsid w:val="4065258E"/>
    <w:rsid w:val="409C742E"/>
    <w:rsid w:val="40AE7F87"/>
    <w:rsid w:val="40E72B0C"/>
    <w:rsid w:val="411257E8"/>
    <w:rsid w:val="41362456"/>
    <w:rsid w:val="414172BF"/>
    <w:rsid w:val="41B25855"/>
    <w:rsid w:val="41B475E0"/>
    <w:rsid w:val="41D103D1"/>
    <w:rsid w:val="41E41EB2"/>
    <w:rsid w:val="420E6F2F"/>
    <w:rsid w:val="42280D92"/>
    <w:rsid w:val="425D392C"/>
    <w:rsid w:val="425E2DCE"/>
    <w:rsid w:val="42693067"/>
    <w:rsid w:val="42756FAE"/>
    <w:rsid w:val="42997141"/>
    <w:rsid w:val="429A6A15"/>
    <w:rsid w:val="429C5115"/>
    <w:rsid w:val="429F6DD1"/>
    <w:rsid w:val="42AB29D0"/>
    <w:rsid w:val="42B75819"/>
    <w:rsid w:val="430A3B9B"/>
    <w:rsid w:val="4344430F"/>
    <w:rsid w:val="434846C3"/>
    <w:rsid w:val="43947908"/>
    <w:rsid w:val="43A448FF"/>
    <w:rsid w:val="43A55671"/>
    <w:rsid w:val="43CD6976"/>
    <w:rsid w:val="43DF6FFD"/>
    <w:rsid w:val="44000AFA"/>
    <w:rsid w:val="44102666"/>
    <w:rsid w:val="441173C2"/>
    <w:rsid w:val="443D1D4E"/>
    <w:rsid w:val="44496945"/>
    <w:rsid w:val="44597F42"/>
    <w:rsid w:val="445A46AE"/>
    <w:rsid w:val="446C4F09"/>
    <w:rsid w:val="44930287"/>
    <w:rsid w:val="44AB4F09"/>
    <w:rsid w:val="44B518E4"/>
    <w:rsid w:val="44B71B00"/>
    <w:rsid w:val="44EE129A"/>
    <w:rsid w:val="44F51A20"/>
    <w:rsid w:val="44FF0DB1"/>
    <w:rsid w:val="44FF140C"/>
    <w:rsid w:val="45352A25"/>
    <w:rsid w:val="453A628D"/>
    <w:rsid w:val="454F1EDE"/>
    <w:rsid w:val="45637592"/>
    <w:rsid w:val="45717F01"/>
    <w:rsid w:val="457C0654"/>
    <w:rsid w:val="45813EBC"/>
    <w:rsid w:val="459E05CA"/>
    <w:rsid w:val="45C91337"/>
    <w:rsid w:val="45CF3374"/>
    <w:rsid w:val="45F34DBA"/>
    <w:rsid w:val="45F80523"/>
    <w:rsid w:val="46133710"/>
    <w:rsid w:val="46333408"/>
    <w:rsid w:val="464E3D9E"/>
    <w:rsid w:val="466C3AC7"/>
    <w:rsid w:val="46780E1B"/>
    <w:rsid w:val="469D194F"/>
    <w:rsid w:val="46C56C10"/>
    <w:rsid w:val="46FC37FA"/>
    <w:rsid w:val="470B28B4"/>
    <w:rsid w:val="471F398D"/>
    <w:rsid w:val="47235B1B"/>
    <w:rsid w:val="474F1649"/>
    <w:rsid w:val="475F022D"/>
    <w:rsid w:val="477041E8"/>
    <w:rsid w:val="47A95CB0"/>
    <w:rsid w:val="47DB5B06"/>
    <w:rsid w:val="48063718"/>
    <w:rsid w:val="48110D9B"/>
    <w:rsid w:val="4860425D"/>
    <w:rsid w:val="48643D4D"/>
    <w:rsid w:val="48974234"/>
    <w:rsid w:val="48B620CF"/>
    <w:rsid w:val="48BA71A8"/>
    <w:rsid w:val="48CF0379"/>
    <w:rsid w:val="49092A56"/>
    <w:rsid w:val="49312711"/>
    <w:rsid w:val="496C250A"/>
    <w:rsid w:val="498F4DFA"/>
    <w:rsid w:val="49AC377C"/>
    <w:rsid w:val="49AC575D"/>
    <w:rsid w:val="49B128B8"/>
    <w:rsid w:val="49B760FE"/>
    <w:rsid w:val="49BC684D"/>
    <w:rsid w:val="49D84A41"/>
    <w:rsid w:val="49D96075"/>
    <w:rsid w:val="49E01EC2"/>
    <w:rsid w:val="49E43FAC"/>
    <w:rsid w:val="49E60792"/>
    <w:rsid w:val="49FC7FB5"/>
    <w:rsid w:val="4A2275DD"/>
    <w:rsid w:val="4A3640A9"/>
    <w:rsid w:val="4A3B288C"/>
    <w:rsid w:val="4A4D0811"/>
    <w:rsid w:val="4A691D88"/>
    <w:rsid w:val="4A7C3C12"/>
    <w:rsid w:val="4AE449D4"/>
    <w:rsid w:val="4AE44CD1"/>
    <w:rsid w:val="4AF64A04"/>
    <w:rsid w:val="4B2C5BF8"/>
    <w:rsid w:val="4B58121B"/>
    <w:rsid w:val="4B693428"/>
    <w:rsid w:val="4B867A5E"/>
    <w:rsid w:val="4B893ACB"/>
    <w:rsid w:val="4BB075EA"/>
    <w:rsid w:val="4BB23021"/>
    <w:rsid w:val="4BD71484"/>
    <w:rsid w:val="4C030A03"/>
    <w:rsid w:val="4C261319"/>
    <w:rsid w:val="4C43011D"/>
    <w:rsid w:val="4C9269AF"/>
    <w:rsid w:val="4C9B5863"/>
    <w:rsid w:val="4CCD0D31"/>
    <w:rsid w:val="4CDC1A14"/>
    <w:rsid w:val="4CF11FB6"/>
    <w:rsid w:val="4CFF2296"/>
    <w:rsid w:val="4D111E04"/>
    <w:rsid w:val="4D1723B2"/>
    <w:rsid w:val="4D215B05"/>
    <w:rsid w:val="4D296F6D"/>
    <w:rsid w:val="4D6F7381"/>
    <w:rsid w:val="4D907392"/>
    <w:rsid w:val="4D986247"/>
    <w:rsid w:val="4DA44F26"/>
    <w:rsid w:val="4DD728CB"/>
    <w:rsid w:val="4DE1199C"/>
    <w:rsid w:val="4DE35714"/>
    <w:rsid w:val="4E0346AB"/>
    <w:rsid w:val="4E492E39"/>
    <w:rsid w:val="4E5258FB"/>
    <w:rsid w:val="4E5959D6"/>
    <w:rsid w:val="4E7C16C5"/>
    <w:rsid w:val="4E966483"/>
    <w:rsid w:val="4E9E5ADF"/>
    <w:rsid w:val="4EB65AC3"/>
    <w:rsid w:val="4EBA5EDB"/>
    <w:rsid w:val="4EBE3A8B"/>
    <w:rsid w:val="4EC07B5F"/>
    <w:rsid w:val="4EC63D8E"/>
    <w:rsid w:val="4EC70EED"/>
    <w:rsid w:val="4F030CB8"/>
    <w:rsid w:val="4F35568B"/>
    <w:rsid w:val="4F3643FF"/>
    <w:rsid w:val="4F524742"/>
    <w:rsid w:val="4F5A37B4"/>
    <w:rsid w:val="4F64354D"/>
    <w:rsid w:val="4F661D46"/>
    <w:rsid w:val="4F8472FE"/>
    <w:rsid w:val="4F9C3DCC"/>
    <w:rsid w:val="4FA709C3"/>
    <w:rsid w:val="4FF27E90"/>
    <w:rsid w:val="4FF5172F"/>
    <w:rsid w:val="503E30D6"/>
    <w:rsid w:val="504A7CCC"/>
    <w:rsid w:val="504B75A0"/>
    <w:rsid w:val="50681F00"/>
    <w:rsid w:val="50740CF9"/>
    <w:rsid w:val="50AA42C7"/>
    <w:rsid w:val="50B94618"/>
    <w:rsid w:val="50C01D3C"/>
    <w:rsid w:val="50C652F5"/>
    <w:rsid w:val="50DC291C"/>
    <w:rsid w:val="50EA65AA"/>
    <w:rsid w:val="50ED2406"/>
    <w:rsid w:val="510B5C3F"/>
    <w:rsid w:val="5117075C"/>
    <w:rsid w:val="513756A7"/>
    <w:rsid w:val="51385D77"/>
    <w:rsid w:val="516E1798"/>
    <w:rsid w:val="517F5754"/>
    <w:rsid w:val="519228EA"/>
    <w:rsid w:val="51A72EFC"/>
    <w:rsid w:val="51CC5C50"/>
    <w:rsid w:val="51EA5E37"/>
    <w:rsid w:val="52007CE1"/>
    <w:rsid w:val="520E65E0"/>
    <w:rsid w:val="521739B2"/>
    <w:rsid w:val="52214A5D"/>
    <w:rsid w:val="522B768A"/>
    <w:rsid w:val="5233060B"/>
    <w:rsid w:val="524644C3"/>
    <w:rsid w:val="524F6925"/>
    <w:rsid w:val="52533BAB"/>
    <w:rsid w:val="528B637A"/>
    <w:rsid w:val="529A65BD"/>
    <w:rsid w:val="52A5743C"/>
    <w:rsid w:val="52AA2CA4"/>
    <w:rsid w:val="52BE405A"/>
    <w:rsid w:val="52C2705F"/>
    <w:rsid w:val="52CA425E"/>
    <w:rsid w:val="5322283B"/>
    <w:rsid w:val="53713112"/>
    <w:rsid w:val="53816DEA"/>
    <w:rsid w:val="53D37FD9"/>
    <w:rsid w:val="53DF072C"/>
    <w:rsid w:val="53FD0BB2"/>
    <w:rsid w:val="541F4FCC"/>
    <w:rsid w:val="54881046"/>
    <w:rsid w:val="54C91036"/>
    <w:rsid w:val="54CD2C7A"/>
    <w:rsid w:val="54F16968"/>
    <w:rsid w:val="5540169E"/>
    <w:rsid w:val="556F1F83"/>
    <w:rsid w:val="557241A4"/>
    <w:rsid w:val="55B47996"/>
    <w:rsid w:val="55E7748B"/>
    <w:rsid w:val="560D19EA"/>
    <w:rsid w:val="562615EB"/>
    <w:rsid w:val="5630526E"/>
    <w:rsid w:val="56835CE6"/>
    <w:rsid w:val="56B0015D"/>
    <w:rsid w:val="56BA0FDC"/>
    <w:rsid w:val="56E2080F"/>
    <w:rsid w:val="56E60DBD"/>
    <w:rsid w:val="57284198"/>
    <w:rsid w:val="57294317"/>
    <w:rsid w:val="573E1C0D"/>
    <w:rsid w:val="57430FD1"/>
    <w:rsid w:val="57844782"/>
    <w:rsid w:val="57932B88"/>
    <w:rsid w:val="579560FB"/>
    <w:rsid w:val="57A4042E"/>
    <w:rsid w:val="57B13C22"/>
    <w:rsid w:val="57B679F5"/>
    <w:rsid w:val="57C2283E"/>
    <w:rsid w:val="5820534E"/>
    <w:rsid w:val="587479EC"/>
    <w:rsid w:val="58775D4B"/>
    <w:rsid w:val="58B008E9"/>
    <w:rsid w:val="58B2640F"/>
    <w:rsid w:val="58C075C0"/>
    <w:rsid w:val="58D740C7"/>
    <w:rsid w:val="58D8399B"/>
    <w:rsid w:val="58DE337E"/>
    <w:rsid w:val="58ED7447"/>
    <w:rsid w:val="59151E1A"/>
    <w:rsid w:val="591A69E0"/>
    <w:rsid w:val="596A75AC"/>
    <w:rsid w:val="596F60AE"/>
    <w:rsid w:val="5979517E"/>
    <w:rsid w:val="5A0031AA"/>
    <w:rsid w:val="5A040EEC"/>
    <w:rsid w:val="5A0D37E5"/>
    <w:rsid w:val="5A13386E"/>
    <w:rsid w:val="5A221372"/>
    <w:rsid w:val="5A3B0850"/>
    <w:rsid w:val="5A4572F0"/>
    <w:rsid w:val="5A4B613A"/>
    <w:rsid w:val="5A6D2D52"/>
    <w:rsid w:val="5A776550"/>
    <w:rsid w:val="5A933A63"/>
    <w:rsid w:val="5AB32912"/>
    <w:rsid w:val="5AD004B8"/>
    <w:rsid w:val="5B280C0A"/>
    <w:rsid w:val="5B2A0A85"/>
    <w:rsid w:val="5B37709F"/>
    <w:rsid w:val="5BFB734B"/>
    <w:rsid w:val="5C1B68C0"/>
    <w:rsid w:val="5C4C0928"/>
    <w:rsid w:val="5C7A6342"/>
    <w:rsid w:val="5CB55302"/>
    <w:rsid w:val="5CFA65D6"/>
    <w:rsid w:val="5D0D455B"/>
    <w:rsid w:val="5D443CF5"/>
    <w:rsid w:val="5D694E3D"/>
    <w:rsid w:val="5D931FA8"/>
    <w:rsid w:val="5DA94E5F"/>
    <w:rsid w:val="5DCD5A99"/>
    <w:rsid w:val="5DFD637E"/>
    <w:rsid w:val="5E180BAB"/>
    <w:rsid w:val="5E192E87"/>
    <w:rsid w:val="5E224037"/>
    <w:rsid w:val="5E35661C"/>
    <w:rsid w:val="5E4A533B"/>
    <w:rsid w:val="5E5E2B95"/>
    <w:rsid w:val="5E7D301B"/>
    <w:rsid w:val="5EAC3900"/>
    <w:rsid w:val="5ED85D88"/>
    <w:rsid w:val="5EDA5695"/>
    <w:rsid w:val="5EE0025B"/>
    <w:rsid w:val="5F2B57AF"/>
    <w:rsid w:val="5F622211"/>
    <w:rsid w:val="5F6D7533"/>
    <w:rsid w:val="5F760AD8"/>
    <w:rsid w:val="5FA51A59"/>
    <w:rsid w:val="5FF95FF1"/>
    <w:rsid w:val="60140305"/>
    <w:rsid w:val="603F3417"/>
    <w:rsid w:val="60583E59"/>
    <w:rsid w:val="60593614"/>
    <w:rsid w:val="605F4F3F"/>
    <w:rsid w:val="6065020A"/>
    <w:rsid w:val="606E3563"/>
    <w:rsid w:val="60792A09"/>
    <w:rsid w:val="608C09CC"/>
    <w:rsid w:val="60965F69"/>
    <w:rsid w:val="60AF4C11"/>
    <w:rsid w:val="60BA0556"/>
    <w:rsid w:val="60D40EEC"/>
    <w:rsid w:val="60DC2E87"/>
    <w:rsid w:val="610619ED"/>
    <w:rsid w:val="610C3E53"/>
    <w:rsid w:val="611A0FF5"/>
    <w:rsid w:val="612956DC"/>
    <w:rsid w:val="6138092A"/>
    <w:rsid w:val="61581B1D"/>
    <w:rsid w:val="61647159"/>
    <w:rsid w:val="6170330B"/>
    <w:rsid w:val="617C580C"/>
    <w:rsid w:val="61812833"/>
    <w:rsid w:val="618C33ED"/>
    <w:rsid w:val="618D5C6B"/>
    <w:rsid w:val="6190493F"/>
    <w:rsid w:val="619C1A0A"/>
    <w:rsid w:val="61C45B06"/>
    <w:rsid w:val="61D90EB0"/>
    <w:rsid w:val="61E82D68"/>
    <w:rsid w:val="61EB1FBA"/>
    <w:rsid w:val="62080784"/>
    <w:rsid w:val="62157A0E"/>
    <w:rsid w:val="62326812"/>
    <w:rsid w:val="6247406C"/>
    <w:rsid w:val="629775DB"/>
    <w:rsid w:val="62A6057B"/>
    <w:rsid w:val="62F67BFF"/>
    <w:rsid w:val="62F835B8"/>
    <w:rsid w:val="63084640"/>
    <w:rsid w:val="63121C38"/>
    <w:rsid w:val="63155F18"/>
    <w:rsid w:val="633A6324"/>
    <w:rsid w:val="636447A9"/>
    <w:rsid w:val="639D5F0D"/>
    <w:rsid w:val="63AB2A01"/>
    <w:rsid w:val="63C416EC"/>
    <w:rsid w:val="63C67212"/>
    <w:rsid w:val="63CF4368"/>
    <w:rsid w:val="63F64E5D"/>
    <w:rsid w:val="64115F2A"/>
    <w:rsid w:val="6413668F"/>
    <w:rsid w:val="641F59D5"/>
    <w:rsid w:val="642D340C"/>
    <w:rsid w:val="64331347"/>
    <w:rsid w:val="65032DF9"/>
    <w:rsid w:val="65035273"/>
    <w:rsid w:val="655B75DA"/>
    <w:rsid w:val="659A0956"/>
    <w:rsid w:val="65A32D84"/>
    <w:rsid w:val="65A90B99"/>
    <w:rsid w:val="65B200C0"/>
    <w:rsid w:val="65C71020"/>
    <w:rsid w:val="660B69CC"/>
    <w:rsid w:val="6613081C"/>
    <w:rsid w:val="662E11AD"/>
    <w:rsid w:val="66513A5B"/>
    <w:rsid w:val="665705F5"/>
    <w:rsid w:val="6657748D"/>
    <w:rsid w:val="665B18B0"/>
    <w:rsid w:val="66CD1BEA"/>
    <w:rsid w:val="66F73715"/>
    <w:rsid w:val="67050051"/>
    <w:rsid w:val="67053E67"/>
    <w:rsid w:val="67274411"/>
    <w:rsid w:val="672A5D0A"/>
    <w:rsid w:val="675A3C17"/>
    <w:rsid w:val="67F24A7A"/>
    <w:rsid w:val="68365553"/>
    <w:rsid w:val="684C5481"/>
    <w:rsid w:val="686700D0"/>
    <w:rsid w:val="6871597E"/>
    <w:rsid w:val="689C227A"/>
    <w:rsid w:val="689C52CA"/>
    <w:rsid w:val="68AF64C7"/>
    <w:rsid w:val="68B0223F"/>
    <w:rsid w:val="68BE670A"/>
    <w:rsid w:val="68E048D2"/>
    <w:rsid w:val="68EB66C8"/>
    <w:rsid w:val="68F04A29"/>
    <w:rsid w:val="69124F60"/>
    <w:rsid w:val="696F5C56"/>
    <w:rsid w:val="698A17B8"/>
    <w:rsid w:val="699F22BF"/>
    <w:rsid w:val="69B76B81"/>
    <w:rsid w:val="69C274C7"/>
    <w:rsid w:val="69C75A92"/>
    <w:rsid w:val="69D4450C"/>
    <w:rsid w:val="6A10568B"/>
    <w:rsid w:val="6A1B4A9D"/>
    <w:rsid w:val="6A2151A2"/>
    <w:rsid w:val="6A4F12CD"/>
    <w:rsid w:val="6A8C1AAA"/>
    <w:rsid w:val="6AA54025"/>
    <w:rsid w:val="6AB63CF0"/>
    <w:rsid w:val="6AB96EF2"/>
    <w:rsid w:val="6AC41FD2"/>
    <w:rsid w:val="6AD06BC8"/>
    <w:rsid w:val="6ADE7537"/>
    <w:rsid w:val="6AEF58E5"/>
    <w:rsid w:val="6AF47B4D"/>
    <w:rsid w:val="6AF844D3"/>
    <w:rsid w:val="6B1D005F"/>
    <w:rsid w:val="6B2421BE"/>
    <w:rsid w:val="6B7834E8"/>
    <w:rsid w:val="6B7B2FD8"/>
    <w:rsid w:val="6B970B39"/>
    <w:rsid w:val="6BA00185"/>
    <w:rsid w:val="6BC24763"/>
    <w:rsid w:val="6BC350F9"/>
    <w:rsid w:val="6C07486C"/>
    <w:rsid w:val="6C1C27D3"/>
    <w:rsid w:val="6C445178"/>
    <w:rsid w:val="6C450EF0"/>
    <w:rsid w:val="6C53360D"/>
    <w:rsid w:val="6C705F6D"/>
    <w:rsid w:val="6C733CAF"/>
    <w:rsid w:val="6C835B15"/>
    <w:rsid w:val="6C9C4FB4"/>
    <w:rsid w:val="6CC343DE"/>
    <w:rsid w:val="6CCC22C8"/>
    <w:rsid w:val="6CE16E6B"/>
    <w:rsid w:val="6D3F1E8F"/>
    <w:rsid w:val="6D463172"/>
    <w:rsid w:val="6D56641F"/>
    <w:rsid w:val="6D68758C"/>
    <w:rsid w:val="6D7478EE"/>
    <w:rsid w:val="6D9F30B0"/>
    <w:rsid w:val="6DC74A88"/>
    <w:rsid w:val="6DCB5330"/>
    <w:rsid w:val="6DD10C8D"/>
    <w:rsid w:val="6DE35975"/>
    <w:rsid w:val="6DE620B0"/>
    <w:rsid w:val="6DF57072"/>
    <w:rsid w:val="6DFD7CD4"/>
    <w:rsid w:val="6E1A7E88"/>
    <w:rsid w:val="6E2B2468"/>
    <w:rsid w:val="6E2E60E0"/>
    <w:rsid w:val="6E364F94"/>
    <w:rsid w:val="6E366709"/>
    <w:rsid w:val="6E645E92"/>
    <w:rsid w:val="6E66310E"/>
    <w:rsid w:val="6E6C557C"/>
    <w:rsid w:val="6EE67DB6"/>
    <w:rsid w:val="6EEC3ED7"/>
    <w:rsid w:val="6EF81860"/>
    <w:rsid w:val="6F0B01CF"/>
    <w:rsid w:val="6F0E7CBF"/>
    <w:rsid w:val="6F245233"/>
    <w:rsid w:val="6F4263C4"/>
    <w:rsid w:val="6F60051B"/>
    <w:rsid w:val="6F7C5620"/>
    <w:rsid w:val="6F9F2147"/>
    <w:rsid w:val="6FD627FE"/>
    <w:rsid w:val="702A28D7"/>
    <w:rsid w:val="703A3875"/>
    <w:rsid w:val="70553DF8"/>
    <w:rsid w:val="707F4F0C"/>
    <w:rsid w:val="7089131F"/>
    <w:rsid w:val="70A80AB3"/>
    <w:rsid w:val="70AB7EBB"/>
    <w:rsid w:val="70BF5715"/>
    <w:rsid w:val="70D21600"/>
    <w:rsid w:val="70E602C5"/>
    <w:rsid w:val="70F626C0"/>
    <w:rsid w:val="70F7482E"/>
    <w:rsid w:val="711D1287"/>
    <w:rsid w:val="711F2CA2"/>
    <w:rsid w:val="71353C29"/>
    <w:rsid w:val="713E488C"/>
    <w:rsid w:val="716445BE"/>
    <w:rsid w:val="71681909"/>
    <w:rsid w:val="71793B16"/>
    <w:rsid w:val="71A473B2"/>
    <w:rsid w:val="71EA0570"/>
    <w:rsid w:val="71F723E5"/>
    <w:rsid w:val="72136023"/>
    <w:rsid w:val="7250470A"/>
    <w:rsid w:val="725F7381"/>
    <w:rsid w:val="72686A49"/>
    <w:rsid w:val="727C2B53"/>
    <w:rsid w:val="7284135E"/>
    <w:rsid w:val="72A20E4A"/>
    <w:rsid w:val="72AB5F51"/>
    <w:rsid w:val="7306587D"/>
    <w:rsid w:val="73436939"/>
    <w:rsid w:val="735B624B"/>
    <w:rsid w:val="73653CF6"/>
    <w:rsid w:val="73683E42"/>
    <w:rsid w:val="736B313E"/>
    <w:rsid w:val="73AC2F92"/>
    <w:rsid w:val="73BC6B9B"/>
    <w:rsid w:val="73C32E31"/>
    <w:rsid w:val="73C3376E"/>
    <w:rsid w:val="73C51294"/>
    <w:rsid w:val="7431692A"/>
    <w:rsid w:val="743957DE"/>
    <w:rsid w:val="74503451"/>
    <w:rsid w:val="746E36DA"/>
    <w:rsid w:val="74724642"/>
    <w:rsid w:val="74B06D55"/>
    <w:rsid w:val="74B231F1"/>
    <w:rsid w:val="74C72DEA"/>
    <w:rsid w:val="74CF1C9F"/>
    <w:rsid w:val="7513602F"/>
    <w:rsid w:val="75263FB5"/>
    <w:rsid w:val="753C37D8"/>
    <w:rsid w:val="75526B58"/>
    <w:rsid w:val="7557416E"/>
    <w:rsid w:val="75622B13"/>
    <w:rsid w:val="756845CD"/>
    <w:rsid w:val="75752F8D"/>
    <w:rsid w:val="759F3BA6"/>
    <w:rsid w:val="75AE7B06"/>
    <w:rsid w:val="75C41B24"/>
    <w:rsid w:val="75FE0A8D"/>
    <w:rsid w:val="7629082F"/>
    <w:rsid w:val="762A3631"/>
    <w:rsid w:val="762F292A"/>
    <w:rsid w:val="763C0A95"/>
    <w:rsid w:val="764364A0"/>
    <w:rsid w:val="7647341C"/>
    <w:rsid w:val="766E5C13"/>
    <w:rsid w:val="76BB072D"/>
    <w:rsid w:val="76BB697E"/>
    <w:rsid w:val="76F61765"/>
    <w:rsid w:val="773504DF"/>
    <w:rsid w:val="774153F4"/>
    <w:rsid w:val="775E0159"/>
    <w:rsid w:val="778E5E41"/>
    <w:rsid w:val="77B5165D"/>
    <w:rsid w:val="77BD1E69"/>
    <w:rsid w:val="77C34B37"/>
    <w:rsid w:val="77D210A2"/>
    <w:rsid w:val="77F46327"/>
    <w:rsid w:val="78570929"/>
    <w:rsid w:val="78764F7E"/>
    <w:rsid w:val="787810A4"/>
    <w:rsid w:val="78862805"/>
    <w:rsid w:val="78897A9F"/>
    <w:rsid w:val="789B25C4"/>
    <w:rsid w:val="78A32EF1"/>
    <w:rsid w:val="78A3591C"/>
    <w:rsid w:val="78B611AB"/>
    <w:rsid w:val="78CB2770"/>
    <w:rsid w:val="78D2586D"/>
    <w:rsid w:val="78EE303B"/>
    <w:rsid w:val="78FD720C"/>
    <w:rsid w:val="79295E21"/>
    <w:rsid w:val="794669D3"/>
    <w:rsid w:val="79483830"/>
    <w:rsid w:val="794C5FB4"/>
    <w:rsid w:val="79984D55"/>
    <w:rsid w:val="79FC52E4"/>
    <w:rsid w:val="79FF2E57"/>
    <w:rsid w:val="7A223EAD"/>
    <w:rsid w:val="7A2860D9"/>
    <w:rsid w:val="7AC63218"/>
    <w:rsid w:val="7AD200AB"/>
    <w:rsid w:val="7AD63D87"/>
    <w:rsid w:val="7AD82769"/>
    <w:rsid w:val="7AD95625"/>
    <w:rsid w:val="7ADB139D"/>
    <w:rsid w:val="7B2368A0"/>
    <w:rsid w:val="7B5F38D7"/>
    <w:rsid w:val="7B71585E"/>
    <w:rsid w:val="7BB8142E"/>
    <w:rsid w:val="7BE349AD"/>
    <w:rsid w:val="7C174843"/>
    <w:rsid w:val="7C1E59E5"/>
    <w:rsid w:val="7C2D5C29"/>
    <w:rsid w:val="7C4D62CB"/>
    <w:rsid w:val="7C556F2D"/>
    <w:rsid w:val="7C5F7DAC"/>
    <w:rsid w:val="7C684EB3"/>
    <w:rsid w:val="7C7C095E"/>
    <w:rsid w:val="7C7C3C7B"/>
    <w:rsid w:val="7CA12173"/>
    <w:rsid w:val="7CB93960"/>
    <w:rsid w:val="7CB97E89"/>
    <w:rsid w:val="7CDD5423"/>
    <w:rsid w:val="7CE86650"/>
    <w:rsid w:val="7CF77DAC"/>
    <w:rsid w:val="7D123B82"/>
    <w:rsid w:val="7D193DCE"/>
    <w:rsid w:val="7DA031EF"/>
    <w:rsid w:val="7DA1133E"/>
    <w:rsid w:val="7DA12AE1"/>
    <w:rsid w:val="7DB934A3"/>
    <w:rsid w:val="7DC27C61"/>
    <w:rsid w:val="7DDE0B20"/>
    <w:rsid w:val="7DF05160"/>
    <w:rsid w:val="7DFB58B2"/>
    <w:rsid w:val="7E0724A9"/>
    <w:rsid w:val="7E1D3A7B"/>
    <w:rsid w:val="7E1F5A45"/>
    <w:rsid w:val="7E215639"/>
    <w:rsid w:val="7E705DF5"/>
    <w:rsid w:val="7E855D04"/>
    <w:rsid w:val="7EBF106A"/>
    <w:rsid w:val="7EFE38AC"/>
    <w:rsid w:val="7F3217A8"/>
    <w:rsid w:val="7F475253"/>
    <w:rsid w:val="7F5271FD"/>
    <w:rsid w:val="7F7E600B"/>
    <w:rsid w:val="7FA93818"/>
    <w:rsid w:val="7FC1615D"/>
    <w:rsid w:val="7FE505C8"/>
    <w:rsid w:val="7FFB03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1440" w:firstLineChars="200"/>
      <w:jc w:val="both"/>
    </w:pPr>
    <w:rPr>
      <w:rFonts w:ascii="Times New Roman" w:hAnsi="Times New Roman" w:eastAsia="宋体" w:cs="Times New Roman"/>
      <w:kern w:val="2"/>
      <w:sz w:val="24"/>
      <w:szCs w:val="24"/>
      <w:lang w:val="en-US" w:eastAsia="zh-CN" w:bidi="ar-SA"/>
    </w:rPr>
  </w:style>
  <w:style w:type="paragraph" w:styleId="4">
    <w:name w:val="heading 1"/>
    <w:basedOn w:val="1"/>
    <w:next w:val="1"/>
    <w:qFormat/>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5">
    <w:name w:val="heading 2"/>
    <w:basedOn w:val="1"/>
    <w:next w:val="1"/>
    <w:qFormat/>
    <w:uiPriority w:val="0"/>
    <w:pPr>
      <w:keepNext/>
      <w:keepLines/>
      <w:spacing w:before="260" w:after="260" w:line="413" w:lineRule="auto"/>
      <w:outlineLvl w:val="1"/>
    </w:pPr>
    <w:rPr>
      <w:rFonts w:ascii="Arial" w:hAnsi="Arial" w:eastAsia="黑体"/>
      <w:sz w:val="32"/>
    </w:rPr>
  </w:style>
  <w:style w:type="paragraph" w:styleId="6">
    <w:name w:val="heading 3"/>
    <w:basedOn w:val="1"/>
    <w:next w:val="1"/>
    <w:qFormat/>
    <w:uiPriority w:val="0"/>
    <w:pPr>
      <w:keepNext/>
      <w:keepLines/>
      <w:tabs>
        <w:tab w:val="left" w:pos="1008"/>
      </w:tabs>
      <w:outlineLvl w:val="2"/>
    </w:pPr>
    <w:rPr>
      <w:rFonts w:eastAsia="黑体"/>
      <w:sz w:val="30"/>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widowControl/>
      <w:autoSpaceDE w:val="0"/>
      <w:autoSpaceDN w:val="0"/>
      <w:snapToGrid w:val="0"/>
      <w:ind w:firstLine="720"/>
    </w:pPr>
    <w:rPr>
      <w:kern w:val="0"/>
      <w:szCs w:val="20"/>
    </w:rPr>
  </w:style>
  <w:style w:type="paragraph" w:customStyle="1" w:styleId="3">
    <w:name w:val="明显引用1"/>
    <w:next w:val="1"/>
    <w:qFormat/>
    <w:uiPriority w:val="0"/>
    <w:pPr>
      <w:wordWrap w:val="0"/>
      <w:spacing w:before="360" w:after="360"/>
      <w:ind w:left="950" w:right="950"/>
      <w:jc w:val="center"/>
    </w:pPr>
    <w:rPr>
      <w:rFonts w:ascii="Times New Roman" w:hAnsi="Times New Roman" w:eastAsia="宋体" w:cs="Times New Roman"/>
      <w:i/>
      <w:sz w:val="21"/>
      <w:lang w:val="en-US" w:eastAsia="zh-CN" w:bidi="ar-SA"/>
    </w:rPr>
  </w:style>
  <w:style w:type="paragraph" w:styleId="7">
    <w:name w:val="Note Heading"/>
    <w:basedOn w:val="1"/>
    <w:next w:val="1"/>
    <w:qFormat/>
    <w:uiPriority w:val="0"/>
    <w:pPr>
      <w:jc w:val="center"/>
    </w:pPr>
    <w:rPr>
      <w:szCs w:val="20"/>
    </w:rPr>
  </w:style>
  <w:style w:type="paragraph" w:styleId="8">
    <w:name w:val="Normal Indent"/>
    <w:basedOn w:val="1"/>
    <w:qFormat/>
    <w:uiPriority w:val="0"/>
    <w:pPr>
      <w:spacing w:before="120" w:line="312" w:lineRule="auto"/>
      <w:ind w:firstLine="420"/>
    </w:pPr>
    <w:rPr>
      <w:kern w:val="24"/>
      <w:sz w:val="28"/>
      <w:szCs w:val="20"/>
    </w:rPr>
  </w:style>
  <w:style w:type="paragraph" w:styleId="9">
    <w:name w:val="annotation text"/>
    <w:basedOn w:val="1"/>
    <w:link w:val="54"/>
    <w:qFormat/>
    <w:uiPriority w:val="0"/>
    <w:pPr>
      <w:jc w:val="left"/>
    </w:pPr>
    <w:rPr>
      <w:kern w:val="0"/>
      <w:szCs w:val="20"/>
    </w:rPr>
  </w:style>
  <w:style w:type="paragraph" w:styleId="10">
    <w:name w:val="Salutation"/>
    <w:basedOn w:val="1"/>
    <w:next w:val="1"/>
    <w:qFormat/>
    <w:uiPriority w:val="0"/>
    <w:pPr>
      <w:widowControl/>
      <w:jc w:val="left"/>
    </w:pPr>
    <w:rPr>
      <w:kern w:val="0"/>
      <w:szCs w:val="20"/>
    </w:rPr>
  </w:style>
  <w:style w:type="paragraph" w:styleId="11">
    <w:name w:val="Body Text Indent"/>
    <w:basedOn w:val="1"/>
    <w:qFormat/>
    <w:uiPriority w:val="0"/>
    <w:pPr>
      <w:spacing w:after="120"/>
      <w:ind w:left="420" w:leftChars="200"/>
    </w:pPr>
  </w:style>
  <w:style w:type="paragraph" w:styleId="12">
    <w:name w:val="Plain Text"/>
    <w:basedOn w:val="1"/>
    <w:next w:val="13"/>
    <w:qFormat/>
    <w:uiPriority w:val="0"/>
    <w:rPr>
      <w:rFonts w:ascii="宋体" w:hAnsi="Courier New"/>
      <w:szCs w:val="21"/>
    </w:rPr>
  </w:style>
  <w:style w:type="paragraph" w:customStyle="1" w:styleId="13">
    <w:name w:val="Default"/>
    <w:basedOn w:val="14"/>
    <w:qFormat/>
    <w:uiPriority w:val="0"/>
    <w:pPr>
      <w:autoSpaceDE w:val="0"/>
      <w:autoSpaceDN w:val="0"/>
      <w:adjustRightInd w:val="0"/>
    </w:pPr>
    <w:rPr>
      <w:rFonts w:ascii="宋体" w:cs="宋体"/>
      <w:sz w:val="24"/>
    </w:rPr>
  </w:style>
  <w:style w:type="paragraph" w:customStyle="1" w:styleId="14">
    <w:name w:val="批注文字1"/>
    <w:qFormat/>
    <w:uiPriority w:val="0"/>
    <w:pPr>
      <w:widowControl w:val="0"/>
    </w:pPr>
    <w:rPr>
      <w:rFonts w:ascii="Times New Roman" w:hAnsi="Times New Roman" w:eastAsia="宋体" w:cs="Times New Roman"/>
      <w:color w:val="000000"/>
      <w:kern w:val="2"/>
      <w:sz w:val="21"/>
      <w:szCs w:val="24"/>
      <w:lang w:val="en-US" w:eastAsia="zh-CN" w:bidi="ar-SA"/>
    </w:rPr>
  </w:style>
  <w:style w:type="paragraph" w:styleId="15">
    <w:name w:val="Body Text Indent 2"/>
    <w:basedOn w:val="1"/>
    <w:qFormat/>
    <w:uiPriority w:val="0"/>
    <w:pPr>
      <w:ind w:left="319" w:leftChars="133" w:firstLine="560"/>
    </w:pPr>
    <w:rPr>
      <w:sz w:val="28"/>
    </w:rPr>
  </w:style>
  <w:style w:type="paragraph" w:styleId="16">
    <w:name w:val="Balloon Text"/>
    <w:basedOn w:val="1"/>
    <w:link w:val="53"/>
    <w:qFormat/>
    <w:uiPriority w:val="0"/>
    <w:pPr>
      <w:spacing w:line="240" w:lineRule="auto"/>
    </w:pPr>
    <w:rPr>
      <w:sz w:val="18"/>
      <w:szCs w:val="18"/>
    </w:rPr>
  </w:style>
  <w:style w:type="paragraph" w:styleId="17">
    <w:name w:val="footer"/>
    <w:basedOn w:val="1"/>
    <w:qFormat/>
    <w:uiPriority w:val="99"/>
    <w:pPr>
      <w:tabs>
        <w:tab w:val="center" w:pos="4153"/>
        <w:tab w:val="right" w:pos="8306"/>
      </w:tabs>
      <w:snapToGrid w:val="0"/>
      <w:jc w:val="left"/>
    </w:pPr>
    <w:rPr>
      <w:kern w:val="0"/>
      <w:sz w:val="18"/>
      <w:szCs w:val="20"/>
    </w:rPr>
  </w:style>
  <w:style w:type="paragraph" w:styleId="18">
    <w:name w:val="header"/>
    <w:basedOn w:val="1"/>
    <w:next w:val="19"/>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19">
    <w:name w:val="index heading"/>
    <w:basedOn w:val="1"/>
    <w:next w:val="20"/>
    <w:qFormat/>
    <w:uiPriority w:val="0"/>
    <w:pPr>
      <w:tabs>
        <w:tab w:val="left" w:pos="540"/>
        <w:tab w:val="left" w:pos="851"/>
        <w:tab w:val="left" w:pos="994"/>
        <w:tab w:val="left" w:pos="1260"/>
        <w:tab w:val="left" w:pos="3108"/>
        <w:tab w:val="left" w:pos="3150"/>
      </w:tabs>
    </w:pPr>
    <w:rPr>
      <w:rFonts w:ascii="宋体"/>
      <w:bCs/>
    </w:rPr>
  </w:style>
  <w:style w:type="paragraph" w:styleId="20">
    <w:name w:val="index 1"/>
    <w:basedOn w:val="1"/>
    <w:next w:val="1"/>
    <w:qFormat/>
    <w:uiPriority w:val="0"/>
    <w:pPr>
      <w:tabs>
        <w:tab w:val="left" w:pos="540"/>
        <w:tab w:val="left" w:pos="851"/>
        <w:tab w:val="left" w:pos="994"/>
        <w:tab w:val="left" w:pos="1260"/>
        <w:tab w:val="left" w:pos="3108"/>
        <w:tab w:val="left" w:pos="3150"/>
      </w:tabs>
    </w:pPr>
    <w:rPr>
      <w:szCs w:val="21"/>
    </w:rPr>
  </w:style>
  <w:style w:type="paragraph" w:styleId="21">
    <w:name w:val="toc 1"/>
    <w:basedOn w:val="1"/>
    <w:next w:val="1"/>
    <w:qFormat/>
    <w:uiPriority w:val="0"/>
  </w:style>
  <w:style w:type="paragraph" w:styleId="22">
    <w:name w:val="Normal (Web)"/>
    <w:basedOn w:val="1"/>
    <w:qFormat/>
    <w:uiPriority w:val="0"/>
    <w:pPr>
      <w:widowControl/>
      <w:spacing w:before="100" w:beforeAutospacing="1" w:after="100" w:afterAutospacing="1"/>
      <w:jc w:val="left"/>
    </w:pPr>
    <w:rPr>
      <w:rFonts w:ascii="宋体" w:hAnsi="宋体"/>
      <w:kern w:val="0"/>
      <w:szCs w:val="20"/>
    </w:rPr>
  </w:style>
  <w:style w:type="paragraph" w:styleId="23">
    <w:name w:val="annotation subject"/>
    <w:basedOn w:val="9"/>
    <w:next w:val="9"/>
    <w:link w:val="55"/>
    <w:qFormat/>
    <w:uiPriority w:val="0"/>
    <w:rPr>
      <w:b/>
      <w:bCs/>
      <w:kern w:val="2"/>
      <w:szCs w:val="24"/>
    </w:rPr>
  </w:style>
  <w:style w:type="paragraph" w:styleId="24">
    <w:name w:val="Body Text First Indent"/>
    <w:basedOn w:val="2"/>
    <w:next w:val="1"/>
    <w:qFormat/>
    <w:uiPriority w:val="0"/>
    <w:pPr>
      <w:ind w:firstLine="420" w:firstLineChars="100"/>
    </w:pPr>
  </w:style>
  <w:style w:type="paragraph" w:styleId="25">
    <w:name w:val="Body Text First Indent 2"/>
    <w:basedOn w:val="11"/>
    <w:next w:val="1"/>
    <w:qFormat/>
    <w:uiPriority w:val="0"/>
    <w:pPr>
      <w:ind w:firstLine="420"/>
    </w:pPr>
    <w:rPr>
      <w:kern w:val="0"/>
      <w:szCs w:val="20"/>
    </w:rPr>
  </w:style>
  <w:style w:type="table" w:styleId="27">
    <w:name w:val="Table Grid"/>
    <w:basedOn w:val="2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9">
    <w:name w:val="Strong"/>
    <w:basedOn w:val="28"/>
    <w:qFormat/>
    <w:uiPriority w:val="0"/>
    <w:rPr>
      <w:b/>
    </w:rPr>
  </w:style>
  <w:style w:type="character" w:styleId="30">
    <w:name w:val="annotation reference"/>
    <w:basedOn w:val="28"/>
    <w:qFormat/>
    <w:uiPriority w:val="99"/>
    <w:rPr>
      <w:sz w:val="21"/>
      <w:szCs w:val="21"/>
    </w:rPr>
  </w:style>
  <w:style w:type="paragraph" w:customStyle="1" w:styleId="31">
    <w:name w:val="样式5"/>
    <w:basedOn w:val="32"/>
    <w:qFormat/>
    <w:uiPriority w:val="0"/>
    <w:pPr>
      <w:adjustRightInd w:val="0"/>
      <w:spacing w:line="480" w:lineRule="exact"/>
      <w:ind w:firstLine="480"/>
      <w:jc w:val="left"/>
    </w:pPr>
    <w:rPr>
      <w:rFonts w:ascii="宋体" w:hAnsi="宋体"/>
      <w:b/>
      <w:snapToGrid w:val="0"/>
      <w:szCs w:val="24"/>
    </w:rPr>
  </w:style>
  <w:style w:type="paragraph" w:customStyle="1" w:styleId="32">
    <w:name w:val="正文1"/>
    <w:basedOn w:val="1"/>
    <w:qFormat/>
    <w:uiPriority w:val="0"/>
    <w:pPr>
      <w:snapToGrid w:val="0"/>
      <w:spacing w:line="270" w:lineRule="exact"/>
      <w:jc w:val="center"/>
    </w:pPr>
    <w:rPr>
      <w:spacing w:val="8"/>
      <w:kern w:val="21"/>
      <w:szCs w:val="20"/>
    </w:rPr>
  </w:style>
  <w:style w:type="paragraph" w:customStyle="1" w:styleId="33">
    <w:name w:val="样式 标题 1 + 四号 段前: 0 磅 段后: 0 磅 行距: 1.5 倍行距"/>
    <w:basedOn w:val="34"/>
    <w:next w:val="1"/>
    <w:qFormat/>
    <w:uiPriority w:val="0"/>
    <w:pPr>
      <w:spacing w:line="360" w:lineRule="auto"/>
      <w:jc w:val="center"/>
    </w:pPr>
  </w:style>
  <w:style w:type="paragraph" w:customStyle="1" w:styleId="34">
    <w:name w:val="1正文"/>
    <w:basedOn w:val="1"/>
    <w:qFormat/>
    <w:uiPriority w:val="0"/>
    <w:pPr>
      <w:spacing w:line="500" w:lineRule="exact"/>
      <w:ind w:firstLine="588" w:firstLineChars="196"/>
    </w:pPr>
    <w:rPr>
      <w:rFonts w:eastAsia="楷体_GB2312"/>
      <w:sz w:val="30"/>
      <w:szCs w:val="30"/>
    </w:rPr>
  </w:style>
  <w:style w:type="paragraph" w:customStyle="1" w:styleId="35">
    <w:name w:val="报告正文"/>
    <w:basedOn w:val="1"/>
    <w:next w:val="1"/>
    <w:qFormat/>
    <w:uiPriority w:val="99"/>
    <w:pPr>
      <w:tabs>
        <w:tab w:val="left" w:pos="540"/>
        <w:tab w:val="left" w:pos="851"/>
        <w:tab w:val="left" w:pos="994"/>
        <w:tab w:val="left" w:pos="1260"/>
        <w:tab w:val="left" w:pos="3108"/>
        <w:tab w:val="left" w:pos="3150"/>
      </w:tabs>
      <w:ind w:firstLine="536"/>
    </w:pPr>
    <w:rPr>
      <w:snapToGrid w:val="0"/>
      <w:spacing w:val="14"/>
      <w:szCs w:val="20"/>
    </w:rPr>
  </w:style>
  <w:style w:type="paragraph" w:customStyle="1" w:styleId="36">
    <w:name w:val="目录 21"/>
    <w:basedOn w:val="1"/>
    <w:next w:val="1"/>
    <w:qFormat/>
    <w:uiPriority w:val="0"/>
    <w:pPr>
      <w:ind w:left="420" w:leftChars="200"/>
    </w:pPr>
    <w:rPr>
      <w:b/>
      <w:kern w:val="0"/>
      <w:sz w:val="28"/>
      <w:szCs w:val="20"/>
    </w:rPr>
  </w:style>
  <w:style w:type="paragraph" w:customStyle="1" w:styleId="37">
    <w:name w:val="文本22"/>
    <w:basedOn w:val="1"/>
    <w:qFormat/>
    <w:uiPriority w:val="0"/>
    <w:pPr>
      <w:autoSpaceDE w:val="0"/>
      <w:autoSpaceDN w:val="0"/>
      <w:adjustRightInd w:val="0"/>
      <w:ind w:firstLine="480"/>
    </w:pPr>
  </w:style>
  <w:style w:type="paragraph" w:customStyle="1" w:styleId="38">
    <w:name w:val="正文内容"/>
    <w:basedOn w:val="1"/>
    <w:qFormat/>
    <w:uiPriority w:val="0"/>
    <w:pPr>
      <w:snapToGrid w:val="0"/>
      <w:spacing w:before="60" w:after="60" w:line="440" w:lineRule="exact"/>
      <w:ind w:firstLine="200"/>
    </w:pPr>
  </w:style>
  <w:style w:type="paragraph" w:customStyle="1" w:styleId="39">
    <w:name w:val="样式 (西文) Times New Roman 小四 行距: 1.5 倍行距 首行缩进:  2 字符"/>
    <w:basedOn w:val="1"/>
    <w:qFormat/>
    <w:uiPriority w:val="0"/>
    <w:pPr>
      <w:ind w:firstLine="480"/>
    </w:pPr>
    <w:rPr>
      <w:szCs w:val="20"/>
    </w:rPr>
  </w:style>
  <w:style w:type="paragraph" w:customStyle="1" w:styleId="40">
    <w:name w:val="正本文字"/>
    <w:basedOn w:val="1"/>
    <w:qFormat/>
    <w:uiPriority w:val="0"/>
    <w:pPr>
      <w:adjustRightInd w:val="0"/>
      <w:snapToGrid w:val="0"/>
      <w:ind w:firstLine="200"/>
      <w:jc w:val="left"/>
    </w:pPr>
    <w:rPr>
      <w:kern w:val="18"/>
      <w:szCs w:val="20"/>
    </w:rPr>
  </w:style>
  <w:style w:type="paragraph" w:customStyle="1" w:styleId="41">
    <w:name w:val="li_正文"/>
    <w:basedOn w:val="1"/>
    <w:qFormat/>
    <w:uiPriority w:val="0"/>
    <w:rPr>
      <w:sz w:val="28"/>
      <w:szCs w:val="28"/>
    </w:rPr>
  </w:style>
  <w:style w:type="paragraph" w:customStyle="1" w:styleId="42">
    <w:name w:val="Table Paragraph"/>
    <w:basedOn w:val="1"/>
    <w:qFormat/>
    <w:uiPriority w:val="0"/>
  </w:style>
  <w:style w:type="paragraph" w:customStyle="1" w:styleId="43">
    <w:name w:val="正文 New New New"/>
    <w:basedOn w:val="1"/>
    <w:qFormat/>
    <w:uiPriority w:val="0"/>
    <w:rPr>
      <w:sz w:val="21"/>
      <w:szCs w:val="20"/>
    </w:rPr>
  </w:style>
  <w:style w:type="table" w:customStyle="1" w:styleId="44">
    <w:name w:val="Table Normal"/>
    <w:qFormat/>
    <w:uiPriority w:val="0"/>
    <w:tblPr>
      <w:tblCellMar>
        <w:top w:w="0" w:type="dxa"/>
        <w:left w:w="0" w:type="dxa"/>
        <w:bottom w:w="0" w:type="dxa"/>
        <w:right w:w="0" w:type="dxa"/>
      </w:tblCellMar>
    </w:tblPr>
  </w:style>
  <w:style w:type="paragraph" w:customStyle="1" w:styleId="45">
    <w:name w:val="表格文字"/>
    <w:basedOn w:val="1"/>
    <w:qFormat/>
    <w:uiPriority w:val="0"/>
    <w:pPr>
      <w:spacing w:line="240" w:lineRule="auto"/>
      <w:ind w:firstLine="0" w:firstLineChars="0"/>
      <w:jc w:val="center"/>
    </w:pPr>
    <w:rPr>
      <w:rFonts w:ascii="Calibri" w:hAnsi="Calibri" w:cs="宋体"/>
      <w:sz w:val="21"/>
      <w:szCs w:val="18"/>
      <w:lang w:val="zh-CN"/>
    </w:rPr>
  </w:style>
  <w:style w:type="paragraph" w:customStyle="1" w:styleId="46">
    <w:name w:val="报告表正文"/>
    <w:basedOn w:val="1"/>
    <w:next w:val="47"/>
    <w:qFormat/>
    <w:uiPriority w:val="0"/>
    <w:pPr>
      <w:adjustRightInd w:val="0"/>
      <w:spacing w:line="312" w:lineRule="auto"/>
      <w:ind w:left="113" w:right="113" w:firstLine="482"/>
      <w:jc w:val="left"/>
      <w:textAlignment w:val="baseline"/>
    </w:pPr>
    <w:rPr>
      <w:kern w:val="0"/>
    </w:rPr>
  </w:style>
  <w:style w:type="paragraph" w:customStyle="1" w:styleId="47">
    <w:name w:val="报告表正文（首行缩进）"/>
    <w:basedOn w:val="46"/>
    <w:qFormat/>
    <w:uiPriority w:val="0"/>
    <w:pPr>
      <w:wordWrap w:val="0"/>
      <w:ind w:firstLine="562"/>
    </w:pPr>
  </w:style>
  <w:style w:type="paragraph" w:customStyle="1" w:styleId="48">
    <w:name w:val="文本正文"/>
    <w:basedOn w:val="1"/>
    <w:qFormat/>
    <w:uiPriority w:val="0"/>
    <w:pPr>
      <w:snapToGrid w:val="0"/>
      <w:ind w:firstLine="510"/>
      <w:jc w:val="left"/>
    </w:pPr>
    <w:rPr>
      <w:rFonts w:ascii="Calibri" w:hAnsi="Calibri"/>
      <w:spacing w:val="4"/>
      <w:kern w:val="24"/>
      <w:sz w:val="21"/>
    </w:rPr>
  </w:style>
  <w:style w:type="paragraph" w:customStyle="1" w:styleId="49">
    <w:name w:val="表格内文字"/>
    <w:qFormat/>
    <w:uiPriority w:val="0"/>
    <w:pPr>
      <w:keepNext/>
      <w:widowControl w:val="0"/>
      <w:spacing w:line="240" w:lineRule="atLeast"/>
      <w:jc w:val="center"/>
    </w:pPr>
    <w:rPr>
      <w:rFonts w:ascii="宋体" w:hAnsi="宋体" w:eastAsia="宋体" w:cs="Times New Roman"/>
      <w:w w:val="90"/>
      <w:sz w:val="21"/>
      <w:szCs w:val="22"/>
      <w:lang w:val="en-US" w:eastAsia="zh-CN" w:bidi="ar-SA"/>
    </w:rPr>
  </w:style>
  <w:style w:type="character" w:customStyle="1" w:styleId="50">
    <w:name w:val="ggzbt011"/>
    <w:basedOn w:val="28"/>
    <w:qFormat/>
    <w:uiPriority w:val="0"/>
  </w:style>
  <w:style w:type="paragraph" w:customStyle="1" w:styleId="51">
    <w:name w:val="表头"/>
    <w:basedOn w:val="52"/>
    <w:next w:val="1"/>
    <w:qFormat/>
    <w:uiPriority w:val="0"/>
    <w:pPr>
      <w:tabs>
        <w:tab w:val="left" w:pos="540"/>
        <w:tab w:val="left" w:pos="851"/>
        <w:tab w:val="left" w:pos="994"/>
        <w:tab w:val="left" w:pos="1260"/>
        <w:tab w:val="left" w:pos="3108"/>
        <w:tab w:val="left" w:pos="3150"/>
      </w:tabs>
      <w:spacing w:line="240" w:lineRule="auto"/>
    </w:pPr>
    <w:rPr>
      <w:b/>
      <w:kern w:val="0"/>
      <w:sz w:val="28"/>
      <w:szCs w:val="20"/>
    </w:rPr>
  </w:style>
  <w:style w:type="paragraph" w:customStyle="1" w:styleId="52">
    <w:name w:val="表内容"/>
    <w:basedOn w:val="1"/>
    <w:qFormat/>
    <w:uiPriority w:val="0"/>
    <w:pPr>
      <w:adjustRightInd w:val="0"/>
      <w:spacing w:line="320" w:lineRule="exact"/>
      <w:ind w:firstLine="0" w:firstLineChars="0"/>
      <w:jc w:val="center"/>
    </w:pPr>
    <w:rPr>
      <w:rFonts w:hAnsi="宋体"/>
      <w:sz w:val="22"/>
      <w:szCs w:val="22"/>
    </w:rPr>
  </w:style>
  <w:style w:type="character" w:customStyle="1" w:styleId="53">
    <w:name w:val="批注框文本 Char"/>
    <w:basedOn w:val="28"/>
    <w:link w:val="16"/>
    <w:qFormat/>
    <w:uiPriority w:val="0"/>
    <w:rPr>
      <w:kern w:val="2"/>
      <w:sz w:val="18"/>
      <w:szCs w:val="18"/>
    </w:rPr>
  </w:style>
  <w:style w:type="character" w:customStyle="1" w:styleId="54">
    <w:name w:val="批注文字 Char"/>
    <w:basedOn w:val="28"/>
    <w:link w:val="9"/>
    <w:qFormat/>
    <w:uiPriority w:val="0"/>
    <w:rPr>
      <w:sz w:val="24"/>
    </w:rPr>
  </w:style>
  <w:style w:type="character" w:customStyle="1" w:styleId="55">
    <w:name w:val="批注主题 Char"/>
    <w:basedOn w:val="54"/>
    <w:link w:val="23"/>
    <w:qFormat/>
    <w:uiPriority w:val="0"/>
    <w:rPr>
      <w:b/>
      <w:bCs/>
      <w:kern w:val="2"/>
      <w:sz w:val="24"/>
      <w:szCs w:val="24"/>
    </w:rPr>
  </w:style>
  <w:style w:type="paragraph" w:customStyle="1" w:styleId="56">
    <w:name w:val="Table Text"/>
    <w:basedOn w:val="1"/>
    <w:qFormat/>
    <w:uiPriority w:val="0"/>
    <w:rPr>
      <w:rFonts w:ascii="宋体" w:hAnsi="宋体" w:cs="宋体"/>
      <w:sz w:val="20"/>
      <w:szCs w:val="20"/>
      <w:lang w:eastAsia="en-US"/>
    </w:rPr>
  </w:style>
  <w:style w:type="character" w:customStyle="1" w:styleId="57">
    <w:name w:val="正文文本 (2) + 9.5 pt"/>
    <w:qFormat/>
    <w:uiPriority w:val="0"/>
    <w:rPr>
      <w:rFonts w:ascii="MingLiU" w:hAnsi="MingLiU" w:eastAsia="MingLiU" w:cs="MingLiU"/>
      <w:color w:val="000000"/>
      <w:spacing w:val="0"/>
      <w:w w:val="100"/>
      <w:position w:val="0"/>
      <w:sz w:val="19"/>
      <w:szCs w:val="19"/>
      <w:u w:val="none"/>
      <w:shd w:val="clear" w:color="auto" w:fill="FFFFFF"/>
      <w:lang w:val="zh-CN" w:eastAsia="zh-CN" w:bidi="zh-CN"/>
    </w:rPr>
  </w:style>
  <w:style w:type="character" w:customStyle="1" w:styleId="58">
    <w:name w:val="NormalCharacter"/>
    <w:qFormat/>
    <w:uiPriority w:val="0"/>
  </w:style>
  <w:style w:type="paragraph" w:customStyle="1" w:styleId="59">
    <w:name w:val="中煤正文1"/>
    <w:basedOn w:val="1"/>
    <w:qFormat/>
    <w:uiPriority w:val="0"/>
    <w:pPr>
      <w:spacing w:line="480" w:lineRule="exact"/>
      <w:ind w:firstLine="520"/>
    </w:pPr>
    <w:rPr>
      <w:color w:val="00B0F0"/>
      <w:sz w:val="26"/>
      <w:szCs w:val="26"/>
    </w:rPr>
  </w:style>
  <w:style w:type="paragraph" w:customStyle="1" w:styleId="60">
    <w:name w:val="正文文本 32"/>
    <w:basedOn w:val="1"/>
    <w:qFormat/>
    <w:uiPriority w:val="0"/>
    <w:pPr>
      <w:adjustRightInd w:val="0"/>
      <w:jc w:val="center"/>
    </w:pPr>
    <w:rPr>
      <w:szCs w:val="20"/>
    </w:rPr>
  </w:style>
  <w:style w:type="paragraph" w:customStyle="1" w:styleId="61">
    <w:name w:val="表头1"/>
    <w:basedOn w:val="1"/>
    <w:qFormat/>
    <w:uiPriority w:val="0"/>
    <w:pPr>
      <w:jc w:val="center"/>
    </w:pPr>
    <w:rPr>
      <w:rFonts w:eastAsia="黑体"/>
      <w:szCs w:val="20"/>
    </w:rPr>
  </w:style>
  <w:style w:type="paragraph" w:customStyle="1" w:styleId="62">
    <w:name w:val="表中文字"/>
    <w:basedOn w:val="1"/>
    <w:qFormat/>
    <w:uiPriority w:val="0"/>
    <w:pPr>
      <w:adjustRightInd w:val="0"/>
      <w:snapToGrid w:val="0"/>
      <w:spacing w:line="240" w:lineRule="atLeast"/>
      <w:jc w:val="center"/>
    </w:pPr>
    <w:rPr>
      <w:snapToGrid w:val="0"/>
      <w:kern w:val="0"/>
      <w:szCs w:val="20"/>
    </w:rPr>
  </w:style>
  <w:style w:type="paragraph" w:customStyle="1" w:styleId="63">
    <w:name w:val="表格"/>
    <w:basedOn w:val="8"/>
    <w:next w:val="1"/>
    <w:qFormat/>
    <w:uiPriority w:val="0"/>
    <w:pPr>
      <w:spacing w:line="240" w:lineRule="auto"/>
      <w:ind w:firstLine="0" w:firstLineChars="0"/>
      <w:jc w:val="center"/>
    </w:pPr>
    <w:rPr>
      <w:sz w:val="21"/>
    </w:rPr>
  </w:style>
  <w:style w:type="paragraph" w:customStyle="1" w:styleId="64">
    <w:name w:val="表号"/>
    <w:qFormat/>
    <w:uiPriority w:val="0"/>
    <w:pPr>
      <w:outlineLvl w:val="4"/>
    </w:pPr>
    <w:rPr>
      <w:rFonts w:ascii="Times New Roman" w:hAnsi="Times New Roman" w:eastAsia="Times New Roman" w:cs="Times New Roman"/>
      <w:sz w:val="21"/>
      <w:lang w:val="en-US" w:eastAsia="zh-CN" w:bidi="ar-SA"/>
    </w:rPr>
  </w:style>
  <w:style w:type="paragraph" w:customStyle="1" w:styleId="65">
    <w:name w:val="表格内容"/>
    <w:basedOn w:val="1"/>
    <w:next w:val="1"/>
    <w:qFormat/>
    <w:uiPriority w:val="0"/>
    <w:pPr>
      <w:spacing w:line="240" w:lineRule="auto"/>
      <w:ind w:firstLine="0" w:firstLineChars="0"/>
      <w:jc w:val="center"/>
    </w:pPr>
    <w:rPr>
      <w:spacing w:val="6"/>
      <w:sz w:val="21"/>
      <w:szCs w:val="21"/>
    </w:rPr>
  </w:style>
  <w:style w:type="paragraph" w:customStyle="1" w:styleId="66">
    <w:name w:val="表格文字1"/>
    <w:basedOn w:val="67"/>
    <w:qFormat/>
    <w:uiPriority w:val="0"/>
    <w:pPr>
      <w:spacing w:line="240" w:lineRule="auto"/>
      <w:ind w:firstLine="0" w:firstLineChars="0"/>
      <w:jc w:val="center"/>
    </w:pPr>
    <w:rPr>
      <w:sz w:val="21"/>
    </w:rPr>
  </w:style>
  <w:style w:type="paragraph" w:customStyle="1" w:styleId="67">
    <w:name w:val="表格中文字"/>
    <w:basedOn w:val="1"/>
    <w:qFormat/>
    <w:uiPriority w:val="0"/>
    <w:rPr>
      <w:szCs w:val="52"/>
    </w:rPr>
  </w:style>
  <w:style w:type="paragraph" w:customStyle="1" w:styleId="68">
    <w:name w:val="D表格内容"/>
    <w:basedOn w:val="1"/>
    <w:qFormat/>
    <w:uiPriority w:val="0"/>
    <w:pPr>
      <w:spacing w:line="240" w:lineRule="auto"/>
      <w:ind w:firstLine="0" w:firstLineChars="0"/>
      <w:jc w:val="center"/>
    </w:pPr>
    <w:rPr>
      <w:color w:val="000000"/>
      <w:sz w:val="21"/>
      <w:szCs w:val="22"/>
    </w:rPr>
  </w:style>
  <w:style w:type="paragraph" w:customStyle="1" w:styleId="69">
    <w:name w:val="正文4"/>
    <w:qFormat/>
    <w:uiPriority w:val="0"/>
    <w:pPr>
      <w:jc w:val="both"/>
    </w:pPr>
    <w:rPr>
      <w:rFonts w:ascii="Times New Roman" w:hAnsi="Times New Roman" w:eastAsia="宋体" w:cs="Times New Roman"/>
      <w:kern w:val="2"/>
      <w:sz w:val="21"/>
      <w:szCs w:val="21"/>
      <w:lang w:val="en-US" w:eastAsia="zh-CN" w:bidi="ar-SA"/>
    </w:rPr>
  </w:style>
  <w:style w:type="paragraph" w:customStyle="1" w:styleId="70">
    <w:name w:val="正文样式"/>
    <w:basedOn w:val="1"/>
    <w:qFormat/>
    <w:uiPriority w:val="0"/>
    <w:pPr>
      <w:spacing w:line="500" w:lineRule="exact"/>
      <w:ind w:firstLine="560"/>
    </w:pPr>
    <w:rPr>
      <w:rFonts w:ascii="??" w:hAnsi="??" w:eastAsia="Wingdings"/>
      <w:sz w:val="20"/>
      <w:szCs w:val="20"/>
    </w:rPr>
  </w:style>
  <w:style w:type="paragraph" w:customStyle="1" w:styleId="71">
    <w:name w:val="msonormalcxspmiddle"/>
    <w:basedOn w:val="1"/>
    <w:qFormat/>
    <w:uiPriority w:val="0"/>
    <w:pPr>
      <w:widowControl/>
      <w:spacing w:before="100" w:beforeAutospacing="1" w:after="100" w:afterAutospacing="1"/>
      <w:jc w:val="left"/>
    </w:pPr>
    <w:rPr>
      <w:rFonts w:ascii="宋体" w:hAnsi="宋体" w:cs="宋体"/>
      <w:kern w:val="0"/>
    </w:rPr>
  </w:style>
  <w:style w:type="paragraph" w:customStyle="1" w:styleId="72">
    <w:name w:val="Normal Indent1"/>
    <w:basedOn w:val="1"/>
    <w:qFormat/>
    <w:uiPriority w:val="0"/>
    <w:pPr>
      <w:ind w:firstLine="420"/>
    </w:pPr>
  </w:style>
  <w:style w:type="character" w:customStyle="1" w:styleId="73">
    <w:name w:val="font11"/>
    <w:basedOn w:val="28"/>
    <w:qFormat/>
    <w:uiPriority w:val="0"/>
    <w:rPr>
      <w:rFonts w:hint="eastAsia" w:ascii="宋体" w:hAnsi="宋体" w:eastAsia="宋体" w:cs="宋体"/>
      <w:color w:val="0000FF"/>
      <w:sz w:val="21"/>
      <w:szCs w:val="21"/>
      <w:u w:val="none"/>
    </w:rPr>
  </w:style>
  <w:style w:type="paragraph" w:customStyle="1" w:styleId="74">
    <w:name w:val="1jw正文"/>
    <w:qFormat/>
    <w:uiPriority w:val="0"/>
    <w:pPr>
      <w:spacing w:beforeLines="50" w:afterLines="50" w:line="360" w:lineRule="auto"/>
      <w:ind w:firstLine="200" w:firstLineChars="200"/>
    </w:pPr>
    <w:rPr>
      <w:rFonts w:ascii="Times New Roman" w:hAnsi="Times New Roman" w:eastAsia="宋体" w:cs="宋体"/>
      <w:sz w:val="24"/>
      <w:szCs w:val="24"/>
      <w:lang w:val="en-US" w:eastAsia="zh-CN" w:bidi="ar-SA"/>
    </w:rPr>
  </w:style>
  <w:style w:type="paragraph" w:customStyle="1" w:styleId="75">
    <w:name w:val="S表名图名"/>
    <w:basedOn w:val="1"/>
    <w:qFormat/>
    <w:uiPriority w:val="1"/>
    <w:pPr>
      <w:adjustRightInd w:val="0"/>
      <w:snapToGrid w:val="0"/>
      <w:spacing w:line="480" w:lineRule="exact"/>
      <w:jc w:val="center"/>
    </w:pPr>
    <w:rPr>
      <w:b/>
      <w:szCs w:val="23"/>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6" Type="http://schemas.openxmlformats.org/officeDocument/2006/relationships/fontTable" Target="fontTable.xml"/><Relationship Id="rId25" Type="http://schemas.openxmlformats.org/officeDocument/2006/relationships/customXml" Target="../customXml/item2.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9.jpeg"/><Relationship Id="rId21" Type="http://schemas.openxmlformats.org/officeDocument/2006/relationships/image" Target="media/image8.png"/><Relationship Id="rId20" Type="http://schemas.openxmlformats.org/officeDocument/2006/relationships/image" Target="media/image7.jpe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wmf"/><Relationship Id="rId17" Type="http://schemas.openxmlformats.org/officeDocument/2006/relationships/oleObject" Target="embeddings/oleObject2.bin"/><Relationship Id="rId16" Type="http://schemas.openxmlformats.org/officeDocument/2006/relationships/image" Target="media/image4.png"/><Relationship Id="rId15" Type="http://schemas.openxmlformats.org/officeDocument/2006/relationships/image" Target="media/image3.png"/><Relationship Id="rId14" Type="http://schemas.openxmlformats.org/officeDocument/2006/relationships/image" Target="media/image2.png"/><Relationship Id="rId13" Type="http://schemas.openxmlformats.org/officeDocument/2006/relationships/image" Target="media/image1.emf"/><Relationship Id="rId12" Type="http://schemas.openxmlformats.org/officeDocument/2006/relationships/oleObject" Target="embeddings/oleObject1.bin"/><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E800037-E65C-404E-A7FB-E4807B75B7A5}">
  <ds:schemaRefs/>
</ds:datastoreItem>
</file>

<file path=docProps/app.xml><?xml version="1.0" encoding="utf-8"?>
<Properties xmlns="http://schemas.openxmlformats.org/officeDocument/2006/extended-properties" xmlns:vt="http://schemas.openxmlformats.org/officeDocument/2006/docPropsVTypes">
  <Template>Normal.dotm</Template>
  <Pages>96</Pages>
  <Words>922</Words>
  <Characters>988</Characters>
  <Lines>533</Lines>
  <Paragraphs>150</Paragraphs>
  <TotalTime>3</TotalTime>
  <ScaleCrop>false</ScaleCrop>
  <LinksUpToDate>false</LinksUpToDate>
  <CharactersWithSpaces>1057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2026-08-29T06:38:00Z</dcterms:created>
  <dc:creator>Triste</dc:creator>
  <cp:lastModifiedBy>马竹芬</cp:lastModifiedBy>
  <cp:lastPrinted>2026-06-22T06:33:00Z</cp:lastPrinted>
  <dcterms:modified xsi:type="dcterms:W3CDTF">2026-10-19T06:15:33Z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1D2F038915A54946B1B46DA64027A7AC_13</vt:lpwstr>
  </property>
  <property fmtid="{D5CDD505-2E9C-101B-9397-08002B2CF9AE}" pid="4" name="KSOTemplateDocerSaveRecord">
    <vt:lpwstr>eyJoZGlkIjoiOTc5MzZiOTVlYzA1Y2QxZjJhNzRkYjUxYWVhZGEwN2UiLCJ1c2VySWQiOiIxNzQ3Nzk0OTE3In0=</vt:lpwstr>
  </property>
</Properties>
</file>