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2003-2010___1.vsd" ContentType="application/vnd.visio"/>
  <Override PartName="/word/embeddings/Microsoft_Visio_2003-2010___2.vsd" ContentType="application/vnd.visio"/>
  <Override PartName="/word/embeddings/Microsoft_Visio_2003-2010___3.vsd" ContentType="application/vnd.visio"/>
  <Override PartName="/word/embeddings/Microsoft_Visio_2003-2010___4.vsd" ContentType="application/vnd.visio"/>
  <Override PartName="/word/embeddings/Microsoft_Visio_2003-2010___5.vsd" ContentType="application/vnd.visio"/>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180A2C">
      <w:pPr>
        <w:rPr>
          <w:rFonts w:eastAsia="仿宋_GB2312"/>
          <w:color w:val="000000" w:themeColor="text1"/>
          <w:sz w:val="36"/>
          <w:szCs w:val="36"/>
          <w14:textFill>
            <w14:solidFill>
              <w14:schemeClr w14:val="tx1"/>
            </w14:solidFill>
          </w14:textFill>
        </w:rPr>
      </w:pPr>
    </w:p>
    <w:p w14:paraId="117F6C80">
      <w:pPr>
        <w:rPr>
          <w:rFonts w:eastAsia="仿宋_GB2312"/>
          <w:color w:val="000000" w:themeColor="text1"/>
          <w:sz w:val="36"/>
          <w:szCs w:val="36"/>
          <w14:textFill>
            <w14:solidFill>
              <w14:schemeClr w14:val="tx1"/>
            </w14:solidFill>
          </w14:textFill>
        </w:rPr>
      </w:pPr>
    </w:p>
    <w:p w14:paraId="4389A14E">
      <w:pPr>
        <w:rPr>
          <w:rFonts w:eastAsia="仿宋_GB2312"/>
          <w:color w:val="000000" w:themeColor="text1"/>
          <w:sz w:val="36"/>
          <w:szCs w:val="36"/>
          <w14:textFill>
            <w14:solidFill>
              <w14:schemeClr w14:val="tx1"/>
            </w14:solidFill>
          </w14:textFill>
        </w:rPr>
      </w:pPr>
    </w:p>
    <w:p w14:paraId="5386A6ED">
      <w:pPr>
        <w:spacing w:line="360" w:lineRule="auto"/>
        <w:jc w:val="center"/>
        <w:rPr>
          <w:rFonts w:eastAsia="方正小标宋_GBK"/>
          <w:bCs/>
          <w:color w:val="000000" w:themeColor="text1"/>
          <w:sz w:val="52"/>
          <w:szCs w:val="52"/>
          <w14:textFill>
            <w14:solidFill>
              <w14:schemeClr w14:val="tx1"/>
            </w14:solidFill>
          </w14:textFill>
        </w:rPr>
      </w:pPr>
      <w:bookmarkStart w:id="0" w:name="_Toc1219"/>
      <w:r>
        <w:rPr>
          <w:rFonts w:eastAsia="方正小标宋_GBK"/>
          <w:bCs/>
          <w:color w:val="000000" w:themeColor="text1"/>
          <w:sz w:val="52"/>
          <w:szCs w:val="52"/>
          <w14:textFill>
            <w14:solidFill>
              <w14:schemeClr w14:val="tx1"/>
            </w14:solidFill>
          </w14:textFill>
        </w:rPr>
        <w:t>建设项目</w:t>
      </w:r>
      <w:r>
        <w:rPr>
          <w:rFonts w:hint="eastAsia" w:eastAsia="方正小标宋_GBK"/>
          <w:bCs/>
          <w:color w:val="000000" w:themeColor="text1"/>
          <w:sz w:val="52"/>
          <w:szCs w:val="52"/>
          <w14:textFill>
            <w14:solidFill>
              <w14:schemeClr w14:val="tx1"/>
            </w14:solidFill>
          </w14:textFill>
        </w:rPr>
        <w:t>生态</w:t>
      </w:r>
      <w:r>
        <w:rPr>
          <w:rFonts w:eastAsia="方正小标宋_GBK"/>
          <w:bCs/>
          <w:color w:val="000000" w:themeColor="text1"/>
          <w:sz w:val="52"/>
          <w:szCs w:val="52"/>
          <w14:textFill>
            <w14:solidFill>
              <w14:schemeClr w14:val="tx1"/>
            </w14:solidFill>
          </w14:textFill>
        </w:rPr>
        <w:t>环境影响报告表</w:t>
      </w:r>
      <w:bookmarkEnd w:id="0"/>
    </w:p>
    <w:p w14:paraId="5B7A3D73">
      <w:pPr>
        <w:spacing w:before="192" w:beforeLines="80" w:line="360" w:lineRule="auto"/>
        <w:jc w:val="center"/>
        <w:rPr>
          <w:rFonts w:eastAsia="楷体_GB2312"/>
          <w:bCs/>
          <w:color w:val="000000" w:themeColor="text1"/>
          <w:sz w:val="48"/>
          <w:szCs w:val="48"/>
          <w14:textFill>
            <w14:solidFill>
              <w14:schemeClr w14:val="tx1"/>
            </w14:solidFill>
          </w14:textFill>
        </w:rPr>
      </w:pPr>
      <w:r>
        <w:rPr>
          <w:rFonts w:eastAsia="楷体_GB2312"/>
          <w:bCs/>
          <w:color w:val="000000" w:themeColor="text1"/>
          <w:sz w:val="48"/>
          <w:szCs w:val="48"/>
          <w14:textFill>
            <w14:solidFill>
              <w14:schemeClr w14:val="tx1"/>
            </w14:solidFill>
          </w14:textFill>
        </w:rPr>
        <w:t>（污染影响类）</w:t>
      </w:r>
    </w:p>
    <w:p w14:paraId="1D131673">
      <w:pPr>
        <w:adjustRightInd w:val="0"/>
        <w:snapToGrid w:val="0"/>
        <w:spacing w:line="288" w:lineRule="auto"/>
        <w:jc w:val="center"/>
        <w:rPr>
          <w:rFonts w:eastAsia="华文仿宋"/>
          <w:color w:val="000000" w:themeColor="text1"/>
          <w:kern w:val="44"/>
          <w:sz w:val="44"/>
          <w:szCs w:val="44"/>
          <w14:textFill>
            <w14:solidFill>
              <w14:schemeClr w14:val="tx1"/>
            </w14:solidFill>
          </w14:textFill>
        </w:rPr>
      </w:pPr>
    </w:p>
    <w:p w14:paraId="3B929456">
      <w:pPr>
        <w:jc w:val="center"/>
        <w:rPr>
          <w:rFonts w:eastAsia="仿宋"/>
          <w:color w:val="000000" w:themeColor="text1"/>
          <w:sz w:val="52"/>
          <w:szCs w:val="52"/>
          <w14:textFill>
            <w14:solidFill>
              <w14:schemeClr w14:val="tx1"/>
            </w14:solidFill>
          </w14:textFill>
        </w:rPr>
      </w:pPr>
    </w:p>
    <w:p w14:paraId="22865EE7">
      <w:pPr>
        <w:ind w:firstLine="1040"/>
        <w:rPr>
          <w:rFonts w:eastAsia="仿宋"/>
          <w:color w:val="000000" w:themeColor="text1"/>
          <w:sz w:val="44"/>
          <w:szCs w:val="44"/>
          <w14:textFill>
            <w14:solidFill>
              <w14:schemeClr w14:val="tx1"/>
            </w14:solidFill>
          </w14:textFill>
        </w:rPr>
      </w:pPr>
    </w:p>
    <w:p w14:paraId="129FF13B">
      <w:pPr>
        <w:ind w:firstLine="1040"/>
        <w:rPr>
          <w:rFonts w:eastAsia="仿宋"/>
          <w:color w:val="000000" w:themeColor="text1"/>
          <w:sz w:val="44"/>
          <w:szCs w:val="44"/>
          <w14:textFill>
            <w14:solidFill>
              <w14:schemeClr w14:val="tx1"/>
            </w14:solidFill>
          </w14:textFill>
        </w:rPr>
      </w:pPr>
    </w:p>
    <w:p w14:paraId="4CF2D4AA">
      <w:pPr>
        <w:ind w:firstLine="1040"/>
        <w:rPr>
          <w:rFonts w:eastAsia="仿宋"/>
          <w:color w:val="000000" w:themeColor="text1"/>
          <w:sz w:val="44"/>
          <w:szCs w:val="44"/>
          <w14:textFill>
            <w14:solidFill>
              <w14:schemeClr w14:val="tx1"/>
            </w14:solidFill>
          </w14:textFill>
        </w:rPr>
      </w:pPr>
    </w:p>
    <w:p w14:paraId="24AF0B2E">
      <w:pPr>
        <w:adjustRightInd w:val="0"/>
        <w:snapToGrid w:val="0"/>
        <w:spacing w:line="480" w:lineRule="auto"/>
        <w:ind w:left="1699" w:hanging="1699" w:hangingChars="472"/>
        <w:rPr>
          <w:rFonts w:eastAsia="仿宋_GB2312"/>
          <w:color w:val="000000" w:themeColor="text1"/>
          <w:sz w:val="36"/>
          <w:szCs w:val="36"/>
          <w:u w:val="single"/>
          <w14:textFill>
            <w14:solidFill>
              <w14:schemeClr w14:val="tx1"/>
            </w14:solidFill>
          </w14:textFill>
        </w:rPr>
      </w:pPr>
      <w:r>
        <w:rPr>
          <w:rFonts w:eastAsia="仿宋_GB2312"/>
          <w:color w:val="000000" w:themeColor="text1"/>
          <w:sz w:val="36"/>
          <w:szCs w:val="36"/>
          <w14:textFill>
            <w14:solidFill>
              <w14:schemeClr w14:val="tx1"/>
            </w14:solidFill>
          </w14:textFill>
        </w:rPr>
        <w:t>项目名称：</w:t>
      </w:r>
      <w:r>
        <w:rPr>
          <w:rFonts w:hint="eastAsia" w:eastAsia="仿宋_GB2312"/>
          <w:color w:val="000000" w:themeColor="text1"/>
          <w:sz w:val="36"/>
          <w:szCs w:val="36"/>
          <w:u w:val="single"/>
          <w14:textFill>
            <w14:solidFill>
              <w14:schemeClr w14:val="tx1"/>
            </w14:solidFill>
          </w14:textFill>
        </w:rPr>
        <w:t>青思生物科技（寻甸）有限责任公司低变质褐煤、磷矿石浮选尾矿综合利用项目</w:t>
      </w:r>
      <w:r>
        <w:rPr>
          <w:rFonts w:eastAsia="仿宋_GB2312"/>
          <w:color w:val="000000" w:themeColor="text1"/>
          <w:sz w:val="36"/>
          <w:szCs w:val="36"/>
          <w:u w:val="single"/>
          <w14:textFill>
            <w14:solidFill>
              <w14:schemeClr w14:val="tx1"/>
            </w14:solidFill>
          </w14:textFill>
        </w:rPr>
        <w:t xml:space="preserve">                             </w:t>
      </w:r>
    </w:p>
    <w:p w14:paraId="1C70D865">
      <w:pPr>
        <w:adjustRightInd w:val="0"/>
        <w:snapToGrid w:val="0"/>
        <w:spacing w:line="480" w:lineRule="auto"/>
        <w:rPr>
          <w:rFonts w:eastAsia="仿宋_GB2312"/>
          <w:color w:val="000000" w:themeColor="text1"/>
          <w:sz w:val="36"/>
          <w:szCs w:val="36"/>
          <w:u w:val="single"/>
          <w14:textFill>
            <w14:solidFill>
              <w14:schemeClr w14:val="tx1"/>
            </w14:solidFill>
          </w14:textFill>
        </w:rPr>
      </w:pPr>
      <w:r>
        <w:rPr>
          <w:rFonts w:eastAsia="仿宋_GB2312"/>
          <w:color w:val="000000" w:themeColor="text1"/>
          <w:sz w:val="36"/>
          <w:szCs w:val="36"/>
          <w14:textFill>
            <w14:solidFill>
              <w14:schemeClr w14:val="tx1"/>
            </w14:solidFill>
          </w14:textFill>
        </w:rPr>
        <w:t>建设单位（盖章）：</w:t>
      </w:r>
      <w:r>
        <w:rPr>
          <w:rFonts w:hint="eastAsia" w:eastAsia="仿宋_GB2312"/>
          <w:color w:val="000000" w:themeColor="text1"/>
          <w:sz w:val="36"/>
          <w:szCs w:val="36"/>
          <w:u w:val="single"/>
          <w14:textFill>
            <w14:solidFill>
              <w14:schemeClr w14:val="tx1"/>
            </w14:solidFill>
          </w14:textFill>
        </w:rPr>
        <w:t>青思生物科技（寻甸）有限责任公司</w:t>
      </w:r>
      <w:r>
        <w:rPr>
          <w:rFonts w:eastAsia="仿宋_GB2312"/>
          <w:color w:val="000000" w:themeColor="text1"/>
          <w:sz w:val="36"/>
          <w:szCs w:val="36"/>
          <w:u w:val="single"/>
          <w14:textFill>
            <w14:solidFill>
              <w14:schemeClr w14:val="tx1"/>
            </w14:solidFill>
          </w14:textFill>
        </w:rPr>
        <w:t xml:space="preserve">                                               </w:t>
      </w:r>
    </w:p>
    <w:p w14:paraId="6A5E5790">
      <w:pPr>
        <w:adjustRightInd w:val="0"/>
        <w:snapToGrid w:val="0"/>
        <w:spacing w:line="480" w:lineRule="auto"/>
        <w:rPr>
          <w:rFonts w:eastAsia="仿宋_GB2312"/>
          <w:color w:val="000000" w:themeColor="text1"/>
          <w:sz w:val="36"/>
          <w:szCs w:val="36"/>
          <w:u w:val="single"/>
          <w14:textFill>
            <w14:solidFill>
              <w14:schemeClr w14:val="tx1"/>
            </w14:solidFill>
          </w14:textFill>
        </w:rPr>
      </w:pPr>
      <w:r>
        <w:rPr>
          <w:rFonts w:eastAsia="仿宋_GB2312"/>
          <w:color w:val="000000" w:themeColor="text1"/>
          <w:sz w:val="36"/>
          <w:szCs w:val="36"/>
          <w14:textFill>
            <w14:solidFill>
              <w14:schemeClr w14:val="tx1"/>
            </w14:solidFill>
          </w14:textFill>
        </w:rPr>
        <w:t>编制日期：</w:t>
      </w:r>
      <w:r>
        <w:rPr>
          <w:rFonts w:eastAsia="仿宋_GB2312"/>
          <w:color w:val="000000" w:themeColor="text1"/>
          <w:sz w:val="36"/>
          <w:szCs w:val="36"/>
          <w:u w:val="single"/>
          <w14:textFill>
            <w14:solidFill>
              <w14:schemeClr w14:val="tx1"/>
            </w14:solidFill>
          </w14:textFill>
        </w:rPr>
        <w:t xml:space="preserve">          202</w:t>
      </w:r>
      <w:r>
        <w:rPr>
          <w:rFonts w:hint="eastAsia" w:eastAsia="仿宋_GB2312"/>
          <w:color w:val="000000" w:themeColor="text1"/>
          <w:sz w:val="36"/>
          <w:szCs w:val="36"/>
          <w:u w:val="single"/>
          <w14:textFill>
            <w14:solidFill>
              <w14:schemeClr w14:val="tx1"/>
            </w14:solidFill>
          </w14:textFill>
        </w:rPr>
        <w:t>6</w:t>
      </w:r>
      <w:r>
        <w:rPr>
          <w:rFonts w:eastAsia="仿宋_GB2312"/>
          <w:color w:val="000000" w:themeColor="text1"/>
          <w:sz w:val="36"/>
          <w:szCs w:val="36"/>
          <w:u w:val="single"/>
          <w14:textFill>
            <w14:solidFill>
              <w14:schemeClr w14:val="tx1"/>
            </w14:solidFill>
          </w14:textFill>
        </w:rPr>
        <w:t>年</w:t>
      </w:r>
      <w:r>
        <w:rPr>
          <w:rFonts w:hint="eastAsia" w:eastAsia="仿宋_GB2312"/>
          <w:color w:val="000000" w:themeColor="text1"/>
          <w:sz w:val="36"/>
          <w:szCs w:val="36"/>
          <w:u w:val="single"/>
          <w14:textFill>
            <w14:solidFill>
              <w14:schemeClr w14:val="tx1"/>
            </w14:solidFill>
          </w14:textFill>
        </w:rPr>
        <w:t>10</w:t>
      </w:r>
      <w:r>
        <w:rPr>
          <w:rFonts w:eastAsia="仿宋_GB2312"/>
          <w:color w:val="000000" w:themeColor="text1"/>
          <w:sz w:val="36"/>
          <w:szCs w:val="36"/>
          <w:u w:val="single"/>
          <w14:textFill>
            <w14:solidFill>
              <w14:schemeClr w14:val="tx1"/>
            </w14:solidFill>
          </w14:textFill>
        </w:rPr>
        <w:t xml:space="preserve">月                      </w:t>
      </w:r>
    </w:p>
    <w:p w14:paraId="4613DBE5">
      <w:pPr>
        <w:adjustRightInd w:val="0"/>
        <w:snapToGrid w:val="0"/>
        <w:spacing w:line="480" w:lineRule="auto"/>
        <w:ind w:firstLine="1040"/>
        <w:rPr>
          <w:rFonts w:eastAsia="仿宋_GB2312"/>
          <w:color w:val="000000" w:themeColor="text1"/>
          <w:sz w:val="36"/>
          <w:szCs w:val="36"/>
          <w14:textFill>
            <w14:solidFill>
              <w14:schemeClr w14:val="tx1"/>
            </w14:solidFill>
          </w14:textFill>
        </w:rPr>
      </w:pPr>
      <w:bookmarkStart w:id="1" w:name="_Hlk57884087"/>
    </w:p>
    <w:p w14:paraId="41803047">
      <w:pPr>
        <w:adjustRightInd w:val="0"/>
        <w:snapToGrid w:val="0"/>
        <w:spacing w:line="480" w:lineRule="auto"/>
        <w:ind w:firstLine="1040"/>
        <w:rPr>
          <w:rFonts w:eastAsia="仿宋_GB2312"/>
          <w:color w:val="000000" w:themeColor="text1"/>
          <w:sz w:val="36"/>
          <w:szCs w:val="36"/>
          <w14:textFill>
            <w14:solidFill>
              <w14:schemeClr w14:val="tx1"/>
            </w14:solidFill>
          </w14:textFill>
        </w:rPr>
      </w:pPr>
    </w:p>
    <w:bookmarkEnd w:id="1"/>
    <w:p w14:paraId="0363FB31">
      <w:pPr>
        <w:adjustRightInd w:val="0"/>
        <w:snapToGrid w:val="0"/>
        <w:spacing w:line="480" w:lineRule="auto"/>
        <w:jc w:val="center"/>
        <w:rPr>
          <w:rFonts w:eastAsia="楷体_GB2312"/>
          <w:color w:val="000000" w:themeColor="text1"/>
          <w:sz w:val="36"/>
          <w:szCs w:val="36"/>
          <w14:textFill>
            <w14:solidFill>
              <w14:schemeClr w14:val="tx1"/>
            </w14:solidFill>
          </w14:textFill>
        </w:rPr>
      </w:pPr>
      <w:r>
        <w:rPr>
          <w:rFonts w:eastAsia="楷体_GB2312"/>
          <w:color w:val="000000" w:themeColor="text1"/>
          <w:sz w:val="36"/>
          <w:szCs w:val="36"/>
          <w14:textFill>
            <w14:solidFill>
              <w14:schemeClr w14:val="tx1"/>
            </w14:solidFill>
          </w14:textFill>
        </w:rPr>
        <w:t>中华人民共和国生态环境部制</w:t>
      </w:r>
    </w:p>
    <w:p w14:paraId="1ABD3DAE">
      <w:pPr>
        <w:widowControl/>
        <w:jc w:val="left"/>
        <w:rPr>
          <w:rFonts w:eastAsia="仿宋_GB2312"/>
          <w:color w:val="000000" w:themeColor="text1"/>
          <w:sz w:val="36"/>
          <w:szCs w:val="36"/>
          <w14:textFill>
            <w14:solidFill>
              <w14:schemeClr w14:val="tx1"/>
            </w14:solidFill>
          </w14:textFill>
        </w:rPr>
      </w:pPr>
      <w:r>
        <w:rPr>
          <w:rFonts w:eastAsia="仿宋_GB2312"/>
          <w:color w:val="000000" w:themeColor="text1"/>
          <w:sz w:val="36"/>
          <w:szCs w:val="36"/>
          <w14:textFill>
            <w14:solidFill>
              <w14:schemeClr w14:val="tx1"/>
            </w14:solidFill>
          </w14:textFill>
        </w:rPr>
        <w:br w:type="page"/>
      </w:r>
    </w:p>
    <w:p w14:paraId="5A1E17C1">
      <w:pPr>
        <w:pStyle w:val="16"/>
        <w:rPr>
          <w:rFonts w:eastAsia="仿宋_GB2312"/>
          <w:color w:val="000000" w:themeColor="text1"/>
          <w:sz w:val="36"/>
          <w:szCs w:val="36"/>
          <w14:textFill>
            <w14:solidFill>
              <w14:schemeClr w14:val="tx1"/>
            </w14:solidFill>
          </w14:textFill>
        </w:rPr>
      </w:pPr>
    </w:p>
    <w:p w14:paraId="7B6E79B7">
      <w:pPr>
        <w:spacing w:line="480" w:lineRule="auto"/>
        <w:jc w:val="center"/>
        <w:rPr>
          <w:b/>
          <w:bCs/>
          <w:color w:val="000000" w:themeColor="text1"/>
          <w:sz w:val="32"/>
          <w:szCs w:val="32"/>
          <w14:textFill>
            <w14:solidFill>
              <w14:schemeClr w14:val="tx1"/>
            </w14:solidFill>
          </w14:textFill>
        </w:rPr>
      </w:pPr>
      <w:r>
        <w:rPr>
          <w:b/>
          <w:bCs/>
          <w:color w:val="000000" w:themeColor="text1"/>
          <w:sz w:val="32"/>
          <w:szCs w:val="32"/>
          <w14:textFill>
            <w14:solidFill>
              <w14:schemeClr w14:val="tx1"/>
            </w14:solidFill>
          </w14:textFill>
        </w:rPr>
        <w:t>目  录</w:t>
      </w:r>
    </w:p>
    <w:p w14:paraId="584A5D49">
      <w:pPr>
        <w:pStyle w:val="61"/>
        <w:tabs>
          <w:tab w:val="right" w:leader="dot" w:pos="8844"/>
        </w:tabs>
        <w:spacing w:line="480" w:lineRule="auto"/>
        <w:rPr>
          <w:color w:val="000000" w:themeColor="text1"/>
          <w:sz w:val="24"/>
          <w:szCs w:val="24"/>
          <w14:textFill>
            <w14:solidFill>
              <w14:schemeClr w14:val="tx1"/>
            </w14:solidFill>
          </w14:textFill>
        </w:rPr>
      </w:pPr>
      <w:r>
        <w:rPr>
          <w:rFonts w:eastAsia="仿宋_GB2312"/>
          <w:color w:val="000000" w:themeColor="text1"/>
          <w:sz w:val="24"/>
          <w:szCs w:val="24"/>
          <w14:textFill>
            <w14:solidFill>
              <w14:schemeClr w14:val="tx1"/>
            </w14:solidFill>
          </w14:textFill>
        </w:rPr>
        <w:fldChar w:fldCharType="begin"/>
      </w:r>
      <w:r>
        <w:rPr>
          <w:rFonts w:eastAsia="仿宋_GB2312"/>
          <w:color w:val="000000" w:themeColor="text1"/>
          <w:sz w:val="24"/>
          <w:szCs w:val="24"/>
          <w14:textFill>
            <w14:solidFill>
              <w14:schemeClr w14:val="tx1"/>
            </w14:solidFill>
          </w14:textFill>
        </w:rPr>
        <w:instrText xml:space="preserve">TOC \o "1-1" \h \u </w:instrText>
      </w:r>
      <w:r>
        <w:rPr>
          <w:rFonts w:eastAsia="仿宋_GB2312"/>
          <w:color w:val="000000" w:themeColor="text1"/>
          <w:sz w:val="24"/>
          <w:szCs w:val="24"/>
          <w14:textFill>
            <w14:solidFill>
              <w14:schemeClr w14:val="tx1"/>
            </w14:solidFill>
          </w14:textFill>
        </w:rPr>
        <w:fldChar w:fldCharType="separate"/>
      </w:r>
    </w:p>
    <w:p w14:paraId="4611983D">
      <w:pPr>
        <w:pStyle w:val="61"/>
        <w:tabs>
          <w:tab w:val="right" w:leader="dot" w:pos="8844"/>
        </w:tabs>
        <w:spacing w:line="480" w:lineRule="auto"/>
        <w:rPr>
          <w:color w:val="000000" w:themeColor="text1"/>
          <w:sz w:val="28"/>
          <w:szCs w:val="28"/>
          <w14:textFill>
            <w14:solidFill>
              <w14:schemeClr w14:val="tx1"/>
            </w14:solidFill>
          </w14:textFill>
        </w:rPr>
      </w:pPr>
      <w:r>
        <w:fldChar w:fldCharType="begin"/>
      </w:r>
      <w:r>
        <w:instrText xml:space="preserve"> HYPERLINK \l "_Toc29500" </w:instrText>
      </w:r>
      <w:r>
        <w:fldChar w:fldCharType="separate"/>
      </w:r>
      <w:r>
        <w:rPr>
          <w:rFonts w:eastAsia="黑体"/>
          <w:snapToGrid w:val="0"/>
          <w:color w:val="000000" w:themeColor="text1"/>
          <w:sz w:val="28"/>
          <w:szCs w:val="28"/>
          <w14:textFill>
            <w14:solidFill>
              <w14:schemeClr w14:val="tx1"/>
            </w14:solidFill>
          </w14:textFill>
        </w:rPr>
        <w:t>一、建设项目基本情况</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_Toc29500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1</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65BC84D9">
      <w:pPr>
        <w:pStyle w:val="61"/>
        <w:tabs>
          <w:tab w:val="right" w:leader="dot" w:pos="8844"/>
        </w:tabs>
        <w:spacing w:line="480" w:lineRule="auto"/>
        <w:rPr>
          <w:color w:val="000000" w:themeColor="text1"/>
          <w:sz w:val="28"/>
          <w:szCs w:val="28"/>
          <w14:textFill>
            <w14:solidFill>
              <w14:schemeClr w14:val="tx1"/>
            </w14:solidFill>
          </w14:textFill>
        </w:rPr>
      </w:pPr>
      <w:r>
        <w:fldChar w:fldCharType="begin"/>
      </w:r>
      <w:r>
        <w:instrText xml:space="preserve"> HYPERLINK \l "_Toc21940" </w:instrText>
      </w:r>
      <w:r>
        <w:fldChar w:fldCharType="separate"/>
      </w:r>
      <w:r>
        <w:rPr>
          <w:rFonts w:eastAsia="黑体"/>
          <w:snapToGrid w:val="0"/>
          <w:color w:val="000000" w:themeColor="text1"/>
          <w:sz w:val="28"/>
          <w:szCs w:val="28"/>
          <w14:textFill>
            <w14:solidFill>
              <w14:schemeClr w14:val="tx1"/>
            </w14:solidFill>
          </w14:textFill>
        </w:rPr>
        <w:t>二、建设项目工程分析</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_Toc21940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27</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43F4A1B0">
      <w:pPr>
        <w:pStyle w:val="61"/>
        <w:tabs>
          <w:tab w:val="right" w:leader="dot" w:pos="8844"/>
        </w:tabs>
        <w:spacing w:line="480" w:lineRule="auto"/>
        <w:rPr>
          <w:color w:val="000000" w:themeColor="text1"/>
          <w:sz w:val="28"/>
          <w:szCs w:val="28"/>
          <w14:textFill>
            <w14:solidFill>
              <w14:schemeClr w14:val="tx1"/>
            </w14:solidFill>
          </w14:textFill>
        </w:rPr>
      </w:pPr>
      <w:r>
        <w:fldChar w:fldCharType="begin"/>
      </w:r>
      <w:r>
        <w:instrText xml:space="preserve"> HYPERLINK \l "_Toc24964" </w:instrText>
      </w:r>
      <w:r>
        <w:fldChar w:fldCharType="separate"/>
      </w:r>
      <w:r>
        <w:rPr>
          <w:rFonts w:eastAsia="黑体"/>
          <w:snapToGrid w:val="0"/>
          <w:color w:val="000000" w:themeColor="text1"/>
          <w:sz w:val="28"/>
          <w:szCs w:val="28"/>
          <w14:textFill>
            <w14:solidFill>
              <w14:schemeClr w14:val="tx1"/>
            </w14:solidFill>
          </w14:textFill>
        </w:rPr>
        <w:t>三、区域环境质量现状、环境保护目标及评价标准</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_Toc24964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49</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7CCFFDC9">
      <w:pPr>
        <w:pStyle w:val="61"/>
        <w:tabs>
          <w:tab w:val="right" w:leader="dot" w:pos="8844"/>
        </w:tabs>
        <w:spacing w:line="480" w:lineRule="auto"/>
        <w:rPr>
          <w:color w:val="000000" w:themeColor="text1"/>
          <w:sz w:val="28"/>
          <w:szCs w:val="28"/>
          <w14:textFill>
            <w14:solidFill>
              <w14:schemeClr w14:val="tx1"/>
            </w14:solidFill>
          </w14:textFill>
        </w:rPr>
      </w:pPr>
      <w:r>
        <w:fldChar w:fldCharType="begin"/>
      </w:r>
      <w:r>
        <w:instrText xml:space="preserve"> HYPERLINK \l "_Toc21914" </w:instrText>
      </w:r>
      <w:r>
        <w:fldChar w:fldCharType="separate"/>
      </w:r>
      <w:r>
        <w:rPr>
          <w:rFonts w:eastAsia="黑体"/>
          <w:snapToGrid w:val="0"/>
          <w:color w:val="000000" w:themeColor="text1"/>
          <w:sz w:val="28"/>
          <w:szCs w:val="28"/>
          <w14:textFill>
            <w14:solidFill>
              <w14:schemeClr w14:val="tx1"/>
            </w14:solidFill>
          </w14:textFill>
        </w:rPr>
        <w:t>四、主要环境影响和保护措施</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_Toc21914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57</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42DD3BAE">
      <w:pPr>
        <w:pStyle w:val="61"/>
        <w:tabs>
          <w:tab w:val="right" w:leader="dot" w:pos="8844"/>
        </w:tabs>
        <w:spacing w:line="480" w:lineRule="auto"/>
        <w:rPr>
          <w:color w:val="000000" w:themeColor="text1"/>
          <w:sz w:val="28"/>
          <w:szCs w:val="28"/>
          <w14:textFill>
            <w14:solidFill>
              <w14:schemeClr w14:val="tx1"/>
            </w14:solidFill>
          </w14:textFill>
        </w:rPr>
      </w:pPr>
      <w:r>
        <w:fldChar w:fldCharType="begin"/>
      </w:r>
      <w:r>
        <w:instrText xml:space="preserve"> HYPERLINK \l "_Toc11957" </w:instrText>
      </w:r>
      <w:r>
        <w:fldChar w:fldCharType="separate"/>
      </w:r>
      <w:r>
        <w:rPr>
          <w:rFonts w:eastAsia="黑体"/>
          <w:snapToGrid w:val="0"/>
          <w:color w:val="000000" w:themeColor="text1"/>
          <w:sz w:val="28"/>
          <w:szCs w:val="28"/>
          <w14:textFill>
            <w14:solidFill>
              <w14:schemeClr w14:val="tx1"/>
            </w14:solidFill>
          </w14:textFill>
        </w:rPr>
        <w:t>五、环境保护措施监督检查清单</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_Toc11957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88</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4C0A6D04">
      <w:pPr>
        <w:pStyle w:val="61"/>
        <w:tabs>
          <w:tab w:val="right" w:leader="dot" w:pos="8844"/>
        </w:tabs>
        <w:spacing w:line="480" w:lineRule="auto"/>
        <w:rPr>
          <w:color w:val="000000" w:themeColor="text1"/>
          <w:sz w:val="28"/>
          <w:szCs w:val="28"/>
          <w14:textFill>
            <w14:solidFill>
              <w14:schemeClr w14:val="tx1"/>
            </w14:solidFill>
          </w14:textFill>
        </w:rPr>
      </w:pPr>
      <w:r>
        <w:fldChar w:fldCharType="begin"/>
      </w:r>
      <w:r>
        <w:instrText xml:space="preserve"> HYPERLINK \l "_Toc17513" </w:instrText>
      </w:r>
      <w:r>
        <w:fldChar w:fldCharType="separate"/>
      </w:r>
      <w:r>
        <w:rPr>
          <w:rFonts w:eastAsia="黑体"/>
          <w:snapToGrid w:val="0"/>
          <w:color w:val="000000" w:themeColor="text1"/>
          <w:sz w:val="28"/>
          <w:szCs w:val="28"/>
          <w14:textFill>
            <w14:solidFill>
              <w14:schemeClr w14:val="tx1"/>
            </w14:solidFill>
          </w14:textFill>
        </w:rPr>
        <w:t>六、结论</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_Toc17513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91</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525CC637">
      <w:pPr>
        <w:pStyle w:val="61"/>
        <w:tabs>
          <w:tab w:val="right" w:leader="dot" w:pos="8844"/>
        </w:tabs>
        <w:spacing w:line="480" w:lineRule="auto"/>
        <w:rPr>
          <w:color w:val="000000" w:themeColor="text1"/>
          <w:sz w:val="24"/>
          <w:szCs w:val="24"/>
          <w14:textFill>
            <w14:solidFill>
              <w14:schemeClr w14:val="tx1"/>
            </w14:solidFill>
          </w14:textFill>
        </w:rPr>
      </w:pPr>
      <w:r>
        <w:fldChar w:fldCharType="begin"/>
      </w:r>
      <w:r>
        <w:instrText xml:space="preserve"> HYPERLINK \l "_Toc3395" </w:instrText>
      </w:r>
      <w:r>
        <w:fldChar w:fldCharType="separate"/>
      </w:r>
      <w:r>
        <w:rPr>
          <w:rFonts w:eastAsia="方正小标宋_GBK"/>
          <w:snapToGrid w:val="0"/>
          <w:color w:val="000000" w:themeColor="text1"/>
          <w:sz w:val="28"/>
          <w:szCs w:val="28"/>
          <w14:textFill>
            <w14:solidFill>
              <w14:schemeClr w14:val="tx1"/>
            </w14:solidFill>
          </w14:textFill>
        </w:rPr>
        <w:t>建设项目污染物排放量汇总表</w:t>
      </w:r>
      <w:r>
        <w:rPr>
          <w:color w:val="000000" w:themeColor="text1"/>
          <w:sz w:val="28"/>
          <w:szCs w:val="28"/>
          <w14:textFill>
            <w14:solidFill>
              <w14:schemeClr w14:val="tx1"/>
            </w14:solidFill>
          </w14:textFill>
        </w:rPr>
        <w:tab/>
      </w: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PAGEREF _Toc3395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t>92</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fldChar w:fldCharType="end"/>
      </w:r>
    </w:p>
    <w:p w14:paraId="242EBC13">
      <w:pPr>
        <w:pStyle w:val="16"/>
        <w:spacing w:line="480" w:lineRule="auto"/>
        <w:rPr>
          <w:rFonts w:eastAsia="仿宋_GB2312"/>
          <w:color w:val="000000" w:themeColor="text1"/>
          <w:sz w:val="24"/>
          <w:szCs w:val="24"/>
          <w14:textFill>
            <w14:solidFill>
              <w14:schemeClr w14:val="tx1"/>
            </w14:solidFill>
          </w14:textFill>
        </w:rPr>
      </w:pPr>
      <w:r>
        <w:rPr>
          <w:rFonts w:eastAsia="仿宋_GB2312"/>
          <w:color w:val="000000" w:themeColor="text1"/>
          <w:sz w:val="24"/>
          <w:szCs w:val="24"/>
          <w14:textFill>
            <w14:solidFill>
              <w14:schemeClr w14:val="tx1"/>
            </w14:solidFill>
          </w14:textFill>
        </w:rPr>
        <w:fldChar w:fldCharType="end"/>
      </w:r>
    </w:p>
    <w:p w14:paraId="1FD3307E">
      <w:pPr>
        <w:widowControl/>
        <w:jc w:val="left"/>
        <w:rPr>
          <w:rFonts w:eastAsia="仿宋_GB2312"/>
          <w:color w:val="000000" w:themeColor="text1"/>
          <w:kern w:val="0"/>
          <w:sz w:val="24"/>
          <w14:textFill>
            <w14:solidFill>
              <w14:schemeClr w14:val="tx1"/>
            </w14:solidFill>
          </w14:textFill>
        </w:rPr>
      </w:pPr>
      <w:r>
        <w:rPr>
          <w:rFonts w:eastAsia="仿宋_GB2312"/>
          <w:color w:val="000000" w:themeColor="text1"/>
          <w:sz w:val="24"/>
          <w14:textFill>
            <w14:solidFill>
              <w14:schemeClr w14:val="tx1"/>
            </w14:solidFill>
          </w14:textFill>
        </w:rPr>
        <w:br w:type="page"/>
      </w:r>
    </w:p>
    <w:p w14:paraId="1A2A0547">
      <w:pPr>
        <w:pStyle w:val="16"/>
        <w:spacing w:line="480" w:lineRule="auto"/>
        <w:rPr>
          <w:rFonts w:eastAsia="仿宋_GB2312"/>
          <w:color w:val="000000" w:themeColor="text1"/>
          <w:sz w:val="24"/>
          <w:szCs w:val="24"/>
          <w14:textFill>
            <w14:solidFill>
              <w14:schemeClr w14:val="tx1"/>
            </w14:solidFill>
          </w14:textFill>
        </w:rPr>
        <w:sectPr>
          <w:footerReference r:id="rId3" w:type="default"/>
          <w:pgSz w:w="11906" w:h="16838"/>
          <w:pgMar w:top="1701" w:right="1531" w:bottom="1701" w:left="1531" w:header="851" w:footer="1077" w:gutter="0"/>
          <w:pgNumType w:start="1"/>
          <w:cols w:space="720" w:num="1"/>
          <w:docGrid w:linePitch="312" w:charSpace="0"/>
        </w:sectPr>
      </w:pPr>
    </w:p>
    <w:p w14:paraId="1840AC32">
      <w:pPr>
        <w:pStyle w:val="16"/>
        <w:spacing w:line="336" w:lineRule="auto"/>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附件：</w:t>
      </w:r>
    </w:p>
    <w:p w14:paraId="66004A78">
      <w:pPr>
        <w:pStyle w:val="16"/>
        <w:spacing w:line="336" w:lineRule="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附件1  投资备案证</w:t>
      </w:r>
    </w:p>
    <w:p w14:paraId="7BB11ED7">
      <w:pPr>
        <w:pStyle w:val="16"/>
        <w:spacing w:line="336" w:lineRule="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附件2</w:t>
      </w:r>
      <w:r>
        <w:rPr>
          <w:rFonts w:hint="eastAsia"/>
          <w:color w:val="000000" w:themeColor="text1"/>
          <w:sz w:val="24"/>
          <w:szCs w:val="24"/>
          <w14:textFill>
            <w14:solidFill>
              <w14:schemeClr w14:val="tx1"/>
            </w14:solidFill>
          </w14:textFill>
        </w:rPr>
        <w:t xml:space="preserve">  租地</w:t>
      </w:r>
      <w:r>
        <w:rPr>
          <w:color w:val="000000" w:themeColor="text1"/>
          <w:sz w:val="24"/>
          <w:szCs w:val="24"/>
          <w14:textFill>
            <w14:solidFill>
              <w14:schemeClr w14:val="tx1"/>
            </w14:solidFill>
          </w14:textFill>
        </w:rPr>
        <w:t>协议</w:t>
      </w:r>
    </w:p>
    <w:p w14:paraId="2051ED36">
      <w:pPr>
        <w:pStyle w:val="16"/>
        <w:spacing w:line="336" w:lineRule="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附件3  </w:t>
      </w:r>
      <w:r>
        <w:rPr>
          <w:rFonts w:hint="eastAsia"/>
          <w:color w:val="000000" w:themeColor="text1"/>
          <w:sz w:val="24"/>
          <w:szCs w:val="24"/>
          <w14:textFill>
            <w14:solidFill>
              <w14:schemeClr w14:val="tx1"/>
            </w14:solidFill>
          </w14:textFill>
        </w:rPr>
        <w:t>入园同意书</w:t>
      </w:r>
    </w:p>
    <w:p w14:paraId="585B6F0C">
      <w:pPr>
        <w:pStyle w:val="16"/>
        <w:spacing w:line="336" w:lineRule="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附件4  </w:t>
      </w:r>
      <w:r>
        <w:rPr>
          <w:rFonts w:hint="eastAsia"/>
          <w:color w:val="000000" w:themeColor="text1"/>
          <w:sz w:val="24"/>
          <w:szCs w:val="24"/>
          <w14:textFill>
            <w14:solidFill>
              <w14:schemeClr w14:val="tx1"/>
            </w14:solidFill>
          </w14:textFill>
        </w:rPr>
        <w:t>生物发酵剂成分监测报告</w:t>
      </w:r>
    </w:p>
    <w:p w14:paraId="7710D103">
      <w:pPr>
        <w:pStyle w:val="16"/>
        <w:spacing w:line="336" w:lineRule="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附件</w:t>
      </w:r>
      <w:r>
        <w:rPr>
          <w:rFonts w:hint="eastAsia"/>
          <w:color w:val="000000" w:themeColor="text1"/>
          <w:sz w:val="24"/>
          <w:szCs w:val="24"/>
          <w14:textFill>
            <w14:solidFill>
              <w14:schemeClr w14:val="tx1"/>
            </w14:solidFill>
          </w14:textFill>
        </w:rPr>
        <w:t>5</w:t>
      </w:r>
      <w:r>
        <w:rPr>
          <w:color w:val="000000" w:themeColor="text1"/>
          <w:sz w:val="24"/>
          <w:szCs w:val="24"/>
          <w14:textFill>
            <w14:solidFill>
              <w14:schemeClr w14:val="tx1"/>
            </w14:solidFill>
          </w14:textFill>
        </w:rPr>
        <w:t xml:space="preserve">  </w:t>
      </w:r>
      <w:r>
        <w:rPr>
          <w:rFonts w:hint="eastAsia"/>
          <w:color w:val="000000" w:themeColor="text1"/>
          <w:sz w:val="24"/>
          <w:szCs w:val="24"/>
          <w14:textFill>
            <w14:solidFill>
              <w14:schemeClr w14:val="tx1"/>
            </w14:solidFill>
          </w14:textFill>
        </w:rPr>
        <w:t>低变质褐煤成分监测报告</w:t>
      </w:r>
    </w:p>
    <w:p w14:paraId="68A6111E">
      <w:pPr>
        <w:pStyle w:val="16"/>
        <w:spacing w:line="336" w:lineRule="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附件</w:t>
      </w:r>
      <w:r>
        <w:rPr>
          <w:rFonts w:hint="eastAsia"/>
          <w:color w:val="000000" w:themeColor="text1"/>
          <w:sz w:val="24"/>
          <w:szCs w:val="24"/>
          <w14:textFill>
            <w14:solidFill>
              <w14:schemeClr w14:val="tx1"/>
            </w14:solidFill>
          </w14:textFill>
        </w:rPr>
        <w:t>6</w:t>
      </w:r>
      <w:r>
        <w:rPr>
          <w:color w:val="000000" w:themeColor="text1"/>
          <w:sz w:val="24"/>
          <w:szCs w:val="24"/>
          <w14:textFill>
            <w14:solidFill>
              <w14:schemeClr w14:val="tx1"/>
            </w14:solidFill>
          </w14:textFill>
        </w:rPr>
        <w:t xml:space="preserve">  </w:t>
      </w:r>
      <w:r>
        <w:rPr>
          <w:rFonts w:hint="eastAsia"/>
          <w:color w:val="000000" w:themeColor="text1"/>
          <w:sz w:val="24"/>
          <w:szCs w:val="24"/>
          <w14:textFill>
            <w14:solidFill>
              <w14:schemeClr w14:val="tx1"/>
            </w14:solidFill>
          </w14:textFill>
        </w:rPr>
        <w:t>云岭水泥脱销环评批复</w:t>
      </w:r>
    </w:p>
    <w:p w14:paraId="165EB2CD">
      <w:pPr>
        <w:pStyle w:val="16"/>
        <w:spacing w:line="336" w:lineRule="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附件</w:t>
      </w:r>
      <w:r>
        <w:rPr>
          <w:rFonts w:hint="eastAsia"/>
          <w:color w:val="000000" w:themeColor="text1"/>
          <w:sz w:val="24"/>
          <w:szCs w:val="24"/>
          <w14:textFill>
            <w14:solidFill>
              <w14:schemeClr w14:val="tx1"/>
            </w14:solidFill>
          </w14:textFill>
        </w:rPr>
        <w:t>7</w:t>
      </w:r>
      <w:r>
        <w:rPr>
          <w:color w:val="000000" w:themeColor="text1"/>
          <w:sz w:val="24"/>
          <w:szCs w:val="24"/>
          <w14:textFill>
            <w14:solidFill>
              <w14:schemeClr w14:val="tx1"/>
            </w14:solidFill>
          </w14:textFill>
        </w:rPr>
        <w:t xml:space="preserve">  </w:t>
      </w:r>
      <w:r>
        <w:rPr>
          <w:rFonts w:hint="eastAsia"/>
          <w:color w:val="000000" w:themeColor="text1"/>
          <w:sz w:val="24"/>
          <w:szCs w:val="24"/>
          <w14:textFill>
            <w14:solidFill>
              <w14:schemeClr w14:val="tx1"/>
            </w14:solidFill>
          </w14:textFill>
        </w:rPr>
        <w:t>云岭水泥脱硝项目验收批复</w:t>
      </w:r>
    </w:p>
    <w:p w14:paraId="6E9089B3">
      <w:pPr>
        <w:pStyle w:val="16"/>
        <w:spacing w:line="336" w:lineRule="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附件</w:t>
      </w:r>
      <w:r>
        <w:rPr>
          <w:rFonts w:hint="eastAsia"/>
          <w:color w:val="000000" w:themeColor="text1"/>
          <w:sz w:val="24"/>
          <w:szCs w:val="24"/>
          <w14:textFill>
            <w14:solidFill>
              <w14:schemeClr w14:val="tx1"/>
            </w14:solidFill>
          </w14:textFill>
        </w:rPr>
        <w:t>8  规划环评审查意见</w:t>
      </w:r>
    </w:p>
    <w:p w14:paraId="7AC29E0A">
      <w:pPr>
        <w:pStyle w:val="16"/>
        <w:spacing w:line="336" w:lineRule="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附件9</w:t>
      </w:r>
      <w:r>
        <w:rPr>
          <w:color w:val="000000" w:themeColor="text1"/>
          <w:sz w:val="24"/>
          <w:szCs w:val="24"/>
          <w14:textFill>
            <w14:solidFill>
              <w14:schemeClr w14:val="tx1"/>
            </w14:solidFill>
          </w14:textFill>
        </w:rPr>
        <w:t xml:space="preserve">  </w:t>
      </w:r>
      <w:r>
        <w:rPr>
          <w:rFonts w:hint="eastAsia"/>
          <w:color w:val="000000" w:themeColor="text1"/>
          <w:sz w:val="24"/>
          <w:szCs w:val="24"/>
          <w14:textFill>
            <w14:solidFill>
              <w14:schemeClr w14:val="tx1"/>
            </w14:solidFill>
          </w14:textFill>
        </w:rPr>
        <w:t>营业执照（青思生物）</w:t>
      </w:r>
    </w:p>
    <w:p w14:paraId="01AD77A0">
      <w:pPr>
        <w:pStyle w:val="16"/>
        <w:spacing w:line="336" w:lineRule="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附件</w:t>
      </w:r>
      <w:r>
        <w:rPr>
          <w:rFonts w:hint="eastAsia"/>
          <w:color w:val="000000" w:themeColor="text1"/>
          <w:sz w:val="24"/>
          <w:szCs w:val="24"/>
          <w14:textFill>
            <w14:solidFill>
              <w14:schemeClr w14:val="tx1"/>
            </w14:solidFill>
          </w14:textFill>
        </w:rPr>
        <w:t>10</w:t>
      </w:r>
      <w:r>
        <w:rPr>
          <w:color w:val="000000" w:themeColor="text1"/>
          <w:sz w:val="24"/>
          <w:szCs w:val="24"/>
          <w14:textFill>
            <w14:solidFill>
              <w14:schemeClr w14:val="tx1"/>
            </w14:solidFill>
          </w14:textFill>
        </w:rPr>
        <w:t xml:space="preserve">  </w:t>
      </w:r>
      <w:r>
        <w:rPr>
          <w:rFonts w:hint="eastAsia"/>
          <w:color w:val="000000" w:themeColor="text1"/>
          <w:sz w:val="24"/>
          <w:szCs w:val="24"/>
          <w14:textFill>
            <w14:solidFill>
              <w14:schemeClr w14:val="tx1"/>
            </w14:solidFill>
          </w14:textFill>
        </w:rPr>
        <w:t>寻甸县工信局行业认定文件</w:t>
      </w:r>
    </w:p>
    <w:p w14:paraId="13BF851D">
      <w:pPr>
        <w:pStyle w:val="16"/>
        <w:spacing w:line="336" w:lineRule="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附件11  网络公示证明材料</w:t>
      </w:r>
    </w:p>
    <w:p w14:paraId="250C49D1">
      <w:pPr>
        <w:pStyle w:val="16"/>
        <w:spacing w:line="336" w:lineRule="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附件12  云岭水泥自行监测报告</w:t>
      </w:r>
    </w:p>
    <w:p w14:paraId="33851C8A">
      <w:pPr>
        <w:pStyle w:val="16"/>
        <w:spacing w:line="336" w:lineRule="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附件13  委托书</w:t>
      </w:r>
    </w:p>
    <w:p w14:paraId="17A26408">
      <w:pPr>
        <w:pStyle w:val="16"/>
        <w:spacing w:line="336" w:lineRule="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附件14  质量控制记录表</w:t>
      </w:r>
    </w:p>
    <w:p w14:paraId="5309A673">
      <w:pPr>
        <w:pStyle w:val="16"/>
        <w:spacing w:line="336" w:lineRule="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附件15  项目进度表</w:t>
      </w:r>
    </w:p>
    <w:p w14:paraId="212DCFAB">
      <w:pPr>
        <w:pStyle w:val="16"/>
        <w:spacing w:line="336" w:lineRule="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附件16  评审意见及修改对照</w:t>
      </w:r>
    </w:p>
    <w:p w14:paraId="56C50E9B">
      <w:pPr>
        <w:pStyle w:val="16"/>
        <w:spacing w:line="336" w:lineRule="auto"/>
        <w:rPr>
          <w:color w:val="000000" w:themeColor="text1"/>
          <w:sz w:val="24"/>
          <w:szCs w:val="24"/>
          <w14:textFill>
            <w14:solidFill>
              <w14:schemeClr w14:val="tx1"/>
            </w14:solidFill>
          </w14:textFill>
        </w:rPr>
      </w:pPr>
    </w:p>
    <w:p w14:paraId="595079B1">
      <w:pPr>
        <w:pStyle w:val="16"/>
        <w:spacing w:line="336" w:lineRule="auto"/>
        <w:rPr>
          <w:color w:val="000000" w:themeColor="text1"/>
          <w:sz w:val="24"/>
          <w:szCs w:val="24"/>
          <w14:textFill>
            <w14:solidFill>
              <w14:schemeClr w14:val="tx1"/>
            </w14:solidFill>
          </w14:textFill>
        </w:rPr>
      </w:pPr>
    </w:p>
    <w:p w14:paraId="34B464C5">
      <w:pPr>
        <w:pStyle w:val="16"/>
        <w:spacing w:line="336" w:lineRule="auto"/>
        <w:rPr>
          <w:color w:val="000000" w:themeColor="text1"/>
          <w:sz w:val="24"/>
          <w:szCs w:val="24"/>
          <w14:textFill>
            <w14:solidFill>
              <w14:schemeClr w14:val="tx1"/>
            </w14:solidFill>
          </w14:textFill>
        </w:rPr>
      </w:pPr>
    </w:p>
    <w:p w14:paraId="2AACDE1E">
      <w:pPr>
        <w:widowControl/>
        <w:jc w:val="left"/>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br w:type="page"/>
      </w:r>
    </w:p>
    <w:p w14:paraId="7A9D9875">
      <w:pPr>
        <w:pStyle w:val="16"/>
        <w:spacing w:line="336" w:lineRule="auto"/>
        <w:rPr>
          <w:color w:val="000000" w:themeColor="text1"/>
          <w:sz w:val="24"/>
          <w:szCs w:val="24"/>
          <w14:textFill>
            <w14:solidFill>
              <w14:schemeClr w14:val="tx1"/>
            </w14:solidFill>
          </w14:textFill>
        </w:rPr>
      </w:pPr>
    </w:p>
    <w:p w14:paraId="711E7392">
      <w:pPr>
        <w:pStyle w:val="16"/>
        <w:spacing w:line="336" w:lineRule="auto"/>
        <w:rPr>
          <w:b/>
          <w:bCs/>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附图：</w:t>
      </w:r>
    </w:p>
    <w:p w14:paraId="62F1BF6E">
      <w:pPr>
        <w:pStyle w:val="16"/>
        <w:spacing w:line="336" w:lineRule="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附图1  项目地理位置图</w:t>
      </w:r>
    </w:p>
    <w:p w14:paraId="09F928CE">
      <w:pPr>
        <w:pStyle w:val="16"/>
        <w:spacing w:line="336" w:lineRule="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附图2  项目区水系图</w:t>
      </w:r>
    </w:p>
    <w:p w14:paraId="3F926FEF">
      <w:pPr>
        <w:pStyle w:val="16"/>
        <w:spacing w:line="336" w:lineRule="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附图3-1  项目总平面布置图</w:t>
      </w:r>
    </w:p>
    <w:p w14:paraId="14153A78">
      <w:pPr>
        <w:pStyle w:val="16"/>
        <w:spacing w:line="336" w:lineRule="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附图3-2  与云南建工云岭水泥厂平面关系图</w:t>
      </w:r>
    </w:p>
    <w:p w14:paraId="323623E4">
      <w:pPr>
        <w:pStyle w:val="16"/>
        <w:spacing w:line="336" w:lineRule="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附图4  项目区保护目标分布图</w:t>
      </w:r>
    </w:p>
    <w:p w14:paraId="7A3E1515">
      <w:pPr>
        <w:pStyle w:val="16"/>
        <w:spacing w:line="336" w:lineRule="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附图5</w:t>
      </w:r>
      <w:r>
        <w:rPr>
          <w:rFonts w:hint="eastAsia"/>
          <w:color w:val="000000" w:themeColor="text1"/>
          <w:sz w:val="24"/>
          <w:szCs w:val="24"/>
          <w14:textFill>
            <w14:solidFill>
              <w14:schemeClr w14:val="tx1"/>
            </w14:solidFill>
          </w14:textFill>
        </w:rPr>
        <w:t>-1</w:t>
      </w:r>
      <w:r>
        <w:rPr>
          <w:color w:val="000000" w:themeColor="text1"/>
          <w:sz w:val="24"/>
          <w:szCs w:val="24"/>
          <w14:textFill>
            <w14:solidFill>
              <w14:schemeClr w14:val="tx1"/>
            </w14:solidFill>
          </w14:textFill>
        </w:rPr>
        <w:t xml:space="preserve">  </w:t>
      </w:r>
      <w:r>
        <w:rPr>
          <w:rFonts w:hint="eastAsia"/>
          <w:color w:val="000000" w:themeColor="text1"/>
          <w:sz w:val="24"/>
          <w:szCs w:val="24"/>
          <w14:textFill>
            <w14:solidFill>
              <w14:schemeClr w14:val="tx1"/>
            </w14:solidFill>
          </w14:textFill>
        </w:rPr>
        <w:t>与园区用地规划关系图</w:t>
      </w:r>
    </w:p>
    <w:p w14:paraId="50530ADC">
      <w:pPr>
        <w:pStyle w:val="16"/>
        <w:spacing w:line="336" w:lineRule="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附图5-2  与园区功能分区规划关系图</w:t>
      </w:r>
    </w:p>
    <w:p w14:paraId="0FBFA861">
      <w:pPr>
        <w:pStyle w:val="16"/>
        <w:spacing w:line="336" w:lineRule="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附图</w:t>
      </w:r>
      <w:r>
        <w:rPr>
          <w:rFonts w:hint="eastAsia"/>
          <w:color w:val="000000" w:themeColor="text1"/>
          <w:sz w:val="24"/>
          <w:szCs w:val="24"/>
          <w14:textFill>
            <w14:solidFill>
              <w14:schemeClr w14:val="tx1"/>
            </w14:solidFill>
          </w14:textFill>
        </w:rPr>
        <w:t>6</w:t>
      </w:r>
      <w:r>
        <w:rPr>
          <w:color w:val="000000" w:themeColor="text1"/>
          <w:sz w:val="24"/>
          <w:szCs w:val="24"/>
          <w14:textFill>
            <w14:solidFill>
              <w14:schemeClr w14:val="tx1"/>
            </w14:solidFill>
          </w14:textFill>
        </w:rPr>
        <w:t xml:space="preserve">  </w:t>
      </w:r>
      <w:r>
        <w:rPr>
          <w:rFonts w:hint="eastAsia"/>
          <w:color w:val="000000" w:themeColor="text1"/>
          <w:sz w:val="24"/>
          <w:szCs w:val="24"/>
          <w14:textFill>
            <w14:solidFill>
              <w14:schemeClr w14:val="tx1"/>
            </w14:solidFill>
          </w14:textFill>
        </w:rPr>
        <w:t>与牛栏江流域（云南段）水环境保护分区关系图</w:t>
      </w:r>
    </w:p>
    <w:p w14:paraId="63121BED">
      <w:pPr>
        <w:pStyle w:val="16"/>
        <w:spacing w:line="336" w:lineRule="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附图7  与牛栏江（寻甸段）水环境保护分区关系图</w:t>
      </w:r>
    </w:p>
    <w:p w14:paraId="5A9A51E8">
      <w:pPr>
        <w:pStyle w:val="16"/>
        <w:spacing w:line="336" w:lineRule="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附图8  项目与分区管控单元关系图</w:t>
      </w:r>
    </w:p>
    <w:p w14:paraId="2F7C99CF">
      <w:pPr>
        <w:pStyle w:val="16"/>
        <w:spacing w:line="336" w:lineRule="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附图9  与生态保护红线关系图</w:t>
      </w:r>
    </w:p>
    <w:p w14:paraId="6EB88F71">
      <w:pPr>
        <w:pStyle w:val="16"/>
        <w:spacing w:line="336" w:lineRule="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附图10  项目分区防渗图</w:t>
      </w:r>
    </w:p>
    <w:p w14:paraId="4F02CC47">
      <w:pPr>
        <w:pStyle w:val="16"/>
        <w:spacing w:line="336" w:lineRule="auto"/>
        <w:rPr>
          <w:color w:val="000000" w:themeColor="text1"/>
          <w:sz w:val="24"/>
          <w:szCs w:val="24"/>
          <w14:textFill>
            <w14:solidFill>
              <w14:schemeClr w14:val="tx1"/>
            </w14:solidFill>
          </w14:textFill>
        </w:rPr>
      </w:pPr>
    </w:p>
    <w:p w14:paraId="4C389542">
      <w:pPr>
        <w:pStyle w:val="16"/>
        <w:spacing w:line="336" w:lineRule="auto"/>
        <w:rPr>
          <w:color w:val="000000" w:themeColor="text1"/>
          <w:sz w:val="24"/>
          <w:szCs w:val="24"/>
          <w14:textFill>
            <w14:solidFill>
              <w14:schemeClr w14:val="tx1"/>
            </w14:solidFill>
          </w14:textFill>
        </w:rPr>
        <w:sectPr>
          <w:pgSz w:w="11906" w:h="16838"/>
          <w:pgMar w:top="1701" w:right="1531" w:bottom="1701" w:left="1531" w:header="851" w:footer="1077" w:gutter="0"/>
          <w:pgNumType w:start="1"/>
          <w:cols w:space="720" w:num="1"/>
          <w:docGrid w:linePitch="312" w:charSpace="0"/>
        </w:sectPr>
      </w:pPr>
    </w:p>
    <w:p w14:paraId="04A70762">
      <w:pPr>
        <w:pStyle w:val="21"/>
        <w:spacing w:before="120" w:beforeLines="50" w:beforeAutospacing="0" w:after="120" w:afterLines="50" w:afterAutospacing="0"/>
        <w:jc w:val="center"/>
        <w:outlineLvl w:val="0"/>
        <w:rPr>
          <w:rFonts w:ascii="Times New Roman" w:hAnsi="Times New Roman" w:eastAsia="黑体"/>
          <w:snapToGrid w:val="0"/>
          <w:color w:val="000000" w:themeColor="text1"/>
          <w:sz w:val="30"/>
          <w:szCs w:val="30"/>
          <w14:textFill>
            <w14:solidFill>
              <w14:schemeClr w14:val="tx1"/>
            </w14:solidFill>
          </w14:textFill>
        </w:rPr>
      </w:pPr>
      <w:bookmarkStart w:id="2" w:name="_Toc29500"/>
      <w:r>
        <w:rPr>
          <w:rFonts w:ascii="Times New Roman" w:hAnsi="Times New Roman" w:eastAsia="黑体"/>
          <w:snapToGrid w:val="0"/>
          <w:color w:val="000000" w:themeColor="text1"/>
          <w:sz w:val="30"/>
          <w:szCs w:val="30"/>
          <w14:textFill>
            <w14:solidFill>
              <w14:schemeClr w14:val="tx1"/>
            </w14:solidFill>
          </w14:textFill>
        </w:rPr>
        <w:t>一、建设项目基本情况</w:t>
      </w:r>
      <w:bookmarkEnd w:id="2"/>
    </w:p>
    <w:tbl>
      <w:tblPr>
        <w:tblStyle w:val="25"/>
        <w:tblW w:w="926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892"/>
        <w:gridCol w:w="794"/>
        <w:gridCol w:w="2333"/>
        <w:gridCol w:w="2212"/>
        <w:gridCol w:w="3032"/>
      </w:tblGrid>
      <w:tr w14:paraId="273E6B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86" w:type="dxa"/>
            <w:gridSpan w:val="2"/>
            <w:tcMar>
              <w:top w:w="16" w:type="dxa"/>
              <w:left w:w="16" w:type="dxa"/>
              <w:right w:w="16" w:type="dxa"/>
            </w:tcMar>
            <w:vAlign w:val="center"/>
          </w:tcPr>
          <w:p w14:paraId="7B5C9217">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建设项目名称</w:t>
            </w:r>
          </w:p>
        </w:tc>
        <w:tc>
          <w:tcPr>
            <w:tcW w:w="7577" w:type="dxa"/>
            <w:gridSpan w:val="3"/>
            <w:vAlign w:val="center"/>
          </w:tcPr>
          <w:p w14:paraId="4A19B9C9">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青思生物科技（寻甸）有限责任公司低变质褐煤、磷矿石浮选尾矿综合利用项目</w:t>
            </w:r>
          </w:p>
        </w:tc>
      </w:tr>
      <w:tr w14:paraId="1EE6D4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86" w:type="dxa"/>
            <w:gridSpan w:val="2"/>
            <w:tcMar>
              <w:top w:w="16" w:type="dxa"/>
              <w:left w:w="16" w:type="dxa"/>
              <w:right w:w="16" w:type="dxa"/>
            </w:tcMar>
            <w:vAlign w:val="center"/>
          </w:tcPr>
          <w:p w14:paraId="74350B59">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项目代码</w:t>
            </w:r>
          </w:p>
        </w:tc>
        <w:tc>
          <w:tcPr>
            <w:tcW w:w="7577" w:type="dxa"/>
            <w:gridSpan w:val="3"/>
            <w:vAlign w:val="center"/>
          </w:tcPr>
          <w:p w14:paraId="692DB32E">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2510-530129-04-01-685356</w:t>
            </w:r>
          </w:p>
        </w:tc>
      </w:tr>
      <w:tr w14:paraId="43FA32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86" w:type="dxa"/>
            <w:gridSpan w:val="2"/>
            <w:tcMar>
              <w:top w:w="16" w:type="dxa"/>
              <w:left w:w="16" w:type="dxa"/>
              <w:right w:w="16" w:type="dxa"/>
            </w:tcMar>
            <w:vAlign w:val="center"/>
          </w:tcPr>
          <w:p w14:paraId="0D361382">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建设单位联系人</w:t>
            </w:r>
          </w:p>
        </w:tc>
        <w:tc>
          <w:tcPr>
            <w:tcW w:w="2333" w:type="dxa"/>
            <w:vAlign w:val="center"/>
          </w:tcPr>
          <w:p w14:paraId="2164B4A2">
            <w:pPr>
              <w:adjustRightInd w:val="0"/>
              <w:snapToGrid w:val="0"/>
              <w:jc w:val="center"/>
              <w:rPr>
                <w:color w:val="000000" w:themeColor="text1"/>
                <w:sz w:val="24"/>
                <w14:textFill>
                  <w14:solidFill>
                    <w14:schemeClr w14:val="tx1"/>
                  </w14:solidFill>
                </w14:textFill>
              </w:rPr>
            </w:pPr>
          </w:p>
        </w:tc>
        <w:tc>
          <w:tcPr>
            <w:tcW w:w="2212" w:type="dxa"/>
            <w:vAlign w:val="center"/>
          </w:tcPr>
          <w:p w14:paraId="33EEAD20">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联系方式</w:t>
            </w:r>
          </w:p>
        </w:tc>
        <w:tc>
          <w:tcPr>
            <w:tcW w:w="3032" w:type="dxa"/>
            <w:vAlign w:val="center"/>
          </w:tcPr>
          <w:p w14:paraId="17E0A897">
            <w:pPr>
              <w:adjustRightInd w:val="0"/>
              <w:snapToGrid w:val="0"/>
              <w:jc w:val="center"/>
              <w:rPr>
                <w:color w:val="000000" w:themeColor="text1"/>
                <w:sz w:val="24"/>
                <w14:textFill>
                  <w14:solidFill>
                    <w14:schemeClr w14:val="tx1"/>
                  </w14:solidFill>
                </w14:textFill>
              </w:rPr>
            </w:pPr>
          </w:p>
        </w:tc>
      </w:tr>
      <w:tr w14:paraId="55F453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86" w:type="dxa"/>
            <w:gridSpan w:val="2"/>
            <w:tcMar>
              <w:top w:w="16" w:type="dxa"/>
              <w:left w:w="16" w:type="dxa"/>
              <w:right w:w="16" w:type="dxa"/>
            </w:tcMar>
            <w:vAlign w:val="center"/>
          </w:tcPr>
          <w:p w14:paraId="49D86C56">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建设地点</w:t>
            </w:r>
          </w:p>
        </w:tc>
        <w:tc>
          <w:tcPr>
            <w:tcW w:w="7577" w:type="dxa"/>
            <w:gridSpan w:val="3"/>
            <w:vAlign w:val="center"/>
          </w:tcPr>
          <w:p w14:paraId="7640FC77">
            <w:pPr>
              <w:adjustRightInd w:val="0"/>
              <w:snapToGrid w:val="0"/>
              <w:jc w:val="center"/>
              <w:rPr>
                <w:color w:val="000000" w:themeColor="text1"/>
                <w:sz w:val="24"/>
                <w14:textFill>
                  <w14:solidFill>
                    <w14:schemeClr w14:val="tx1"/>
                  </w14:solidFill>
                </w14:textFill>
              </w:rPr>
            </w:pPr>
            <w:r>
              <w:rPr>
                <w:color w:val="000000" w:themeColor="text1"/>
                <w:sz w:val="24"/>
                <w:u w:val="single"/>
                <w14:textFill>
                  <w14:solidFill>
                    <w14:schemeClr w14:val="tx1"/>
                  </w14:solidFill>
                </w14:textFill>
              </w:rPr>
              <w:t>昆明</w:t>
            </w:r>
            <w:r>
              <w:rPr>
                <w:color w:val="000000" w:themeColor="text1"/>
                <w:sz w:val="24"/>
                <w14:textFill>
                  <w14:solidFill>
                    <w14:schemeClr w14:val="tx1"/>
                  </w14:solidFill>
                </w14:textFill>
              </w:rPr>
              <w:t>市</w:t>
            </w:r>
            <w:r>
              <w:rPr>
                <w:rFonts w:hint="eastAsia"/>
                <w:color w:val="000000" w:themeColor="text1"/>
                <w:sz w:val="24"/>
                <w:u w:val="single"/>
                <w14:textFill>
                  <w14:solidFill>
                    <w14:schemeClr w14:val="tx1"/>
                  </w14:solidFill>
                </w14:textFill>
              </w:rPr>
              <w:t>寻甸</w:t>
            </w:r>
            <w:r>
              <w:rPr>
                <w:rFonts w:hint="eastAsia"/>
                <w:color w:val="000000" w:themeColor="text1"/>
                <w:sz w:val="24"/>
                <w14:textFill>
                  <w14:solidFill>
                    <w14:schemeClr w14:val="tx1"/>
                  </w14:solidFill>
                </w14:textFill>
              </w:rPr>
              <w:t>县</w:t>
            </w:r>
            <w:r>
              <w:rPr>
                <w:rFonts w:hint="eastAsia"/>
                <w:color w:val="000000" w:themeColor="text1"/>
                <w:sz w:val="24"/>
                <w:u w:val="single"/>
                <w14:textFill>
                  <w14:solidFill>
                    <w14:schemeClr w14:val="tx1"/>
                  </w14:solidFill>
                </w14:textFill>
              </w:rPr>
              <w:t>金所</w:t>
            </w:r>
            <w:r>
              <w:rPr>
                <w:color w:val="000000" w:themeColor="text1"/>
                <w:sz w:val="24"/>
                <w14:textFill>
                  <w14:solidFill>
                    <w14:schemeClr w14:val="tx1"/>
                  </w14:solidFill>
                </w14:textFill>
              </w:rPr>
              <w:t>街道</w:t>
            </w:r>
            <w:r>
              <w:rPr>
                <w:color w:val="000000" w:themeColor="text1"/>
                <w:sz w:val="24"/>
                <w:u w:val="single"/>
                <w14:textFill>
                  <w14:solidFill>
                    <w14:schemeClr w14:val="tx1"/>
                  </w14:solidFill>
                </w14:textFill>
              </w:rPr>
              <w:t xml:space="preserve">  </w:t>
            </w:r>
            <w:r>
              <w:rPr>
                <w:rFonts w:hint="eastAsia"/>
                <w:color w:val="000000" w:themeColor="text1"/>
                <w:sz w:val="24"/>
                <w:u w:val="single"/>
                <w14:textFill>
                  <w14:solidFill>
                    <w14:schemeClr w14:val="tx1"/>
                  </w14:solidFill>
                </w14:textFill>
              </w:rPr>
              <w:t>金所工业园区云南建工云岭水泥有限公司</w:t>
            </w:r>
            <w:r>
              <w:rPr>
                <w:color w:val="000000" w:themeColor="text1"/>
                <w:sz w:val="24"/>
                <w:u w:val="single"/>
                <w14:textFill>
                  <w14:solidFill>
                    <w14:schemeClr w14:val="tx1"/>
                  </w14:solidFill>
                </w14:textFill>
              </w:rPr>
              <w:t xml:space="preserve">  </w:t>
            </w:r>
          </w:p>
        </w:tc>
      </w:tr>
      <w:tr w14:paraId="7D2EDE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86" w:type="dxa"/>
            <w:gridSpan w:val="2"/>
            <w:tcMar>
              <w:top w:w="16" w:type="dxa"/>
              <w:left w:w="16" w:type="dxa"/>
              <w:right w:w="16" w:type="dxa"/>
            </w:tcMar>
            <w:vAlign w:val="center"/>
          </w:tcPr>
          <w:p w14:paraId="7C3E288A">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地理坐标</w:t>
            </w:r>
          </w:p>
        </w:tc>
        <w:tc>
          <w:tcPr>
            <w:tcW w:w="7577" w:type="dxa"/>
            <w:gridSpan w:val="3"/>
            <w:vAlign w:val="center"/>
          </w:tcPr>
          <w:p w14:paraId="2E5E6741">
            <w:pPr>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度</w:t>
            </w:r>
            <w:r>
              <w:rPr>
                <w:rFonts w:hint="eastAsia"/>
                <w:color w:val="000000" w:themeColor="text1"/>
                <w:sz w:val="24"/>
                <w14:textFill>
                  <w14:solidFill>
                    <w14:schemeClr w14:val="tx1"/>
                  </w14:solidFill>
                </w14:textFill>
              </w:rPr>
              <w:t>33</w:t>
            </w:r>
            <w:r>
              <w:rPr>
                <w:color w:val="000000" w:themeColor="text1"/>
                <w:sz w:val="24"/>
                <w14:textFill>
                  <w14:solidFill>
                    <w14:schemeClr w14:val="tx1"/>
                  </w14:solidFill>
                </w14:textFill>
              </w:rPr>
              <w:t>分</w:t>
            </w:r>
            <w:r>
              <w:rPr>
                <w:rFonts w:hint="eastAsia"/>
                <w:color w:val="000000" w:themeColor="text1"/>
                <w:sz w:val="24"/>
                <w14:textFill>
                  <w14:solidFill>
                    <w14:schemeClr w14:val="tx1"/>
                  </w14:solidFill>
                </w14:textFill>
              </w:rPr>
              <w:t>50.905</w:t>
            </w:r>
            <w:r>
              <w:rPr>
                <w:color w:val="000000" w:themeColor="text1"/>
                <w:sz w:val="24"/>
                <w14:textFill>
                  <w14:solidFill>
                    <w14:schemeClr w14:val="tx1"/>
                  </w14:solidFill>
                </w14:textFill>
              </w:rPr>
              <w:t>秒，10</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度</w:t>
            </w:r>
            <w:r>
              <w:rPr>
                <w:rFonts w:hint="eastAsia"/>
                <w:color w:val="000000" w:themeColor="text1"/>
                <w:sz w:val="24"/>
                <w14:textFill>
                  <w14:solidFill>
                    <w14:schemeClr w14:val="tx1"/>
                  </w14:solidFill>
                </w14:textFill>
              </w:rPr>
              <w:t>11</w:t>
            </w:r>
            <w:r>
              <w:rPr>
                <w:color w:val="000000" w:themeColor="text1"/>
                <w:sz w:val="24"/>
                <w14:textFill>
                  <w14:solidFill>
                    <w14:schemeClr w14:val="tx1"/>
                  </w14:solidFill>
                </w14:textFill>
              </w:rPr>
              <w:t>分</w:t>
            </w:r>
            <w:r>
              <w:rPr>
                <w:rFonts w:hint="eastAsia"/>
                <w:color w:val="000000" w:themeColor="text1"/>
                <w:sz w:val="24"/>
                <w14:textFill>
                  <w14:solidFill>
                    <w14:schemeClr w14:val="tx1"/>
                  </w14:solidFill>
                </w14:textFill>
              </w:rPr>
              <w:t>26.124</w:t>
            </w:r>
            <w:r>
              <w:rPr>
                <w:color w:val="000000" w:themeColor="text1"/>
                <w:sz w:val="24"/>
                <w14:textFill>
                  <w14:solidFill>
                    <w14:schemeClr w14:val="tx1"/>
                  </w14:solidFill>
                </w14:textFill>
              </w:rPr>
              <w:t>秒</w:t>
            </w:r>
          </w:p>
        </w:tc>
      </w:tr>
      <w:tr w14:paraId="2BE80C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686" w:type="dxa"/>
            <w:gridSpan w:val="2"/>
            <w:tcMar>
              <w:top w:w="16" w:type="dxa"/>
              <w:left w:w="16" w:type="dxa"/>
              <w:right w:w="16" w:type="dxa"/>
            </w:tcMar>
            <w:vAlign w:val="center"/>
          </w:tcPr>
          <w:p w14:paraId="03796E22">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国民经济</w:t>
            </w:r>
          </w:p>
          <w:p w14:paraId="6970A6C3">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行业类别</w:t>
            </w:r>
          </w:p>
        </w:tc>
        <w:tc>
          <w:tcPr>
            <w:tcW w:w="2333" w:type="dxa"/>
            <w:vAlign w:val="center"/>
          </w:tcPr>
          <w:p w14:paraId="7A78EA53">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C2625有机肥料及微生物肥料制造</w:t>
            </w:r>
          </w:p>
        </w:tc>
        <w:tc>
          <w:tcPr>
            <w:tcW w:w="2212" w:type="dxa"/>
            <w:vAlign w:val="center"/>
          </w:tcPr>
          <w:p w14:paraId="03266CA2">
            <w:pPr>
              <w:adjustRightInd w:val="0"/>
              <w:snapToGrid w:val="0"/>
              <w:jc w:val="center"/>
              <w:rPr>
                <w:color w:val="000000" w:themeColor="text1"/>
                <w:sz w:val="24"/>
                <w14:textFill>
                  <w14:solidFill>
                    <w14:schemeClr w14:val="tx1"/>
                  </w14:solidFill>
                </w14:textFill>
              </w:rPr>
            </w:pPr>
            <w:bookmarkStart w:id="3" w:name="_Hlk49843745"/>
            <w:r>
              <w:rPr>
                <w:color w:val="000000" w:themeColor="text1"/>
                <w:sz w:val="24"/>
                <w14:textFill>
                  <w14:solidFill>
                    <w14:schemeClr w14:val="tx1"/>
                  </w14:solidFill>
                </w14:textFill>
              </w:rPr>
              <w:t>建设项目</w:t>
            </w:r>
          </w:p>
          <w:p w14:paraId="07F69B04">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行业类别</w:t>
            </w:r>
            <w:bookmarkEnd w:id="3"/>
          </w:p>
        </w:tc>
        <w:tc>
          <w:tcPr>
            <w:tcW w:w="3032" w:type="dxa"/>
            <w:vAlign w:val="center"/>
          </w:tcPr>
          <w:p w14:paraId="439D1669">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t>二十三化学原料和化学制品制造业</w:t>
            </w:r>
            <w:r>
              <w:rPr>
                <w:rFonts w:hint="eastAsia"/>
                <w:color w:val="000000" w:themeColor="text1"/>
                <w:sz w:val="24"/>
                <w14:textFill>
                  <w14:solidFill>
                    <w14:schemeClr w14:val="tx1"/>
                  </w14:solidFill>
                </w14:textFill>
              </w:rPr>
              <w:t>26</w:t>
            </w:r>
            <w:r>
              <w:rPr>
                <w:color w:val="000000" w:themeColor="text1"/>
                <w:sz w:val="24"/>
                <w14:textFill>
                  <w14:solidFill>
                    <w14:schemeClr w14:val="tx1"/>
                  </w14:solidFill>
                </w14:textFill>
              </w:rPr>
              <w:t>、45肥料制造</w:t>
            </w:r>
            <w:r>
              <w:rPr>
                <w:rFonts w:hint="eastAsia"/>
                <w:color w:val="000000" w:themeColor="text1"/>
                <w:sz w:val="24"/>
                <w14:textFill>
                  <w14:solidFill>
                    <w14:schemeClr w14:val="tx1"/>
                  </w14:solidFill>
                </w14:textFill>
              </w:rPr>
              <w:t>262</w:t>
            </w:r>
          </w:p>
        </w:tc>
      </w:tr>
      <w:tr w14:paraId="4D04CD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686" w:type="dxa"/>
            <w:gridSpan w:val="2"/>
            <w:tcMar>
              <w:top w:w="16" w:type="dxa"/>
              <w:left w:w="16" w:type="dxa"/>
              <w:right w:w="16" w:type="dxa"/>
            </w:tcMar>
            <w:vAlign w:val="center"/>
          </w:tcPr>
          <w:p w14:paraId="14DE17FD">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建设性质</w:t>
            </w:r>
          </w:p>
        </w:tc>
        <w:tc>
          <w:tcPr>
            <w:tcW w:w="2333" w:type="dxa"/>
            <w:vAlign w:val="center"/>
          </w:tcPr>
          <w:p w14:paraId="2668B5C0">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52"/>
            </w:r>
            <w:r>
              <w:rPr>
                <w:color w:val="000000" w:themeColor="text1"/>
                <w:sz w:val="24"/>
                <w14:textFill>
                  <w14:solidFill>
                    <w14:schemeClr w14:val="tx1"/>
                  </w14:solidFill>
                </w14:textFill>
              </w:rPr>
              <w:t>新建（迁建）</w:t>
            </w:r>
          </w:p>
          <w:p w14:paraId="20DFC35E">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A3"/>
            </w:r>
            <w:r>
              <w:rPr>
                <w:color w:val="000000" w:themeColor="text1"/>
                <w:sz w:val="24"/>
                <w14:textFill>
                  <w14:solidFill>
                    <w14:schemeClr w14:val="tx1"/>
                  </w14:solidFill>
                </w14:textFill>
              </w:rPr>
              <w:t>改建</w:t>
            </w:r>
          </w:p>
          <w:p w14:paraId="3BAE4C8D">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A3"/>
            </w:r>
            <w:r>
              <w:rPr>
                <w:color w:val="000000" w:themeColor="text1"/>
                <w:sz w:val="24"/>
                <w14:textFill>
                  <w14:solidFill>
                    <w14:schemeClr w14:val="tx1"/>
                  </w14:solidFill>
                </w14:textFill>
              </w:rPr>
              <w:t>扩建</w:t>
            </w:r>
          </w:p>
          <w:p w14:paraId="1B98C092">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A3"/>
            </w:r>
            <w:r>
              <w:rPr>
                <w:color w:val="000000" w:themeColor="text1"/>
                <w:sz w:val="24"/>
                <w14:textFill>
                  <w14:solidFill>
                    <w14:schemeClr w14:val="tx1"/>
                  </w14:solidFill>
                </w14:textFill>
              </w:rPr>
              <w:t>技术改造</w:t>
            </w:r>
          </w:p>
        </w:tc>
        <w:tc>
          <w:tcPr>
            <w:tcW w:w="2212" w:type="dxa"/>
            <w:vAlign w:val="center"/>
          </w:tcPr>
          <w:p w14:paraId="2BCC5D2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建设项目</w:t>
            </w:r>
          </w:p>
          <w:p w14:paraId="19B0BEEC">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申报情形</w:t>
            </w:r>
          </w:p>
        </w:tc>
        <w:tc>
          <w:tcPr>
            <w:tcW w:w="3032" w:type="dxa"/>
            <w:vAlign w:val="center"/>
          </w:tcPr>
          <w:p w14:paraId="28511960">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52"/>
            </w:r>
            <w:r>
              <w:rPr>
                <w:color w:val="000000" w:themeColor="text1"/>
                <w:sz w:val="24"/>
                <w14:textFill>
                  <w14:solidFill>
                    <w14:schemeClr w14:val="tx1"/>
                  </w14:solidFill>
                </w14:textFill>
              </w:rPr>
              <w:t xml:space="preserve">首次申报项目             </w:t>
            </w:r>
          </w:p>
          <w:p w14:paraId="3F67B4B0">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A3"/>
            </w:r>
            <w:r>
              <w:rPr>
                <w:color w:val="000000" w:themeColor="text1"/>
                <w:sz w:val="24"/>
                <w14:textFill>
                  <w14:solidFill>
                    <w14:schemeClr w14:val="tx1"/>
                  </w14:solidFill>
                </w14:textFill>
              </w:rPr>
              <w:t>不予批准后再次申报项目</w:t>
            </w:r>
          </w:p>
          <w:p w14:paraId="0236F7AA">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A3"/>
            </w:r>
            <w:r>
              <w:rPr>
                <w:color w:val="000000" w:themeColor="text1"/>
                <w:sz w:val="24"/>
                <w14:textFill>
                  <w14:solidFill>
                    <w14:schemeClr w14:val="tx1"/>
                  </w14:solidFill>
                </w14:textFill>
              </w:rPr>
              <w:t xml:space="preserve">超五年重新审核项目     </w:t>
            </w:r>
          </w:p>
          <w:p w14:paraId="50E2A3AE">
            <w:pPr>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A3"/>
            </w:r>
            <w:r>
              <w:rPr>
                <w:color w:val="000000" w:themeColor="text1"/>
                <w:sz w:val="24"/>
                <w14:textFill>
                  <w14:solidFill>
                    <w14:schemeClr w14:val="tx1"/>
                  </w14:solidFill>
                </w14:textFill>
              </w:rPr>
              <w:t>重大变动重新报批项目</w:t>
            </w:r>
          </w:p>
        </w:tc>
      </w:tr>
      <w:tr w14:paraId="6C3C96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686" w:type="dxa"/>
            <w:gridSpan w:val="2"/>
            <w:tcMar>
              <w:top w:w="16" w:type="dxa"/>
              <w:left w:w="16" w:type="dxa"/>
              <w:right w:w="16" w:type="dxa"/>
            </w:tcMar>
            <w:vAlign w:val="center"/>
          </w:tcPr>
          <w:p w14:paraId="6472541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项目审批（核准/</w:t>
            </w:r>
          </w:p>
          <w:p w14:paraId="237C1439">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备案）部门（选填）</w:t>
            </w:r>
          </w:p>
        </w:tc>
        <w:tc>
          <w:tcPr>
            <w:tcW w:w="2333" w:type="dxa"/>
            <w:vAlign w:val="center"/>
          </w:tcPr>
          <w:p w14:paraId="7BD64525">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寻甸县发展和改革局</w:t>
            </w:r>
          </w:p>
        </w:tc>
        <w:tc>
          <w:tcPr>
            <w:tcW w:w="2212" w:type="dxa"/>
            <w:vAlign w:val="center"/>
          </w:tcPr>
          <w:p w14:paraId="1C814C97">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项目审批（核准/</w:t>
            </w:r>
          </w:p>
          <w:p w14:paraId="296A26E8">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备案）文号（选填）</w:t>
            </w:r>
          </w:p>
        </w:tc>
        <w:tc>
          <w:tcPr>
            <w:tcW w:w="3032" w:type="dxa"/>
            <w:vAlign w:val="center"/>
          </w:tcPr>
          <w:p w14:paraId="7F883216">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2510-530129-04-01-685356</w:t>
            </w:r>
          </w:p>
        </w:tc>
      </w:tr>
      <w:tr w14:paraId="28DE48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86" w:type="dxa"/>
            <w:gridSpan w:val="2"/>
            <w:tcMar>
              <w:top w:w="16" w:type="dxa"/>
              <w:left w:w="16" w:type="dxa"/>
              <w:right w:w="16" w:type="dxa"/>
            </w:tcMar>
            <w:vAlign w:val="center"/>
          </w:tcPr>
          <w:p w14:paraId="3F08A815">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总投资（万元）</w:t>
            </w:r>
          </w:p>
        </w:tc>
        <w:tc>
          <w:tcPr>
            <w:tcW w:w="2333" w:type="dxa"/>
            <w:vAlign w:val="center"/>
          </w:tcPr>
          <w:p w14:paraId="1F1B7D2F">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663</w:t>
            </w:r>
          </w:p>
        </w:tc>
        <w:tc>
          <w:tcPr>
            <w:tcW w:w="2212" w:type="dxa"/>
            <w:tcMar>
              <w:top w:w="16" w:type="dxa"/>
              <w:left w:w="16" w:type="dxa"/>
              <w:right w:w="16" w:type="dxa"/>
            </w:tcMar>
            <w:vAlign w:val="center"/>
          </w:tcPr>
          <w:p w14:paraId="5C67B647">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环保投资（万元）</w:t>
            </w:r>
          </w:p>
        </w:tc>
        <w:tc>
          <w:tcPr>
            <w:tcW w:w="3032" w:type="dxa"/>
            <w:vAlign w:val="center"/>
          </w:tcPr>
          <w:p w14:paraId="75661023">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50.05</w:t>
            </w:r>
          </w:p>
        </w:tc>
      </w:tr>
      <w:tr w14:paraId="589CD1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86" w:type="dxa"/>
            <w:gridSpan w:val="2"/>
            <w:tcMar>
              <w:top w:w="16" w:type="dxa"/>
              <w:left w:w="16" w:type="dxa"/>
              <w:right w:w="16" w:type="dxa"/>
            </w:tcMar>
            <w:vAlign w:val="center"/>
          </w:tcPr>
          <w:p w14:paraId="1820E491">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环保投资占比（%）</w:t>
            </w:r>
          </w:p>
        </w:tc>
        <w:tc>
          <w:tcPr>
            <w:tcW w:w="2333" w:type="dxa"/>
            <w:vAlign w:val="center"/>
          </w:tcPr>
          <w:p w14:paraId="5085E4E2">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7.5</w:t>
            </w:r>
          </w:p>
        </w:tc>
        <w:tc>
          <w:tcPr>
            <w:tcW w:w="2212" w:type="dxa"/>
            <w:tcMar>
              <w:top w:w="16" w:type="dxa"/>
              <w:left w:w="16" w:type="dxa"/>
              <w:right w:w="16" w:type="dxa"/>
            </w:tcMar>
            <w:vAlign w:val="center"/>
          </w:tcPr>
          <w:p w14:paraId="23BFEA90">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施工工期</w:t>
            </w:r>
          </w:p>
        </w:tc>
        <w:tc>
          <w:tcPr>
            <w:tcW w:w="3032" w:type="dxa"/>
            <w:vAlign w:val="center"/>
          </w:tcPr>
          <w:p w14:paraId="64198DBF">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个月</w:t>
            </w:r>
          </w:p>
        </w:tc>
      </w:tr>
      <w:tr w14:paraId="007C89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86" w:type="dxa"/>
            <w:gridSpan w:val="2"/>
            <w:tcMar>
              <w:top w:w="16" w:type="dxa"/>
              <w:left w:w="16" w:type="dxa"/>
              <w:right w:w="16" w:type="dxa"/>
            </w:tcMar>
            <w:vAlign w:val="center"/>
          </w:tcPr>
          <w:p w14:paraId="46023E44">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是否开工建设</w:t>
            </w:r>
          </w:p>
        </w:tc>
        <w:tc>
          <w:tcPr>
            <w:tcW w:w="2333" w:type="dxa"/>
            <w:vAlign w:val="center"/>
          </w:tcPr>
          <w:p w14:paraId="50F7D025">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52"/>
            </w:r>
            <w:r>
              <w:rPr>
                <w:color w:val="000000" w:themeColor="text1"/>
                <w:sz w:val="24"/>
                <w14:textFill>
                  <w14:solidFill>
                    <w14:schemeClr w14:val="tx1"/>
                  </w14:solidFill>
                </w14:textFill>
              </w:rPr>
              <w:t>否</w:t>
            </w:r>
          </w:p>
          <w:p w14:paraId="1B32B324">
            <w:pPr>
              <w:adjustRightInd w:val="0"/>
              <w:snapToGrid w:val="0"/>
              <w:rPr>
                <w:color w:val="000000" w:themeColor="text1"/>
                <w:sz w:val="24"/>
                <w14:textFill>
                  <w14:solidFill>
                    <w14:schemeClr w14:val="tx1"/>
                  </w14:solidFill>
                </w14:textFill>
              </w:rPr>
            </w:pPr>
            <w:r>
              <w:rPr>
                <w:color w:val="000000" w:themeColor="text1"/>
                <w:sz w:val="24"/>
                <w14:textFill>
                  <w14:solidFill>
                    <w14:schemeClr w14:val="tx1"/>
                  </w14:solidFill>
                </w14:textFill>
              </w:rPr>
              <w:sym w:font="Wingdings 2" w:char="00A3"/>
            </w:r>
            <w:r>
              <w:rPr>
                <w:color w:val="000000" w:themeColor="text1"/>
                <w:sz w:val="24"/>
                <w14:textFill>
                  <w14:solidFill>
                    <w14:schemeClr w14:val="tx1"/>
                  </w14:solidFill>
                </w14:textFill>
              </w:rPr>
              <w:t>是：</w:t>
            </w:r>
            <w:r>
              <w:rPr>
                <w:color w:val="000000" w:themeColor="text1"/>
                <w:sz w:val="24"/>
                <w:u w:val="single"/>
                <w14:textFill>
                  <w14:solidFill>
                    <w14:schemeClr w14:val="tx1"/>
                  </w14:solidFill>
                </w14:textFill>
              </w:rPr>
              <w:t xml:space="preserve">             </w:t>
            </w:r>
          </w:p>
        </w:tc>
        <w:tc>
          <w:tcPr>
            <w:tcW w:w="2212" w:type="dxa"/>
            <w:tcMar>
              <w:top w:w="16" w:type="dxa"/>
              <w:left w:w="16" w:type="dxa"/>
              <w:right w:w="16" w:type="dxa"/>
            </w:tcMar>
            <w:vAlign w:val="center"/>
          </w:tcPr>
          <w:p w14:paraId="4D61834F">
            <w:pPr>
              <w:adjustRightInd w:val="0"/>
              <w:snapToGrid w:val="0"/>
              <w:jc w:val="center"/>
              <w:rPr>
                <w:color w:val="000000" w:themeColor="text1"/>
                <w:spacing w:val="-6"/>
                <w:sz w:val="24"/>
                <w14:textFill>
                  <w14:solidFill>
                    <w14:schemeClr w14:val="tx1"/>
                  </w14:solidFill>
                </w14:textFill>
              </w:rPr>
            </w:pPr>
            <w:r>
              <w:rPr>
                <w:color w:val="000000" w:themeColor="text1"/>
                <w:spacing w:val="-6"/>
                <w:sz w:val="24"/>
                <w14:textFill>
                  <w14:solidFill>
                    <w14:schemeClr w14:val="tx1"/>
                  </w14:solidFill>
                </w14:textFill>
              </w:rPr>
              <w:t>用地（用海）</w:t>
            </w:r>
          </w:p>
          <w:p w14:paraId="079FE409">
            <w:pPr>
              <w:adjustRightInd w:val="0"/>
              <w:snapToGrid w:val="0"/>
              <w:jc w:val="center"/>
              <w:rPr>
                <w:color w:val="000000" w:themeColor="text1"/>
                <w:sz w:val="24"/>
                <w14:textFill>
                  <w14:solidFill>
                    <w14:schemeClr w14:val="tx1"/>
                  </w14:solidFill>
                </w14:textFill>
              </w:rPr>
            </w:pPr>
            <w:r>
              <w:rPr>
                <w:color w:val="000000" w:themeColor="text1"/>
                <w:spacing w:val="-6"/>
                <w:sz w:val="24"/>
                <w14:textFill>
                  <w14:solidFill>
                    <w14:schemeClr w14:val="tx1"/>
                  </w14:solidFill>
                </w14:textFill>
              </w:rPr>
              <w:t>面积（m</w:t>
            </w:r>
            <w:r>
              <w:rPr>
                <w:color w:val="000000" w:themeColor="text1"/>
                <w:spacing w:val="-6"/>
                <w:sz w:val="24"/>
                <w:vertAlign w:val="superscript"/>
                <w14:textFill>
                  <w14:solidFill>
                    <w14:schemeClr w14:val="tx1"/>
                  </w14:solidFill>
                </w14:textFill>
              </w:rPr>
              <w:t>2</w:t>
            </w:r>
            <w:r>
              <w:rPr>
                <w:color w:val="000000" w:themeColor="text1"/>
                <w:spacing w:val="-6"/>
                <w:sz w:val="24"/>
                <w14:textFill>
                  <w14:solidFill>
                    <w14:schemeClr w14:val="tx1"/>
                  </w14:solidFill>
                </w14:textFill>
              </w:rPr>
              <w:t>）</w:t>
            </w:r>
          </w:p>
        </w:tc>
        <w:tc>
          <w:tcPr>
            <w:tcW w:w="3032" w:type="dxa"/>
            <w:vAlign w:val="center"/>
          </w:tcPr>
          <w:p w14:paraId="1570760C">
            <w:pPr>
              <w:adjustRightInd w:val="0"/>
              <w:snapToGrid w:val="0"/>
              <w:jc w:val="cente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4014</w:t>
            </w:r>
          </w:p>
        </w:tc>
      </w:tr>
      <w:tr w14:paraId="2E07FD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892" w:type="dxa"/>
            <w:vAlign w:val="center"/>
          </w:tcPr>
          <w:p w14:paraId="2C74DAAF">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专项评价设置情况</w:t>
            </w:r>
          </w:p>
        </w:tc>
        <w:tc>
          <w:tcPr>
            <w:tcW w:w="8371" w:type="dxa"/>
            <w:gridSpan w:val="4"/>
            <w:vAlign w:val="center"/>
          </w:tcPr>
          <w:p w14:paraId="2014C3C2">
            <w:pPr>
              <w:autoSpaceDE w:val="0"/>
              <w:autoSpaceDN w:val="0"/>
              <w:adjustRightInd w:val="0"/>
              <w:snapToGrid w:val="0"/>
              <w:spacing w:line="288"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项目专项评价判定情况如下表所示。</w:t>
            </w:r>
          </w:p>
          <w:p w14:paraId="7CBB8A22">
            <w:pPr>
              <w:pStyle w:val="58"/>
              <w:rPr>
                <w:color w:val="000000" w:themeColor="text1"/>
                <w14:textFill>
                  <w14:solidFill>
                    <w14:schemeClr w14:val="tx1"/>
                  </w14:solidFill>
                </w14:textFill>
              </w:rPr>
            </w:pPr>
            <w:r>
              <w:rPr>
                <w:color w:val="000000" w:themeColor="text1"/>
                <w14:textFill>
                  <w14:solidFill>
                    <w14:schemeClr w14:val="tx1"/>
                  </w14:solidFill>
                </w14:textFill>
              </w:rPr>
              <w:t>表1-1 项目专项评价判定表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791"/>
              <w:gridCol w:w="3255"/>
              <w:gridCol w:w="3283"/>
              <w:gridCol w:w="813"/>
            </w:tblGrid>
            <w:tr w14:paraId="45C36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486" w:type="pct"/>
                  <w:vAlign w:val="center"/>
                </w:tcPr>
                <w:p w14:paraId="2A8D3FB0">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专项评价类比</w:t>
                  </w:r>
                </w:p>
              </w:tc>
              <w:tc>
                <w:tcPr>
                  <w:tcW w:w="1999" w:type="pct"/>
                  <w:vAlign w:val="center"/>
                </w:tcPr>
                <w:p w14:paraId="5A65AA6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设置原则</w:t>
                  </w:r>
                </w:p>
              </w:tc>
              <w:tc>
                <w:tcPr>
                  <w:tcW w:w="2016" w:type="pct"/>
                  <w:vAlign w:val="center"/>
                </w:tcPr>
                <w:p w14:paraId="0A98C63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本项目情况</w:t>
                  </w:r>
                </w:p>
              </w:tc>
              <w:tc>
                <w:tcPr>
                  <w:tcW w:w="497" w:type="pct"/>
                  <w:vAlign w:val="center"/>
                </w:tcPr>
                <w:p w14:paraId="50960EAF">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是否设置专项评价</w:t>
                  </w:r>
                </w:p>
              </w:tc>
            </w:tr>
            <w:tr w14:paraId="7AD58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486" w:type="pct"/>
                  <w:vAlign w:val="center"/>
                </w:tcPr>
                <w:p w14:paraId="0CBEC6F4">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大气</w:t>
                  </w:r>
                </w:p>
              </w:tc>
              <w:tc>
                <w:tcPr>
                  <w:tcW w:w="1999" w:type="pct"/>
                  <w:vAlign w:val="center"/>
                </w:tcPr>
                <w:p w14:paraId="50EFE4FD">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排放废气含有毒有害污染物</w:t>
                  </w:r>
                  <w:r>
                    <w:rPr>
                      <w:b w:val="0"/>
                      <w:color w:val="000000" w:themeColor="text1"/>
                      <w:vertAlign w:val="superscript"/>
                      <w14:textFill>
                        <w14:solidFill>
                          <w14:schemeClr w14:val="tx1"/>
                        </w14:solidFill>
                      </w14:textFill>
                    </w:rPr>
                    <w:t>1</w:t>
                  </w:r>
                  <w:r>
                    <w:rPr>
                      <w:b w:val="0"/>
                      <w:color w:val="000000" w:themeColor="text1"/>
                      <w14:textFill>
                        <w14:solidFill>
                          <w14:schemeClr w14:val="tx1"/>
                        </w14:solidFill>
                      </w14:textFill>
                    </w:rPr>
                    <w:t>、二噁英、苯并[a]芘、氰化物、氯气且厂界500m范围内有环境空气保护目标</w:t>
                  </w:r>
                  <w:r>
                    <w:rPr>
                      <w:b w:val="0"/>
                      <w:color w:val="000000" w:themeColor="text1"/>
                      <w:vertAlign w:val="superscript"/>
                      <w14:textFill>
                        <w14:solidFill>
                          <w14:schemeClr w14:val="tx1"/>
                        </w14:solidFill>
                      </w14:textFill>
                    </w:rPr>
                    <w:t>2</w:t>
                  </w:r>
                  <w:r>
                    <w:rPr>
                      <w:b w:val="0"/>
                      <w:color w:val="000000" w:themeColor="text1"/>
                      <w14:textFill>
                        <w14:solidFill>
                          <w14:schemeClr w14:val="tx1"/>
                        </w14:solidFill>
                      </w14:textFill>
                    </w:rPr>
                    <w:t>的建设项目。</w:t>
                  </w:r>
                </w:p>
              </w:tc>
              <w:tc>
                <w:tcPr>
                  <w:tcW w:w="2016" w:type="pct"/>
                  <w:vAlign w:val="center"/>
                </w:tcPr>
                <w:p w14:paraId="008070E0">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项目排放废气主要为颗粒物</w:t>
                  </w:r>
                  <w:r>
                    <w:rPr>
                      <w:rFonts w:hint="eastAsia"/>
                      <w:b w:val="0"/>
                      <w:color w:val="000000" w:themeColor="text1"/>
                      <w14:textFill>
                        <w14:solidFill>
                          <w14:schemeClr w14:val="tx1"/>
                        </w14:solidFill>
                      </w14:textFill>
                    </w:rPr>
                    <w:t>、异味，</w:t>
                  </w:r>
                  <w:r>
                    <w:rPr>
                      <w:b w:val="0"/>
                      <w:color w:val="000000" w:themeColor="text1"/>
                      <w14:textFill>
                        <w14:solidFill>
                          <w14:schemeClr w14:val="tx1"/>
                        </w14:solidFill>
                      </w14:textFill>
                    </w:rPr>
                    <w:t>不排放含有毒有害污染物、二噁英、苯并[a]芘、氰化物、氯气等废气。</w:t>
                  </w:r>
                </w:p>
              </w:tc>
              <w:tc>
                <w:tcPr>
                  <w:tcW w:w="497" w:type="pct"/>
                  <w:vAlign w:val="center"/>
                </w:tcPr>
                <w:p w14:paraId="47A89BBB">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否</w:t>
                  </w:r>
                </w:p>
              </w:tc>
            </w:tr>
            <w:tr w14:paraId="70913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486" w:type="pct"/>
                  <w:vAlign w:val="center"/>
                </w:tcPr>
                <w:p w14:paraId="41D50C2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地表水</w:t>
                  </w:r>
                </w:p>
              </w:tc>
              <w:tc>
                <w:tcPr>
                  <w:tcW w:w="1999" w:type="pct"/>
                  <w:vAlign w:val="center"/>
                </w:tcPr>
                <w:p w14:paraId="64A2EB7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新增工业废水直排建设项目（槽罐车外送污水处理厂的除外）；新增废水直排的污水集中处理厂。</w:t>
                  </w:r>
                </w:p>
              </w:tc>
              <w:tc>
                <w:tcPr>
                  <w:tcW w:w="2016" w:type="pct"/>
                  <w:vAlign w:val="center"/>
                </w:tcPr>
                <w:p w14:paraId="3A773CE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本项目</w:t>
                  </w:r>
                  <w:r>
                    <w:rPr>
                      <w:rFonts w:hint="eastAsia"/>
                      <w:b w:val="0"/>
                      <w:color w:val="000000" w:themeColor="text1"/>
                      <w14:textFill>
                        <w14:solidFill>
                          <w14:schemeClr w14:val="tx1"/>
                        </w14:solidFill>
                      </w14:textFill>
                    </w:rPr>
                    <w:t>生产中渗滤液回用不外排</w:t>
                  </w:r>
                  <w:r>
                    <w:rPr>
                      <w:b w:val="0"/>
                      <w:color w:val="000000" w:themeColor="text1"/>
                      <w14:textFill>
                        <w14:solidFill>
                          <w14:schemeClr w14:val="tx1"/>
                        </w14:solidFill>
                      </w14:textFill>
                    </w:rPr>
                    <w:t>，</w:t>
                  </w:r>
                  <w:r>
                    <w:rPr>
                      <w:rFonts w:hint="eastAsia"/>
                      <w:b w:val="0"/>
                      <w:color w:val="000000" w:themeColor="text1"/>
                      <w14:textFill>
                        <w14:solidFill>
                          <w14:schemeClr w14:val="tx1"/>
                        </w14:solidFill>
                      </w14:textFill>
                    </w:rPr>
                    <w:t>生活污水</w:t>
                  </w:r>
                  <w:r>
                    <w:rPr>
                      <w:b w:val="0"/>
                      <w:color w:val="000000" w:themeColor="text1"/>
                      <w14:textFill>
                        <w14:solidFill>
                          <w14:schemeClr w14:val="tx1"/>
                        </w14:solidFill>
                      </w14:textFill>
                    </w:rPr>
                    <w:t>不外排</w:t>
                  </w:r>
                  <w:r>
                    <w:rPr>
                      <w:rFonts w:hint="eastAsia"/>
                      <w:b w:val="0"/>
                      <w:color w:val="000000" w:themeColor="text1"/>
                      <w14:textFill>
                        <w14:solidFill>
                          <w14:schemeClr w14:val="tx1"/>
                        </w14:solidFill>
                      </w14:textFill>
                    </w:rPr>
                    <w:t>。</w:t>
                  </w:r>
                </w:p>
              </w:tc>
              <w:tc>
                <w:tcPr>
                  <w:tcW w:w="497" w:type="pct"/>
                  <w:vAlign w:val="center"/>
                </w:tcPr>
                <w:p w14:paraId="60C48BA3">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否</w:t>
                  </w:r>
                </w:p>
              </w:tc>
            </w:tr>
            <w:tr w14:paraId="0277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486" w:type="pct"/>
                  <w:vAlign w:val="center"/>
                </w:tcPr>
                <w:p w14:paraId="039C593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环境风险</w:t>
                  </w:r>
                </w:p>
              </w:tc>
              <w:tc>
                <w:tcPr>
                  <w:tcW w:w="1999" w:type="pct"/>
                  <w:vAlign w:val="center"/>
                </w:tcPr>
                <w:p w14:paraId="11357A21">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有毒有害和易燃易爆危险物质存储量超过临界量</w:t>
                  </w:r>
                  <w:r>
                    <w:rPr>
                      <w:b w:val="0"/>
                      <w:color w:val="000000" w:themeColor="text1"/>
                      <w:vertAlign w:val="superscript"/>
                      <w14:textFill>
                        <w14:solidFill>
                          <w14:schemeClr w14:val="tx1"/>
                        </w14:solidFill>
                      </w14:textFill>
                    </w:rPr>
                    <w:t>3</w:t>
                  </w:r>
                  <w:r>
                    <w:rPr>
                      <w:b w:val="0"/>
                      <w:color w:val="000000" w:themeColor="text1"/>
                      <w14:textFill>
                        <w14:solidFill>
                          <w14:schemeClr w14:val="tx1"/>
                        </w14:solidFill>
                      </w14:textFill>
                    </w:rPr>
                    <w:t>的建设项目。</w:t>
                  </w:r>
                </w:p>
              </w:tc>
              <w:tc>
                <w:tcPr>
                  <w:tcW w:w="2016" w:type="pct"/>
                  <w:vAlign w:val="center"/>
                </w:tcPr>
                <w:p w14:paraId="16C39AF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本项目有毒有害和易燃易爆危险物质存储量根据《建设项目环境风险评价技术导则》（</w:t>
                  </w:r>
                  <w:r>
                    <w:rPr>
                      <w:b w:val="0"/>
                      <w:color w:val="000000" w:themeColor="text1"/>
                      <w14:textFill>
                        <w14:solidFill>
                          <w14:schemeClr w14:val="tx1"/>
                        </w14:solidFill>
                      </w14:textFill>
                    </w:rPr>
                    <w:t>HJ169-2018</w:t>
                  </w:r>
                  <w:r>
                    <w:rPr>
                      <w:rFonts w:hint="eastAsia"/>
                      <w:b w:val="0"/>
                      <w:color w:val="000000" w:themeColor="text1"/>
                      <w14:textFill>
                        <w14:solidFill>
                          <w14:schemeClr w14:val="tx1"/>
                        </w14:solidFill>
                      </w14:textFill>
                    </w:rPr>
                    <w:t>）计算，</w:t>
                  </w:r>
                  <w:r>
                    <w:rPr>
                      <w:b w:val="0"/>
                      <w:color w:val="000000" w:themeColor="text1"/>
                      <w14:textFill>
                        <w14:solidFill>
                          <w14:schemeClr w14:val="tx1"/>
                        </w14:solidFill>
                      </w14:textFill>
                    </w:rPr>
                    <w:t>Q</w:t>
                  </w:r>
                  <w:r>
                    <w:rPr>
                      <w:rFonts w:hint="eastAsia"/>
                      <w:b w:val="0"/>
                      <w:color w:val="000000" w:themeColor="text1"/>
                      <w14:textFill>
                        <w14:solidFill>
                          <w14:schemeClr w14:val="tx1"/>
                        </w14:solidFill>
                      </w14:textFill>
                    </w:rPr>
                    <w:t>值未超过临界量，无需开展风险专题评价。</w:t>
                  </w:r>
                </w:p>
              </w:tc>
              <w:tc>
                <w:tcPr>
                  <w:tcW w:w="497" w:type="pct"/>
                  <w:vAlign w:val="center"/>
                </w:tcPr>
                <w:p w14:paraId="0268A703">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否</w:t>
                  </w:r>
                </w:p>
              </w:tc>
            </w:tr>
            <w:tr w14:paraId="166EF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486" w:type="pct"/>
                  <w:vAlign w:val="center"/>
                </w:tcPr>
                <w:p w14:paraId="26141788">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生态</w:t>
                  </w:r>
                </w:p>
              </w:tc>
              <w:tc>
                <w:tcPr>
                  <w:tcW w:w="1999" w:type="pct"/>
                  <w:vAlign w:val="center"/>
                </w:tcPr>
                <w:p w14:paraId="563507A2">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取水口下游500米范围内有重要水生生物的自然产卵场、索饵场、越冬场和洄游通道的新增河道取水的污染类建设项目。</w:t>
                  </w:r>
                </w:p>
              </w:tc>
              <w:tc>
                <w:tcPr>
                  <w:tcW w:w="2016" w:type="pct"/>
                  <w:vAlign w:val="center"/>
                </w:tcPr>
                <w:p w14:paraId="18FE477F">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本项目不涉及此项情况。</w:t>
                  </w:r>
                </w:p>
              </w:tc>
              <w:tc>
                <w:tcPr>
                  <w:tcW w:w="497" w:type="pct"/>
                  <w:vAlign w:val="center"/>
                </w:tcPr>
                <w:p w14:paraId="39EF7CC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否</w:t>
                  </w:r>
                </w:p>
              </w:tc>
            </w:tr>
            <w:tr w14:paraId="3EE38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486" w:type="pct"/>
                  <w:vAlign w:val="center"/>
                </w:tcPr>
                <w:p w14:paraId="62A2DCFD">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海洋</w:t>
                  </w:r>
                </w:p>
              </w:tc>
              <w:tc>
                <w:tcPr>
                  <w:tcW w:w="1999" w:type="pct"/>
                  <w:vAlign w:val="center"/>
                </w:tcPr>
                <w:p w14:paraId="398C030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直接向海排放污染物的海洋工程建设项目。</w:t>
                  </w:r>
                </w:p>
              </w:tc>
              <w:tc>
                <w:tcPr>
                  <w:tcW w:w="2016" w:type="pct"/>
                  <w:vAlign w:val="center"/>
                </w:tcPr>
                <w:p w14:paraId="10A026A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项目不属于海洋工程建设项目，不向海洋排放污染物。</w:t>
                  </w:r>
                </w:p>
              </w:tc>
              <w:tc>
                <w:tcPr>
                  <w:tcW w:w="497" w:type="pct"/>
                  <w:vAlign w:val="center"/>
                </w:tcPr>
                <w:p w14:paraId="656A9E01">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否</w:t>
                  </w:r>
                </w:p>
              </w:tc>
            </w:tr>
            <w:tr w14:paraId="58DF6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c>
                <w:tcPr>
                  <w:tcW w:w="5000" w:type="pct"/>
                  <w:gridSpan w:val="4"/>
                  <w:vAlign w:val="center"/>
                </w:tcPr>
                <w:p w14:paraId="5DD9EEBE">
                  <w:pPr>
                    <w:pStyle w:val="74"/>
                    <w:jc w:val="left"/>
                    <w:rPr>
                      <w:b w:val="0"/>
                      <w:color w:val="000000" w:themeColor="text1"/>
                      <w14:textFill>
                        <w14:solidFill>
                          <w14:schemeClr w14:val="tx1"/>
                        </w14:solidFill>
                      </w14:textFill>
                    </w:rPr>
                  </w:pPr>
                  <w:r>
                    <w:rPr>
                      <w:b w:val="0"/>
                      <w:color w:val="000000" w:themeColor="text1"/>
                      <w14:textFill>
                        <w14:solidFill>
                          <w14:schemeClr w14:val="tx1"/>
                        </w14:solidFill>
                      </w14:textFill>
                    </w:rPr>
                    <w:t>注：1.废气中有毒有害污染物指纳入《有毒有害大气污染物名录》的污染物（不包括无排放标准的污染物）。</w:t>
                  </w:r>
                </w:p>
                <w:p w14:paraId="565152E4">
                  <w:pPr>
                    <w:pStyle w:val="74"/>
                    <w:jc w:val="left"/>
                    <w:rPr>
                      <w:b w:val="0"/>
                      <w:color w:val="000000" w:themeColor="text1"/>
                      <w14:textFill>
                        <w14:solidFill>
                          <w14:schemeClr w14:val="tx1"/>
                        </w14:solidFill>
                      </w14:textFill>
                    </w:rPr>
                  </w:pPr>
                  <w:r>
                    <w:rPr>
                      <w:b w:val="0"/>
                      <w:color w:val="000000" w:themeColor="text1"/>
                      <w14:textFill>
                        <w14:solidFill>
                          <w14:schemeClr w14:val="tx1"/>
                        </w14:solidFill>
                      </w14:textFill>
                    </w:rPr>
                    <w:t>2.环境空气保护目标指自然保护区、风景名胜区、居住区、文化区和农村地区中人群较集中的区域。</w:t>
                  </w:r>
                </w:p>
                <w:p w14:paraId="3E13FB7F">
                  <w:pPr>
                    <w:pStyle w:val="74"/>
                    <w:jc w:val="left"/>
                    <w:rPr>
                      <w:b w:val="0"/>
                      <w:color w:val="000000" w:themeColor="text1"/>
                      <w14:textFill>
                        <w14:solidFill>
                          <w14:schemeClr w14:val="tx1"/>
                        </w14:solidFill>
                      </w14:textFill>
                    </w:rPr>
                  </w:pPr>
                  <w:r>
                    <w:rPr>
                      <w:b w:val="0"/>
                      <w:color w:val="000000" w:themeColor="text1"/>
                      <w14:textFill>
                        <w14:solidFill>
                          <w14:schemeClr w14:val="tx1"/>
                        </w14:solidFill>
                      </w14:textFill>
                    </w:rPr>
                    <w:t>3.临界量及其计算方法可参考《建设项目环境风险评价技术导则》（HJ 169）附录B、附录C。</w:t>
                  </w:r>
                </w:p>
              </w:tc>
            </w:tr>
          </w:tbl>
          <w:p w14:paraId="49CE4F9C">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综上所述，本项目不设置专项评价。</w:t>
            </w:r>
          </w:p>
        </w:tc>
      </w:tr>
      <w:tr w14:paraId="194BD5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892" w:type="dxa"/>
            <w:vAlign w:val="center"/>
          </w:tcPr>
          <w:p w14:paraId="2443CD95">
            <w:pPr>
              <w:autoSpaceDE w:val="0"/>
              <w:autoSpaceDN w:val="0"/>
              <w:adjustRightInd w:val="0"/>
              <w:snapToGrid w:val="0"/>
              <w:jc w:val="center"/>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规划情况</w:t>
            </w:r>
          </w:p>
        </w:tc>
        <w:tc>
          <w:tcPr>
            <w:tcW w:w="8371" w:type="dxa"/>
            <w:gridSpan w:val="4"/>
            <w:vAlign w:val="center"/>
          </w:tcPr>
          <w:p w14:paraId="5F1B6561">
            <w:pPr>
              <w:spacing w:line="360" w:lineRule="auto"/>
              <w:jc w:val="left"/>
              <w:rPr>
                <w:color w:val="000000" w:themeColor="text1"/>
                <w:sz w:val="24"/>
                <w14:textFill>
                  <w14:solidFill>
                    <w14:schemeClr w14:val="tx1"/>
                  </w14:solidFill>
                </w14:textFill>
              </w:rPr>
            </w:pPr>
            <w:r>
              <w:rPr>
                <w:b/>
                <w:bCs/>
                <w:color w:val="000000" w:themeColor="text1"/>
                <w:sz w:val="24"/>
                <w14:textFill>
                  <w14:solidFill>
                    <w14:schemeClr w14:val="tx1"/>
                  </w14:solidFill>
                </w14:textFill>
              </w:rPr>
              <w:t>1、规划名称：</w:t>
            </w:r>
            <w:r>
              <w:rPr>
                <w:color w:val="000000" w:themeColor="text1"/>
                <w:sz w:val="24"/>
                <w14:textFill>
                  <w14:solidFill>
                    <w14:schemeClr w14:val="tx1"/>
                  </w14:solidFill>
                </w14:textFill>
              </w:rPr>
              <w:t>《云南寻甸产业园区总体规划修编（2021-2035）》；</w:t>
            </w:r>
          </w:p>
          <w:p w14:paraId="7B51BDF8">
            <w:pPr>
              <w:autoSpaceDE w:val="0"/>
              <w:autoSpaceDN w:val="0"/>
              <w:adjustRightInd w:val="0"/>
              <w:snapToGrid w:val="0"/>
              <w:spacing w:line="360" w:lineRule="auto"/>
              <w:rPr>
                <w:color w:val="000000" w:themeColor="text1"/>
                <w:sz w:val="24"/>
                <w:lang w:val="zh-CN"/>
                <w14:textFill>
                  <w14:solidFill>
                    <w14:schemeClr w14:val="tx1"/>
                  </w14:solidFill>
                </w14:textFill>
              </w:rPr>
            </w:pPr>
            <w:r>
              <w:rPr>
                <w:b/>
                <w:bCs/>
                <w:color w:val="000000" w:themeColor="text1"/>
                <w:sz w:val="24"/>
                <w14:textFill>
                  <w14:solidFill>
                    <w14:schemeClr w14:val="tx1"/>
                  </w14:solidFill>
                </w14:textFill>
              </w:rPr>
              <w:t>2、审查机关：</w:t>
            </w:r>
            <w:r>
              <w:rPr>
                <w:color w:val="000000" w:themeColor="text1"/>
                <w:sz w:val="24"/>
                <w14:textFill>
                  <w14:solidFill>
                    <w14:schemeClr w14:val="tx1"/>
                  </w14:solidFill>
                </w14:textFill>
              </w:rPr>
              <w:t>昆明市人民政府；</w:t>
            </w:r>
          </w:p>
          <w:p w14:paraId="6234DB67">
            <w:pPr>
              <w:autoSpaceDE w:val="0"/>
              <w:autoSpaceDN w:val="0"/>
              <w:adjustRightInd w:val="0"/>
              <w:snapToGrid w:val="0"/>
              <w:spacing w:line="360" w:lineRule="auto"/>
              <w:rPr>
                <w:color w:val="000000" w:themeColor="text1"/>
                <w:kern w:val="0"/>
                <w:sz w:val="24"/>
                <w14:textFill>
                  <w14:solidFill>
                    <w14:schemeClr w14:val="tx1"/>
                  </w14:solidFill>
                </w14:textFill>
              </w:rPr>
            </w:pPr>
            <w:r>
              <w:rPr>
                <w:b/>
                <w:bCs/>
                <w:color w:val="000000" w:themeColor="text1"/>
                <w:sz w:val="24"/>
                <w14:textFill>
                  <w14:solidFill>
                    <w14:schemeClr w14:val="tx1"/>
                  </w14:solidFill>
                </w14:textFill>
              </w:rPr>
              <w:t>3、审查文件名称及文号：</w:t>
            </w:r>
            <w:r>
              <w:rPr>
                <w:color w:val="000000" w:themeColor="text1"/>
                <w:sz w:val="24"/>
                <w14:textFill>
                  <w14:solidFill>
                    <w14:schemeClr w14:val="tx1"/>
                  </w14:solidFill>
                </w14:textFill>
              </w:rPr>
              <w:t>昆明市人民政府关于</w:t>
            </w:r>
            <w:r>
              <w:rPr>
                <w:bCs/>
                <w:color w:val="000000" w:themeColor="text1"/>
                <w:sz w:val="24"/>
                <w14:textFill>
                  <w14:solidFill>
                    <w14:schemeClr w14:val="tx1"/>
                  </w14:solidFill>
                </w14:textFill>
              </w:rPr>
              <w:t>《云南寻甸产业园区总体规划修编（2021—2035年）》的批复（昆政复〔2023〕63号）</w:t>
            </w:r>
            <w:r>
              <w:rPr>
                <w:color w:val="000000" w:themeColor="text1"/>
                <w:sz w:val="24"/>
                <w14:textFill>
                  <w14:solidFill>
                    <w14:schemeClr w14:val="tx1"/>
                  </w14:solidFill>
                </w14:textFill>
              </w:rPr>
              <w:t>。</w:t>
            </w:r>
          </w:p>
        </w:tc>
      </w:tr>
      <w:tr w14:paraId="43D1A0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892" w:type="dxa"/>
            <w:vAlign w:val="center"/>
          </w:tcPr>
          <w:p w14:paraId="62D6AE1F">
            <w:pPr>
              <w:adjustRightInd w:val="0"/>
              <w:snapToGrid w:val="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规划环境影响</w:t>
            </w:r>
          </w:p>
          <w:p w14:paraId="5155DD64">
            <w:pPr>
              <w:adjustRightInd w:val="0"/>
              <w:snapToGrid w:val="0"/>
              <w:jc w:val="center"/>
              <w:rPr>
                <w:color w:val="000000" w:themeColor="text1"/>
                <w:kern w:val="0"/>
                <w:sz w:val="24"/>
                <w14:textFill>
                  <w14:solidFill>
                    <w14:schemeClr w14:val="tx1"/>
                  </w14:solidFill>
                </w14:textFill>
              </w:rPr>
            </w:pPr>
            <w:r>
              <w:rPr>
                <w:color w:val="000000" w:themeColor="text1"/>
                <w:sz w:val="24"/>
                <w14:textFill>
                  <w14:solidFill>
                    <w14:schemeClr w14:val="tx1"/>
                  </w14:solidFill>
                </w14:textFill>
              </w:rPr>
              <w:t>评价情况</w:t>
            </w:r>
          </w:p>
        </w:tc>
        <w:tc>
          <w:tcPr>
            <w:tcW w:w="8371" w:type="dxa"/>
            <w:gridSpan w:val="4"/>
            <w:vAlign w:val="center"/>
          </w:tcPr>
          <w:p w14:paraId="295B1946">
            <w:pPr>
              <w:autoSpaceDE w:val="0"/>
              <w:autoSpaceDN w:val="0"/>
              <w:adjustRightInd w:val="0"/>
              <w:snapToGrid w:val="0"/>
              <w:spacing w:line="360" w:lineRule="auto"/>
              <w:rPr>
                <w:bCs/>
                <w:color w:val="000000" w:themeColor="text1"/>
                <w:sz w:val="24"/>
                <w14:textFill>
                  <w14:solidFill>
                    <w14:schemeClr w14:val="tx1"/>
                  </w14:solidFill>
                </w14:textFill>
              </w:rPr>
            </w:pPr>
            <w:r>
              <w:rPr>
                <w:b/>
                <w:bCs/>
                <w:color w:val="000000" w:themeColor="text1"/>
                <w:sz w:val="24"/>
                <w14:textFill>
                  <w14:solidFill>
                    <w14:schemeClr w14:val="tx1"/>
                  </w14:solidFill>
                </w14:textFill>
              </w:rPr>
              <w:t>1、规划环境影响评价文件名称：</w:t>
            </w:r>
            <w:r>
              <w:rPr>
                <w:bCs/>
                <w:color w:val="000000" w:themeColor="text1"/>
                <w:sz w:val="24"/>
                <w14:textFill>
                  <w14:solidFill>
                    <w14:schemeClr w14:val="tx1"/>
                  </w14:solidFill>
                </w14:textFill>
              </w:rPr>
              <w:t>《云南寻甸产业园区总体规划修编（2021-2035）环境影响报告书》；</w:t>
            </w:r>
          </w:p>
          <w:p w14:paraId="1CC73A0A">
            <w:pPr>
              <w:autoSpaceDE w:val="0"/>
              <w:autoSpaceDN w:val="0"/>
              <w:adjustRightInd w:val="0"/>
              <w:snapToGrid w:val="0"/>
              <w:spacing w:line="360" w:lineRule="auto"/>
              <w:rPr>
                <w:bCs/>
                <w:color w:val="000000" w:themeColor="text1"/>
                <w:sz w:val="24"/>
                <w14:textFill>
                  <w14:solidFill>
                    <w14:schemeClr w14:val="tx1"/>
                  </w14:solidFill>
                </w14:textFill>
              </w:rPr>
            </w:pPr>
            <w:r>
              <w:rPr>
                <w:b/>
                <w:bCs/>
                <w:color w:val="000000" w:themeColor="text1"/>
                <w:sz w:val="24"/>
                <w14:textFill>
                  <w14:solidFill>
                    <w14:schemeClr w14:val="tx1"/>
                  </w14:solidFill>
                </w14:textFill>
              </w:rPr>
              <w:t>2、审查机关：</w:t>
            </w:r>
            <w:r>
              <w:rPr>
                <w:color w:val="000000" w:themeColor="text1"/>
                <w:sz w:val="24"/>
                <w14:textFill>
                  <w14:solidFill>
                    <w14:schemeClr w14:val="tx1"/>
                  </w14:solidFill>
                </w14:textFill>
              </w:rPr>
              <w:t>昆明市生态环境局；</w:t>
            </w:r>
          </w:p>
          <w:p w14:paraId="3F3FD86C">
            <w:pPr>
              <w:autoSpaceDE w:val="0"/>
              <w:autoSpaceDN w:val="0"/>
              <w:adjustRightInd w:val="0"/>
              <w:snapToGrid w:val="0"/>
              <w:spacing w:line="360" w:lineRule="auto"/>
              <w:rPr>
                <w:color w:val="000000" w:themeColor="text1"/>
                <w:kern w:val="0"/>
                <w:sz w:val="24"/>
                <w14:textFill>
                  <w14:solidFill>
                    <w14:schemeClr w14:val="tx1"/>
                  </w14:solidFill>
                </w14:textFill>
              </w:rPr>
            </w:pPr>
            <w:r>
              <w:rPr>
                <w:b/>
                <w:bCs/>
                <w:color w:val="000000" w:themeColor="text1"/>
                <w:sz w:val="24"/>
                <w14:textFill>
                  <w14:solidFill>
                    <w14:schemeClr w14:val="tx1"/>
                  </w14:solidFill>
                </w14:textFill>
              </w:rPr>
              <w:t>3、审查文件名称及文号：</w:t>
            </w:r>
            <w:r>
              <w:rPr>
                <w:color w:val="000000" w:themeColor="text1"/>
                <w:sz w:val="24"/>
                <w14:textFill>
                  <w14:solidFill>
                    <w14:schemeClr w14:val="tx1"/>
                  </w14:solidFill>
                </w14:textFill>
              </w:rPr>
              <w:t>昆明市生态环境局关于</w:t>
            </w:r>
            <w:r>
              <w:rPr>
                <w:bCs/>
                <w:color w:val="000000" w:themeColor="text1"/>
                <w:sz w:val="24"/>
                <w14:textFill>
                  <w14:solidFill>
                    <w14:schemeClr w14:val="tx1"/>
                  </w14:solidFill>
                </w14:textFill>
              </w:rPr>
              <w:t>《云南寻甸产业园区总体规划修编（2021-2035）环境影响报告书》审查意见的函（昆环审[2023]5号）</w:t>
            </w:r>
            <w:r>
              <w:rPr>
                <w:color w:val="000000" w:themeColor="text1"/>
                <w:sz w:val="24"/>
                <w14:textFill>
                  <w14:solidFill>
                    <w14:schemeClr w14:val="tx1"/>
                  </w14:solidFill>
                </w14:textFill>
              </w:rPr>
              <w:t>。</w:t>
            </w:r>
          </w:p>
        </w:tc>
      </w:tr>
      <w:tr w14:paraId="4EC0D9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892" w:type="dxa"/>
            <w:vAlign w:val="center"/>
          </w:tcPr>
          <w:p w14:paraId="39CEB734">
            <w:pPr>
              <w:autoSpaceDE w:val="0"/>
              <w:autoSpaceDN w:val="0"/>
              <w:adjustRightInd w:val="0"/>
              <w:snapToGrid w:val="0"/>
              <w:jc w:val="center"/>
              <w:rPr>
                <w:color w:val="000000" w:themeColor="text1"/>
                <w:kern w:val="0"/>
                <w:szCs w:val="21"/>
                <w14:textFill>
                  <w14:solidFill>
                    <w14:schemeClr w14:val="tx1"/>
                  </w14:solidFill>
                </w14:textFill>
              </w:rPr>
            </w:pPr>
            <w:r>
              <w:rPr>
                <w:color w:val="000000" w:themeColor="text1"/>
                <w:kern w:val="0"/>
                <w:sz w:val="24"/>
                <w14:textFill>
                  <w14:solidFill>
                    <w14:schemeClr w14:val="tx1"/>
                  </w14:solidFill>
                </w14:textFill>
              </w:rPr>
              <w:t>规划及规划环境影响评价符合性分析</w:t>
            </w:r>
          </w:p>
        </w:tc>
        <w:tc>
          <w:tcPr>
            <w:tcW w:w="8371" w:type="dxa"/>
            <w:gridSpan w:val="4"/>
            <w:vAlign w:val="center"/>
          </w:tcPr>
          <w:p w14:paraId="22F407D0">
            <w:pPr>
              <w:adjustRightInd w:val="0"/>
              <w:snapToGrid w:val="0"/>
              <w:spacing w:line="360" w:lineRule="auto"/>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1、与</w:t>
            </w:r>
            <w:r>
              <w:rPr>
                <w:b/>
                <w:color w:val="000000" w:themeColor="text1"/>
                <w:sz w:val="24"/>
                <w:lang w:val="zh-CN"/>
                <w14:textFill>
                  <w14:solidFill>
                    <w14:schemeClr w14:val="tx1"/>
                  </w14:solidFill>
                </w14:textFill>
              </w:rPr>
              <w:t>《云南寻甸产业园区总体规划修编（2021-2035）》</w:t>
            </w:r>
            <w:r>
              <w:rPr>
                <w:b/>
                <w:color w:val="000000" w:themeColor="text1"/>
                <w:sz w:val="24"/>
                <w14:textFill>
                  <w14:solidFill>
                    <w14:schemeClr w14:val="tx1"/>
                  </w14:solidFill>
                </w14:textFill>
              </w:rPr>
              <w:t>的符合性分析</w:t>
            </w:r>
          </w:p>
          <w:p w14:paraId="6118E375">
            <w:pPr>
              <w:adjustRightInd w:val="0"/>
              <w:snapToGrid w:val="0"/>
              <w:spacing w:line="360" w:lineRule="auto"/>
              <w:ind w:firstLine="482" w:firstLineChars="200"/>
              <w:rPr>
                <w:b/>
                <w:bCs/>
                <w:color w:val="000000" w:themeColor="text1"/>
                <w:sz w:val="24"/>
                <w14:textFill>
                  <w14:solidFill>
                    <w14:schemeClr w14:val="tx1"/>
                  </w14:solidFill>
                </w14:textFill>
              </w:rPr>
            </w:pPr>
            <w:r>
              <w:rPr>
                <w:b/>
                <w:bCs/>
                <w:color w:val="000000" w:themeColor="text1"/>
                <w:sz w:val="24"/>
                <w:lang w:val="zh-CN"/>
                <w14:textFill>
                  <w14:solidFill>
                    <w14:schemeClr w14:val="tx1"/>
                  </w14:solidFill>
                </w14:textFill>
              </w:rPr>
              <w:t>（</w:t>
            </w:r>
            <w:r>
              <w:rPr>
                <w:b/>
                <w:bCs/>
                <w:color w:val="000000" w:themeColor="text1"/>
                <w:sz w:val="24"/>
                <w14:textFill>
                  <w14:solidFill>
                    <w14:schemeClr w14:val="tx1"/>
                  </w14:solidFill>
                </w14:textFill>
              </w:rPr>
              <w:t>1</w:t>
            </w:r>
            <w:r>
              <w:rPr>
                <w:b/>
                <w:bCs/>
                <w:color w:val="000000" w:themeColor="text1"/>
                <w:sz w:val="24"/>
                <w:lang w:val="zh-CN"/>
                <w14:textFill>
                  <w14:solidFill>
                    <w14:schemeClr w14:val="tx1"/>
                  </w14:solidFill>
                </w14:textFill>
              </w:rPr>
              <w:t>）</w:t>
            </w:r>
            <w:r>
              <w:rPr>
                <w:b/>
                <w:bCs/>
                <w:color w:val="000000" w:themeColor="text1"/>
                <w:sz w:val="24"/>
                <w14:textFill>
                  <w14:solidFill>
                    <w14:schemeClr w14:val="tx1"/>
                  </w14:solidFill>
                </w14:textFill>
              </w:rPr>
              <w:t>规划简介</w:t>
            </w:r>
          </w:p>
          <w:p w14:paraId="5379DA9E">
            <w:pPr>
              <w:spacing w:line="360" w:lineRule="auto"/>
              <w:ind w:firstLine="480" w:firstLineChars="200"/>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根据《规划》，修编后云南寻甸产业园区远期规划范围至2035年占地面积为1214.59公顷。总体布局规划为“一园三片”一园即云南寻甸产业园区；三片即羊街片区、金所片区(含金所组团、天生桥组团)、倘甸片区。金所片区(金所组团)占地522.60公顷，定位以先进装备制造产业区、非烟轻工产业区、绿色建材产业区、绿色化工产业区、公共服务配套区、中转物流区为主；金所片区(天生桥组团)占地158.92公顷，定位以绿色化工产业区、先进装备制造产业区为主；羊街片区占地263.39公顷，定位以先进装备制造产业区、非烟轻工产业区、商贸物流及冷链加工区为主；倘甸片区占地 269.69 公顷，定位以生物医疗产业区、先进装备制造产业区、非烟轻工产业区、公共服务配套区为主。</w:t>
            </w:r>
          </w:p>
          <w:p w14:paraId="1BD61ECC">
            <w:pPr>
              <w:adjustRightInd w:val="0"/>
              <w:snapToGrid w:val="0"/>
              <w:spacing w:line="360" w:lineRule="auto"/>
              <w:ind w:firstLine="482" w:firstLineChars="200"/>
              <w:rPr>
                <w:b/>
                <w:bCs/>
                <w:color w:val="000000" w:themeColor="text1"/>
                <w:sz w:val="24"/>
                <w14:textFill>
                  <w14:solidFill>
                    <w14:schemeClr w14:val="tx1"/>
                  </w14:solidFill>
                </w14:textFill>
              </w:rPr>
            </w:pPr>
            <w:r>
              <w:rPr>
                <w:b/>
                <w:bCs/>
                <w:color w:val="000000" w:themeColor="text1"/>
                <w:sz w:val="24"/>
                <w:lang w:val="zh-CN"/>
                <w14:textFill>
                  <w14:solidFill>
                    <w14:schemeClr w14:val="tx1"/>
                  </w14:solidFill>
                </w14:textFill>
              </w:rPr>
              <w:t>（</w:t>
            </w:r>
            <w:r>
              <w:rPr>
                <w:b/>
                <w:bCs/>
                <w:color w:val="000000" w:themeColor="text1"/>
                <w:sz w:val="24"/>
                <w14:textFill>
                  <w14:solidFill>
                    <w14:schemeClr w14:val="tx1"/>
                  </w14:solidFill>
                </w14:textFill>
              </w:rPr>
              <w:t>2</w:t>
            </w:r>
            <w:r>
              <w:rPr>
                <w:b/>
                <w:bCs/>
                <w:color w:val="000000" w:themeColor="text1"/>
                <w:sz w:val="24"/>
                <w:lang w:val="zh-CN"/>
                <w14:textFill>
                  <w14:solidFill>
                    <w14:schemeClr w14:val="tx1"/>
                  </w14:solidFill>
                </w14:textFill>
              </w:rPr>
              <w:t>）</w:t>
            </w:r>
            <w:r>
              <w:rPr>
                <w:b/>
                <w:bCs/>
                <w:color w:val="000000" w:themeColor="text1"/>
                <w:sz w:val="24"/>
                <w14:textFill>
                  <w14:solidFill>
                    <w14:schemeClr w14:val="tx1"/>
                  </w14:solidFill>
                </w14:textFill>
              </w:rPr>
              <w:t>规划相关内容</w:t>
            </w:r>
          </w:p>
          <w:p w14:paraId="0DC4B0A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1）园区总体布局规划</w:t>
            </w:r>
          </w:p>
          <w:p w14:paraId="1FAFD53F">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根据云南寻甸产业园现状工业的分布情况，统筹规划，形成</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一园三片多组团</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的总体格局。</w:t>
            </w:r>
          </w:p>
          <w:p w14:paraId="6DEF38B0">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一园：云南寻甸产业园区；</w:t>
            </w:r>
          </w:p>
          <w:p w14:paraId="69D5E41F">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三片：羊街片区、金所（天生桥）片区（其中天生桥拟设置为化工园区）、倘甸片区；</w:t>
            </w:r>
          </w:p>
          <w:p w14:paraId="74937C6C">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多组团：依托昆明国际林业产业园、农特产品加工园区、先锋能源基地等园中园，促进产业集聚发展，形成</w:t>
            </w:r>
            <w:r>
              <w:rPr>
                <w:rFonts w:hint="eastAsia"/>
                <w:color w:val="000000" w:themeColor="text1"/>
                <w:sz w:val="24"/>
                <w14:textFill>
                  <w14:solidFill>
                    <w14:schemeClr w14:val="tx1"/>
                  </w14:solidFill>
                </w14:textFill>
              </w:rPr>
              <w:t>一二三产业融合</w:t>
            </w:r>
            <w:r>
              <w:rPr>
                <w:color w:val="000000" w:themeColor="text1"/>
                <w:sz w:val="24"/>
                <w14:textFill>
                  <w14:solidFill>
                    <w14:schemeClr w14:val="tx1"/>
                  </w14:solidFill>
                </w14:textFill>
              </w:rPr>
              <w:t>发展的产业体系。</w:t>
            </w:r>
          </w:p>
          <w:p w14:paraId="4CE48F3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2）规划时序</w:t>
            </w:r>
          </w:p>
          <w:p w14:paraId="1D242FFC">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本次规划的期限为2021～2035年。其中：近期为2021年~2025年，远期为2026年~2035年。</w:t>
            </w:r>
          </w:p>
          <w:p w14:paraId="5F1E413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3）规划范围</w:t>
            </w:r>
          </w:p>
          <w:p w14:paraId="0696D8AC">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①近期开发范围（2025年）</w:t>
            </w:r>
          </w:p>
          <w:p w14:paraId="0B6C614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至2025年，近期开发范围根据园区实际发展需求，控制为1096.71公顷，包括三个工业发展片区，其中金所片区681.52公顷；羊街片区231.58公顷；倘甸片区183.62公顷。</w:t>
            </w:r>
          </w:p>
          <w:p w14:paraId="417EBBAD">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②园区远期规划范围（2035年）</w:t>
            </w:r>
          </w:p>
          <w:p w14:paraId="075C2CE7">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至2035年，远期规划面积根据园区实际发展需求，控制为1214.59公顷，包括三个工业发展片区，其中金所片区681.52公顷；羊街片区263.39公顷；倘甸片区269.69 公顷。</w:t>
            </w:r>
          </w:p>
          <w:p w14:paraId="1A97D50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4）园区定位</w:t>
            </w:r>
          </w:p>
          <w:p w14:paraId="47CC9FB7">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①总体定位</w:t>
            </w:r>
          </w:p>
          <w:p w14:paraId="094719B9">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立足寻甸特色产业园区现状基础，把握新一轮科技革命和产业变革趋势，按照“增量优质、存量优化”的要求，发展壮大“一主两辅”三大支柱产业，即非烟轻工制造为主导，以绿色化工（是指在化工产品生产过程中，从工艺源头上就运用环保的理念，推</w:t>
            </w:r>
            <w:r>
              <w:rPr>
                <w:rFonts w:hint="eastAsia"/>
                <w:color w:val="000000" w:themeColor="text1"/>
                <w:sz w:val="24"/>
                <w14:textFill>
                  <w14:solidFill>
                    <w14:schemeClr w14:val="tx1"/>
                  </w14:solidFill>
                </w14:textFill>
              </w:rPr>
              <w:t>行资</w:t>
            </w:r>
            <w:r>
              <w:rPr>
                <w:color w:val="000000" w:themeColor="text1"/>
                <w:sz w:val="24"/>
                <w14:textFill>
                  <w14:solidFill>
                    <w14:schemeClr w14:val="tx1"/>
                  </w14:solidFill>
                </w14:textFill>
              </w:rPr>
              <w:t>源削减、进行生产过程的优化集成，废物再利用与资源化，从而降低成本与消耗，减少废弃物的排放和毒性，减少产品全生命周期对环境的不良影响）、先进装备制造为辅导产业，巩固提升2大传统产业，即生物医疗、绿色建材传统产业，积极培育生产性服务业和生活性服务业，着力构建形成“3+2+2”的现代产业体系架构。</w:t>
            </w:r>
          </w:p>
          <w:p w14:paraId="5910AC16">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“3”支柱产业包括：非烟轻工（一主）、绿色化工及先进装备制造（两辅）；</w:t>
            </w:r>
          </w:p>
          <w:p w14:paraId="35978934">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“2”传统产业包括：生物医药、绿色建材；</w:t>
            </w:r>
          </w:p>
          <w:p w14:paraId="2BF6712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“2”服务业：生产性服务、生活性服务。</w:t>
            </w:r>
          </w:p>
          <w:p w14:paraId="493E9191">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②分园定位</w:t>
            </w:r>
          </w:p>
          <w:p w14:paraId="3B933D4D">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金所片区金所组团（</w:t>
            </w:r>
            <w:r>
              <w:rPr>
                <w:b/>
                <w:color w:val="000000" w:themeColor="text1"/>
                <w:sz w:val="24"/>
                <w14:textFill>
                  <w14:solidFill>
                    <w14:schemeClr w14:val="tx1"/>
                  </w14:solidFill>
                </w14:textFill>
              </w:rPr>
              <w:t>6</w:t>
            </w:r>
            <w:r>
              <w:rPr>
                <w:color w:val="000000" w:themeColor="text1"/>
                <w:sz w:val="24"/>
                <w14:textFill>
                  <w14:solidFill>
                    <w14:schemeClr w14:val="tx1"/>
                  </w14:solidFill>
                </w14:textFill>
              </w:rPr>
              <w:t>分区）：先进装备制造产业区、非烟轻工产业区、绿色建材产业区、绿色化工产业区、公共服务配套区、中转物流区；</w:t>
            </w:r>
          </w:p>
          <w:p w14:paraId="4D4D1EBE">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金所片区天生桥组团（本次拟设置为化工园区）（</w:t>
            </w:r>
            <w:r>
              <w:rPr>
                <w:b/>
                <w:color w:val="000000" w:themeColor="text1"/>
                <w:sz w:val="24"/>
                <w14:textFill>
                  <w14:solidFill>
                    <w14:schemeClr w14:val="tx1"/>
                  </w14:solidFill>
                </w14:textFill>
              </w:rPr>
              <w:t>2</w:t>
            </w:r>
            <w:r>
              <w:rPr>
                <w:color w:val="000000" w:themeColor="text1"/>
                <w:sz w:val="24"/>
                <w14:textFill>
                  <w14:solidFill>
                    <w14:schemeClr w14:val="tx1"/>
                  </w14:solidFill>
                </w14:textFill>
              </w:rPr>
              <w:t>分区）：绿色化工产业区、先进装备制造产业区；</w:t>
            </w:r>
          </w:p>
          <w:p w14:paraId="5C425414">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羊街片区（</w:t>
            </w:r>
            <w:r>
              <w:rPr>
                <w:b/>
                <w:color w:val="000000" w:themeColor="text1"/>
                <w:sz w:val="24"/>
                <w14:textFill>
                  <w14:solidFill>
                    <w14:schemeClr w14:val="tx1"/>
                  </w14:solidFill>
                </w14:textFill>
              </w:rPr>
              <w:t>3</w:t>
            </w:r>
            <w:r>
              <w:rPr>
                <w:color w:val="000000" w:themeColor="text1"/>
                <w:sz w:val="24"/>
                <w14:textFill>
                  <w14:solidFill>
                    <w14:schemeClr w14:val="tx1"/>
                  </w14:solidFill>
                </w14:textFill>
              </w:rPr>
              <w:t>分区）：先进装备制造产业区、非烟轻工产业区、商贸物流及冷链加工区；</w:t>
            </w:r>
          </w:p>
          <w:p w14:paraId="5ABDB324">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倘甸片区（</w:t>
            </w:r>
            <w:r>
              <w:rPr>
                <w:b/>
                <w:color w:val="000000" w:themeColor="text1"/>
                <w:sz w:val="24"/>
                <w14:textFill>
                  <w14:solidFill>
                    <w14:schemeClr w14:val="tx1"/>
                  </w14:solidFill>
                </w14:textFill>
              </w:rPr>
              <w:t>4</w:t>
            </w:r>
            <w:r>
              <w:rPr>
                <w:color w:val="000000" w:themeColor="text1"/>
                <w:sz w:val="24"/>
                <w14:textFill>
                  <w14:solidFill>
                    <w14:schemeClr w14:val="tx1"/>
                  </w14:solidFill>
                </w14:textFill>
              </w:rPr>
              <w:t>分区）：生物医疗产业区、先进装备制造产业区、非烟轻工产业区、公共服务配套区。</w:t>
            </w:r>
          </w:p>
          <w:p w14:paraId="1736DA6E">
            <w:pPr>
              <w:adjustRightInd w:val="0"/>
              <w:snapToGrid w:val="0"/>
              <w:spacing w:line="360" w:lineRule="auto"/>
              <w:ind w:firstLine="482" w:firstLineChars="200"/>
              <w:rPr>
                <w:b/>
                <w:bCs/>
                <w:color w:val="000000" w:themeColor="text1"/>
                <w:sz w:val="24"/>
                <w:lang w:val="zh-CN"/>
                <w14:textFill>
                  <w14:solidFill>
                    <w14:schemeClr w14:val="tx1"/>
                  </w14:solidFill>
                </w14:textFill>
              </w:rPr>
            </w:pPr>
            <w:r>
              <w:rPr>
                <w:b/>
                <w:bCs/>
                <w:color w:val="000000" w:themeColor="text1"/>
                <w:sz w:val="24"/>
                <w:lang w:val="zh-CN"/>
                <w14:textFill>
                  <w14:solidFill>
                    <w14:schemeClr w14:val="tx1"/>
                  </w14:solidFill>
                </w14:textFill>
              </w:rPr>
              <w:t>（</w:t>
            </w:r>
            <w:r>
              <w:rPr>
                <w:b/>
                <w:bCs/>
                <w:color w:val="000000" w:themeColor="text1"/>
                <w:sz w:val="24"/>
                <w14:textFill>
                  <w14:solidFill>
                    <w14:schemeClr w14:val="tx1"/>
                  </w14:solidFill>
                </w14:textFill>
              </w:rPr>
              <w:t>3</w:t>
            </w:r>
            <w:r>
              <w:rPr>
                <w:b/>
                <w:bCs/>
                <w:color w:val="000000" w:themeColor="text1"/>
                <w:sz w:val="24"/>
                <w:lang w:val="zh-CN"/>
                <w14:textFill>
                  <w14:solidFill>
                    <w14:schemeClr w14:val="tx1"/>
                  </w14:solidFill>
                </w14:textFill>
              </w:rPr>
              <w:t>）相符性分析</w:t>
            </w:r>
          </w:p>
          <w:p w14:paraId="5A8392B1">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本项目位于</w:t>
            </w:r>
            <w:r>
              <w:rPr>
                <w:color w:val="000000" w:themeColor="text1"/>
                <w:sz w:val="24"/>
                <w14:textFill>
                  <w14:solidFill>
                    <w14:schemeClr w14:val="tx1"/>
                  </w14:solidFill>
                </w14:textFill>
              </w:rPr>
              <w:t>金所片区金所组团</w:t>
            </w:r>
            <w:r>
              <w:rPr>
                <w:rFonts w:hint="eastAsia"/>
                <w:color w:val="000000" w:themeColor="text1"/>
                <w:sz w:val="24"/>
                <w14:textFill>
                  <w14:solidFill>
                    <w14:schemeClr w14:val="tx1"/>
                  </w14:solidFill>
                </w14:textFill>
              </w:rPr>
              <w:t>中的</w:t>
            </w:r>
            <w:r>
              <w:rPr>
                <w:color w:val="000000" w:themeColor="text1"/>
                <w:sz w:val="24"/>
                <w14:textFill>
                  <w14:solidFill>
                    <w14:schemeClr w14:val="tx1"/>
                  </w14:solidFill>
                </w14:textFill>
              </w:rPr>
              <w:t>绿色化工产业区</w:t>
            </w:r>
            <w:r>
              <w:rPr>
                <w:rFonts w:hint="eastAsia"/>
                <w:color w:val="000000" w:themeColor="text1"/>
                <w:sz w:val="24"/>
                <w14:textFill>
                  <w14:solidFill>
                    <w14:schemeClr w14:val="tx1"/>
                  </w14:solidFill>
                </w14:textFill>
              </w:rPr>
              <w:t>（见附图5-2），化工产业集群主要依托天生桥组团重点布局磷化工产业，金所组团重点布局磷化工及煤化工产业。</w:t>
            </w:r>
          </w:p>
          <w:p w14:paraId="0874B4F2">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val="zh-CN"/>
                <w14:textFill>
                  <w14:solidFill>
                    <w14:schemeClr w14:val="tx1"/>
                  </w14:solidFill>
                </w14:textFill>
              </w:rPr>
              <w:t>本项目为</w:t>
            </w:r>
            <w:r>
              <w:rPr>
                <w:rFonts w:hint="eastAsia"/>
                <w:color w:val="000000" w:themeColor="text1"/>
                <w:sz w:val="24"/>
                <w14:textFill>
                  <w14:solidFill>
                    <w14:schemeClr w14:val="tx1"/>
                  </w14:solidFill>
                </w14:textFill>
              </w:rPr>
              <w:t>有机肥料制造，根据寻甸县科学技术和工业信息化局情况说明（见附件10），不按照化工项目进行管理。项目位于</w:t>
            </w:r>
            <w:r>
              <w:rPr>
                <w:color w:val="000000" w:themeColor="text1"/>
                <w:sz w:val="24"/>
                <w:lang w:val="zh-CN"/>
                <w14:textFill>
                  <w14:solidFill>
                    <w14:schemeClr w14:val="tx1"/>
                  </w14:solidFill>
                </w14:textFill>
              </w:rPr>
              <w:t>金所工业园区云南建工云岭水泥有限公司</w:t>
            </w:r>
            <w:r>
              <w:rPr>
                <w:rFonts w:hint="eastAsia"/>
                <w:color w:val="000000" w:themeColor="text1"/>
                <w:sz w:val="24"/>
                <w14:textFill>
                  <w14:solidFill>
                    <w14:schemeClr w14:val="tx1"/>
                  </w14:solidFill>
                </w14:textFill>
              </w:rPr>
              <w:t>内进行建设</w:t>
            </w:r>
            <w:r>
              <w:rPr>
                <w:color w:val="000000" w:themeColor="text1"/>
                <w:sz w:val="24"/>
                <w:lang w:val="zh-CN"/>
                <w14:textFill>
                  <w14:solidFill>
                    <w14:schemeClr w14:val="tx1"/>
                  </w14:solidFill>
                </w14:textFill>
              </w:rPr>
              <w:t>，不新增用地，项目用地为工业用地</w:t>
            </w:r>
            <w:r>
              <w:rPr>
                <w:rFonts w:hint="eastAsia"/>
                <w:color w:val="000000" w:themeColor="text1"/>
                <w:sz w:val="24"/>
                <w:lang w:val="zh-CN"/>
                <w14:textFill>
                  <w14:solidFill>
                    <w14:schemeClr w14:val="tx1"/>
                  </w14:solidFill>
                </w14:textFill>
              </w:rPr>
              <w:t>，</w:t>
            </w:r>
            <w:r>
              <w:rPr>
                <w:rFonts w:hint="eastAsia"/>
                <w:color w:val="000000" w:themeColor="text1"/>
                <w:sz w:val="24"/>
                <w14:textFill>
                  <w14:solidFill>
                    <w14:schemeClr w14:val="tx1"/>
                  </w14:solidFill>
                </w14:textFill>
              </w:rPr>
              <w:t>不属于煤磷化工，项目采用园区企业日常生产中产生的低变质褐煤为原料生产有机肥，符合园区循环经济的发展理念，与园区的功能定位不冲突。且</w:t>
            </w:r>
            <w:r>
              <w:rPr>
                <w:color w:val="000000" w:themeColor="text1"/>
                <w:sz w:val="24"/>
                <w14:textFill>
                  <w14:solidFill>
                    <w14:schemeClr w14:val="tx1"/>
                  </w14:solidFill>
                </w14:textFill>
              </w:rPr>
              <w:t>202</w:t>
            </w:r>
            <w:r>
              <w:rPr>
                <w:rFonts w:hint="eastAsia"/>
                <w:color w:val="000000" w:themeColor="text1"/>
                <w:sz w:val="24"/>
                <w14:textFill>
                  <w14:solidFill>
                    <w14:schemeClr w14:val="tx1"/>
                  </w14:solidFill>
                </w14:textFill>
              </w:rPr>
              <w:t>6</w:t>
            </w:r>
            <w:r>
              <w:rPr>
                <w:color w:val="000000" w:themeColor="text1"/>
                <w:sz w:val="24"/>
                <w14:textFill>
                  <w14:solidFill>
                    <w14:schemeClr w14:val="tx1"/>
                  </w14:solidFill>
                </w14:textFill>
              </w:rPr>
              <w:t>年</w:t>
            </w:r>
            <w:r>
              <w:rPr>
                <w:rFonts w:hint="eastAsia"/>
                <w:color w:val="000000" w:themeColor="text1"/>
                <w:sz w:val="24"/>
                <w14:textFill>
                  <w14:solidFill>
                    <w14:schemeClr w14:val="tx1"/>
                  </w14:solidFill>
                </w14:textFill>
              </w:rPr>
              <w:t>6</w:t>
            </w:r>
            <w:r>
              <w:rPr>
                <w:color w:val="000000" w:themeColor="text1"/>
                <w:sz w:val="24"/>
                <w14:textFill>
                  <w14:solidFill>
                    <w14:schemeClr w14:val="tx1"/>
                  </w14:solidFill>
                </w14:textFill>
              </w:rPr>
              <w:t>月</w:t>
            </w:r>
            <w:r>
              <w:rPr>
                <w:rFonts w:hint="eastAsia"/>
                <w:color w:val="000000" w:themeColor="text1"/>
                <w:sz w:val="24"/>
                <w14:textFill>
                  <w14:solidFill>
                    <w14:schemeClr w14:val="tx1"/>
                  </w14:solidFill>
                </w14:textFill>
              </w:rPr>
              <w:t>15</w:t>
            </w:r>
            <w:r>
              <w:rPr>
                <w:color w:val="000000" w:themeColor="text1"/>
                <w:sz w:val="24"/>
                <w14:textFill>
                  <w14:solidFill>
                    <w14:schemeClr w14:val="tx1"/>
                  </w14:solidFill>
                </w14:textFill>
              </w:rPr>
              <w:t>日已取得</w:t>
            </w:r>
            <w:r>
              <w:rPr>
                <w:rFonts w:hint="eastAsia"/>
                <w:color w:val="000000" w:themeColor="text1"/>
                <w:sz w:val="24"/>
                <w14:textFill>
                  <w14:solidFill>
                    <w14:schemeClr w14:val="tx1"/>
                  </w14:solidFill>
                </w14:textFill>
              </w:rPr>
              <w:t>云南寻甸产业</w:t>
            </w:r>
            <w:r>
              <w:rPr>
                <w:color w:val="000000" w:themeColor="text1"/>
                <w:sz w:val="24"/>
                <w14:textFill>
                  <w14:solidFill>
                    <w14:schemeClr w14:val="tx1"/>
                  </w14:solidFill>
                </w14:textFill>
              </w:rPr>
              <w:t>园区管理委员会出具的</w:t>
            </w:r>
            <w:r>
              <w:rPr>
                <w:rFonts w:hint="eastAsia"/>
                <w:color w:val="000000" w:themeColor="text1"/>
                <w:sz w:val="24"/>
                <w14:textFill>
                  <w14:solidFill>
                    <w14:schemeClr w14:val="tx1"/>
                  </w14:solidFill>
                </w14:textFill>
              </w:rPr>
              <w:t>青思生物科技（寻甸）有限责任公司低变质褐煤、磷矿石浮选尾矿综合利用项目</w:t>
            </w:r>
            <w:r>
              <w:rPr>
                <w:color w:val="000000" w:themeColor="text1"/>
                <w:sz w:val="24"/>
                <w14:textFill>
                  <w14:solidFill>
                    <w14:schemeClr w14:val="tx1"/>
                  </w14:solidFill>
                </w14:textFill>
              </w:rPr>
              <w:t>入园申请同意书</w:t>
            </w:r>
            <w:r>
              <w:rPr>
                <w:color w:val="000000" w:themeColor="text1"/>
                <w:sz w:val="24"/>
                <w:lang w:val="zh-CN"/>
                <w14:textFill>
                  <w14:solidFill>
                    <w14:schemeClr w14:val="tx1"/>
                  </w14:solidFill>
                </w14:textFill>
              </w:rPr>
              <w:t>，</w:t>
            </w:r>
            <w:r>
              <w:rPr>
                <w:color w:val="000000" w:themeColor="text1"/>
                <w:sz w:val="24"/>
                <w14:textFill>
                  <w14:solidFill>
                    <w14:schemeClr w14:val="tx1"/>
                  </w14:solidFill>
                </w14:textFill>
              </w:rPr>
              <w:t>同意书中明确“项目符合园区产业发展要求，同意《</w:t>
            </w:r>
            <w:r>
              <w:rPr>
                <w:rFonts w:hint="eastAsia"/>
                <w:color w:val="000000" w:themeColor="text1"/>
                <w:sz w:val="24"/>
                <w14:textFill>
                  <w14:solidFill>
                    <w14:schemeClr w14:val="tx1"/>
                  </w14:solidFill>
                </w14:textFill>
              </w:rPr>
              <w:t>青思生物科技（寻甸）有限责任公司低变质褐煤、磷矿石浮选尾矿综合利用项目</w:t>
            </w:r>
            <w:r>
              <w:rPr>
                <w:color w:val="000000" w:themeColor="text1"/>
                <w:sz w:val="24"/>
                <w14:textFill>
                  <w14:solidFill>
                    <w14:schemeClr w14:val="tx1"/>
                  </w14:solidFill>
                </w14:textFill>
              </w:rPr>
              <w:t>》入驻寻甸产业园区金所片区”。</w:t>
            </w:r>
          </w:p>
          <w:p w14:paraId="52091FCD">
            <w:pPr>
              <w:adjustRightInd w:val="0"/>
              <w:snapToGrid w:val="0"/>
              <w:spacing w:line="360" w:lineRule="auto"/>
              <w:ind w:firstLine="480" w:firstLineChars="200"/>
              <w:rPr>
                <w:color w:val="000000" w:themeColor="text1"/>
                <w:sz w:val="24"/>
                <w:lang w:val="zh-CN"/>
                <w14:textFill>
                  <w14:solidFill>
                    <w14:schemeClr w14:val="tx1"/>
                  </w14:solidFill>
                </w14:textFill>
              </w:rPr>
            </w:pPr>
            <w:bookmarkStart w:id="4" w:name="_Toc31449"/>
            <w:r>
              <w:rPr>
                <w:color w:val="000000" w:themeColor="text1"/>
                <w:sz w:val="24"/>
                <w14:textFill>
                  <w14:solidFill>
                    <w14:schemeClr w14:val="tx1"/>
                  </w14:solidFill>
                </w14:textFill>
              </w:rPr>
              <w:t>综上分析，本项目位于云南寻甸产业园区金所片区金所组团内，</w:t>
            </w:r>
            <w:r>
              <w:rPr>
                <w:color w:val="000000" w:themeColor="text1"/>
                <w:sz w:val="24"/>
                <w:lang w:val="zh-CN"/>
                <w14:textFill>
                  <w14:solidFill>
                    <w14:schemeClr w14:val="tx1"/>
                  </w14:solidFill>
                </w14:textFill>
              </w:rPr>
              <w:t>项目建设</w:t>
            </w:r>
            <w:r>
              <w:rPr>
                <w:color w:val="000000" w:themeColor="text1"/>
                <w:sz w:val="24"/>
                <w14:textFill>
                  <w14:solidFill>
                    <w14:schemeClr w14:val="tx1"/>
                  </w14:solidFill>
                </w14:textFill>
              </w:rPr>
              <w:t>与</w:t>
            </w:r>
            <w:r>
              <w:rPr>
                <w:color w:val="000000" w:themeColor="text1"/>
                <w:sz w:val="24"/>
                <w:lang w:val="zh-CN"/>
                <w14:textFill>
                  <w14:solidFill>
                    <w14:schemeClr w14:val="tx1"/>
                  </w14:solidFill>
                </w14:textFill>
              </w:rPr>
              <w:t>《云南寻甸产业园区总体规划修编（2021-2035）》</w:t>
            </w:r>
            <w:r>
              <w:rPr>
                <w:color w:val="000000" w:themeColor="text1"/>
                <w:sz w:val="24"/>
                <w14:textFill>
                  <w14:solidFill>
                    <w14:schemeClr w14:val="tx1"/>
                  </w14:solidFill>
                </w14:textFill>
              </w:rPr>
              <w:t>不冲突</w:t>
            </w:r>
            <w:r>
              <w:rPr>
                <w:color w:val="000000" w:themeColor="text1"/>
                <w:sz w:val="24"/>
                <w:lang w:val="zh-CN"/>
                <w14:textFill>
                  <w14:solidFill>
                    <w14:schemeClr w14:val="tx1"/>
                  </w14:solidFill>
                </w14:textFill>
              </w:rPr>
              <w:t>。</w:t>
            </w:r>
          </w:p>
          <w:p w14:paraId="31898C60">
            <w:pPr>
              <w:numPr>
                <w:ilvl w:val="0"/>
                <w:numId w:val="1"/>
              </w:numPr>
              <w:adjustRightInd w:val="0"/>
              <w:snapToGrid w:val="0"/>
              <w:spacing w:line="360" w:lineRule="auto"/>
              <w:ind w:firstLine="482" w:firstLineChars="200"/>
              <w:rPr>
                <w:b/>
                <w:color w:val="000000" w:themeColor="text1"/>
                <w:sz w:val="24"/>
                <w14:textFill>
                  <w14:solidFill>
                    <w14:schemeClr w14:val="tx1"/>
                  </w14:solidFill>
                </w14:textFill>
              </w:rPr>
            </w:pPr>
            <w:r>
              <w:rPr>
                <w:b/>
                <w:color w:val="000000" w:themeColor="text1"/>
                <w:sz w:val="24"/>
                <w:lang w:val="zh-CN" w:bidi="ar"/>
                <w14:textFill>
                  <w14:solidFill>
                    <w14:schemeClr w14:val="tx1"/>
                  </w14:solidFill>
                </w14:textFill>
              </w:rPr>
              <w:t>与《云南寻甸产业园区总体规划修编（2021-2035）环境影响报告书》</w:t>
            </w:r>
            <w:r>
              <w:rPr>
                <w:b/>
                <w:color w:val="000000" w:themeColor="text1"/>
                <w:sz w:val="24"/>
                <w:lang w:bidi="ar"/>
                <w14:textFill>
                  <w14:solidFill>
                    <w14:schemeClr w14:val="tx1"/>
                  </w14:solidFill>
                </w14:textFill>
              </w:rPr>
              <w:t>及</w:t>
            </w:r>
            <w:r>
              <w:rPr>
                <w:b/>
                <w:color w:val="000000" w:themeColor="text1"/>
                <w:sz w:val="24"/>
                <w:lang w:val="zh-CN" w:bidi="ar"/>
                <w14:textFill>
                  <w14:solidFill>
                    <w14:schemeClr w14:val="tx1"/>
                  </w14:solidFill>
                </w14:textFill>
              </w:rPr>
              <w:t>审查意见（昆环审[2023]5号）</w:t>
            </w:r>
            <w:r>
              <w:rPr>
                <w:b/>
                <w:color w:val="000000" w:themeColor="text1"/>
                <w:sz w:val="24"/>
                <w:lang w:bidi="ar"/>
                <w14:textFill>
                  <w14:solidFill>
                    <w14:schemeClr w14:val="tx1"/>
                  </w14:solidFill>
                </w14:textFill>
              </w:rPr>
              <w:t>的</w:t>
            </w:r>
            <w:r>
              <w:rPr>
                <w:b/>
                <w:color w:val="000000" w:themeColor="text1"/>
                <w:sz w:val="24"/>
                <w:lang w:val="zh-CN" w:bidi="ar"/>
                <w14:textFill>
                  <w14:solidFill>
                    <w14:schemeClr w14:val="tx1"/>
                  </w14:solidFill>
                </w14:textFill>
              </w:rPr>
              <w:t>符合性分析</w:t>
            </w:r>
            <w:bookmarkEnd w:id="4"/>
          </w:p>
          <w:p w14:paraId="7B9E9C55">
            <w:pPr>
              <w:adjustRightInd w:val="0"/>
              <w:snapToGrid w:val="0"/>
              <w:spacing w:line="360" w:lineRule="auto"/>
              <w:ind w:firstLine="482" w:firstLineChars="200"/>
              <w:rPr>
                <w:b/>
                <w:bCs/>
                <w:color w:val="000000" w:themeColor="text1"/>
                <w:sz w:val="24"/>
                <w14:textFill>
                  <w14:solidFill>
                    <w14:schemeClr w14:val="tx1"/>
                  </w14:solidFill>
                </w14:textFill>
              </w:rPr>
            </w:pPr>
            <w:r>
              <w:rPr>
                <w:b/>
                <w:bCs/>
                <w:color w:val="000000" w:themeColor="text1"/>
                <w:sz w:val="24"/>
                <w:lang w:val="zh-CN"/>
                <w14:textFill>
                  <w14:solidFill>
                    <w14:schemeClr w14:val="tx1"/>
                  </w14:solidFill>
                </w14:textFill>
              </w:rPr>
              <w:t>（</w:t>
            </w:r>
            <w:r>
              <w:rPr>
                <w:b/>
                <w:bCs/>
                <w:color w:val="000000" w:themeColor="text1"/>
                <w:sz w:val="24"/>
                <w14:textFill>
                  <w14:solidFill>
                    <w14:schemeClr w14:val="tx1"/>
                  </w14:solidFill>
                </w14:textFill>
              </w:rPr>
              <w:t>1</w:t>
            </w:r>
            <w:r>
              <w:rPr>
                <w:b/>
                <w:bCs/>
                <w:color w:val="000000" w:themeColor="text1"/>
                <w:sz w:val="24"/>
                <w:lang w:val="zh-CN"/>
                <w14:textFill>
                  <w14:solidFill>
                    <w14:schemeClr w14:val="tx1"/>
                  </w14:solidFill>
                </w14:textFill>
              </w:rPr>
              <w:t>）主要环境影响减缓措施</w:t>
            </w:r>
            <w:r>
              <w:rPr>
                <w:b/>
                <w:bCs/>
                <w:color w:val="000000" w:themeColor="text1"/>
                <w:sz w:val="24"/>
                <w14:textFill>
                  <w14:solidFill>
                    <w14:schemeClr w14:val="tx1"/>
                  </w14:solidFill>
                </w14:textFill>
              </w:rPr>
              <w:t>符合性分析</w:t>
            </w:r>
          </w:p>
          <w:p w14:paraId="5781BEDB">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val="zh-CN"/>
                <w14:textFill>
                  <w14:solidFill>
                    <w14:schemeClr w14:val="tx1"/>
                  </w14:solidFill>
                </w14:textFill>
              </w:rPr>
              <w:t>根据《云南寻甸产业园区总体规划修编（2021-2035）环境影响报告书》及审查意见，</w:t>
            </w:r>
            <w:r>
              <w:rPr>
                <w:color w:val="000000" w:themeColor="text1"/>
                <w:sz w:val="24"/>
                <w14:textFill>
                  <w14:solidFill>
                    <w14:schemeClr w14:val="tx1"/>
                  </w14:solidFill>
                </w14:textFill>
              </w:rPr>
              <w:t>本项目与</w:t>
            </w:r>
            <w:r>
              <w:rPr>
                <w:color w:val="000000" w:themeColor="text1"/>
                <w:sz w:val="24"/>
                <w:lang w:val="zh-CN"/>
                <w14:textFill>
                  <w14:solidFill>
                    <w14:schemeClr w14:val="tx1"/>
                  </w14:solidFill>
                </w14:textFill>
              </w:rPr>
              <w:t>园区的主要环境影响减缓措施</w:t>
            </w:r>
            <w:r>
              <w:rPr>
                <w:color w:val="000000" w:themeColor="text1"/>
                <w:sz w:val="24"/>
                <w14:textFill>
                  <w14:solidFill>
                    <w14:schemeClr w14:val="tx1"/>
                  </w14:solidFill>
                </w14:textFill>
              </w:rPr>
              <w:t>符合性分析</w:t>
            </w:r>
            <w:r>
              <w:rPr>
                <w:color w:val="000000" w:themeColor="text1"/>
                <w:sz w:val="24"/>
                <w:lang w:val="zh-CN"/>
                <w14:textFill>
                  <w14:solidFill>
                    <w14:schemeClr w14:val="tx1"/>
                  </w14:solidFill>
                </w14:textFill>
              </w:rPr>
              <w:t>如下</w:t>
            </w:r>
            <w:r>
              <w:rPr>
                <w:color w:val="000000" w:themeColor="text1"/>
                <w:sz w:val="24"/>
                <w14:textFill>
                  <w14:solidFill>
                    <w14:schemeClr w14:val="tx1"/>
                  </w14:solidFill>
                </w14:textFill>
              </w:rPr>
              <w:t>表所示。</w:t>
            </w:r>
          </w:p>
          <w:p w14:paraId="179CD6C4">
            <w:pPr>
              <w:pStyle w:val="58"/>
              <w:rPr>
                <w:color w:val="000000" w:themeColor="text1"/>
                <w14:textFill>
                  <w14:solidFill>
                    <w14:schemeClr w14:val="tx1"/>
                  </w14:solidFill>
                </w14:textFill>
              </w:rPr>
            </w:pPr>
            <w:r>
              <w:rPr>
                <w:color w:val="000000" w:themeColor="text1"/>
                <w14:textFill>
                  <w14:solidFill>
                    <w14:schemeClr w14:val="tx1"/>
                  </w14:solidFill>
                </w14:textFill>
              </w:rPr>
              <w:t>表1-2  项目与规划环评中环境影响减缓措施相符性对比分析表</w:t>
            </w:r>
          </w:p>
          <w:tbl>
            <w:tblPr>
              <w:tblStyle w:val="25"/>
              <w:tblW w:w="79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3" w:type="dxa"/>
              </w:tblCellMar>
            </w:tblPr>
            <w:tblGrid>
              <w:gridCol w:w="553"/>
              <w:gridCol w:w="4867"/>
              <w:gridCol w:w="1757"/>
              <w:gridCol w:w="794"/>
            </w:tblGrid>
            <w:tr w14:paraId="01AE6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3" w:type="dxa"/>
                </w:tblCellMar>
              </w:tblPrEx>
              <w:trPr>
                <w:trHeight w:val="71" w:hRule="atLeast"/>
                <w:jc w:val="center"/>
              </w:trPr>
              <w:tc>
                <w:tcPr>
                  <w:tcW w:w="346" w:type="pct"/>
                  <w:vAlign w:val="center"/>
                </w:tcPr>
                <w:p w14:paraId="3EC84FAC">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类别</w:t>
                  </w:r>
                </w:p>
              </w:tc>
              <w:tc>
                <w:tcPr>
                  <w:tcW w:w="3052" w:type="pct"/>
                  <w:vAlign w:val="center"/>
                </w:tcPr>
                <w:p w14:paraId="1F2B29BE">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内容要求</w:t>
                  </w:r>
                </w:p>
              </w:tc>
              <w:tc>
                <w:tcPr>
                  <w:tcW w:w="1102" w:type="pct"/>
                  <w:vAlign w:val="center"/>
                </w:tcPr>
                <w:p w14:paraId="0E7778CF">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项目建设内容</w:t>
                  </w:r>
                </w:p>
              </w:tc>
              <w:tc>
                <w:tcPr>
                  <w:tcW w:w="498" w:type="pct"/>
                  <w:vAlign w:val="center"/>
                </w:tcPr>
                <w:p w14:paraId="447A22EA">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符合性</w:t>
                  </w:r>
                </w:p>
              </w:tc>
            </w:tr>
            <w:tr w14:paraId="2D8A7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3" w:type="dxa"/>
                </w:tblCellMar>
              </w:tblPrEx>
              <w:trPr>
                <w:trHeight w:val="390" w:hRule="atLeast"/>
                <w:jc w:val="center"/>
              </w:trPr>
              <w:tc>
                <w:tcPr>
                  <w:tcW w:w="346" w:type="pct"/>
                  <w:vAlign w:val="center"/>
                </w:tcPr>
                <w:p w14:paraId="6CC0796E">
                  <w:pPr>
                    <w:adjustRightInd w:val="0"/>
                    <w:snapToGrid w:val="0"/>
                    <w:jc w:val="center"/>
                    <w:rPr>
                      <w:color w:val="000000" w:themeColor="text1"/>
                      <w:szCs w:val="21"/>
                      <w14:textFill>
                        <w14:solidFill>
                          <w14:schemeClr w14:val="tx1"/>
                        </w14:solidFill>
                      </w14:textFill>
                    </w:rPr>
                  </w:pPr>
                  <w:r>
                    <w:rPr>
                      <w:color w:val="000000" w:themeColor="text1"/>
                      <w:szCs w:val="21"/>
                      <w:lang w:val="zh-CN"/>
                      <w14:textFill>
                        <w14:solidFill>
                          <w14:schemeClr w14:val="tx1"/>
                        </w14:solidFill>
                      </w14:textFill>
                    </w:rPr>
                    <w:t>水</w:t>
                  </w:r>
                  <w:r>
                    <w:rPr>
                      <w:color w:val="000000" w:themeColor="text1"/>
                      <w:szCs w:val="21"/>
                      <w14:textFill>
                        <w14:solidFill>
                          <w14:schemeClr w14:val="tx1"/>
                        </w14:solidFill>
                      </w14:textFill>
                    </w:rPr>
                    <w:t>环境影响</w:t>
                  </w:r>
                  <w:r>
                    <w:rPr>
                      <w:color w:val="000000" w:themeColor="text1"/>
                      <w:szCs w:val="21"/>
                      <w:lang w:val="zh-CN"/>
                      <w14:textFill>
                        <w14:solidFill>
                          <w14:schemeClr w14:val="tx1"/>
                        </w14:solidFill>
                      </w14:textFill>
                    </w:rPr>
                    <w:t>减缓措施</w:t>
                  </w:r>
                </w:p>
              </w:tc>
              <w:tc>
                <w:tcPr>
                  <w:tcW w:w="3052" w:type="pct"/>
                  <w:vAlign w:val="center"/>
                </w:tcPr>
                <w:p w14:paraId="44B8267B">
                  <w:pPr>
                    <w:autoSpaceDE w:val="0"/>
                    <w:autoSpaceDN w:val="0"/>
                    <w:adjustRightInd w:val="0"/>
                    <w:snapToGrid w:val="0"/>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①根据《规划修编》实施对水环境的影响分析，规划建设覆盖规划区范围的“雨污分流”排水体制。各煤、磷、盐化工等企业内部自行收集初期雨水进行处理后回用，园区雨水经过雨水管网收集后汇入附近地表水体；金所组团现状煤磷盐化工企业及废水实现零排放企业按现状处置方式，即由企业处理达标后循环回用或经已建的排污管道排至摩洛河。</w:t>
                  </w:r>
                </w:p>
                <w:p w14:paraId="297D8040">
                  <w:pPr>
                    <w:autoSpaceDE w:val="0"/>
                    <w:autoSpaceDN w:val="0"/>
                    <w:adjustRightInd w:val="0"/>
                    <w:snapToGrid w:val="0"/>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②园区严格按照规划要求，建设污水集中和分散处理设施，提高园区水资源利用率，减少污水排放。各组团后续入驻企业废水严格按照规划排水方案执行；园区内企事业单位等应增加再生水回用接口。企业内部循环利用+园区调配两级保障措施，按</w:t>
                  </w:r>
                  <w:r>
                    <w:rPr>
                      <w:rFonts w:hint="eastAsia"/>
                      <w:color w:val="000000" w:themeColor="text1"/>
                      <w:kern w:val="0"/>
                      <w:szCs w:val="21"/>
                      <w14:textFill>
                        <w14:solidFill>
                          <w14:schemeClr w14:val="tx1"/>
                        </w14:solidFill>
                      </w14:textFill>
                    </w:rPr>
                    <w:t>分期</w:t>
                  </w:r>
                  <w:r>
                    <w:rPr>
                      <w:color w:val="000000" w:themeColor="text1"/>
                      <w:kern w:val="0"/>
                      <w:szCs w:val="21"/>
                      <w14:textFill>
                        <w14:solidFill>
                          <w14:schemeClr w14:val="tx1"/>
                        </w14:solidFill>
                      </w14:textFill>
                    </w:rPr>
                    <w:t>发展要求分别建设污水处理回用系统，污水处理回用系统采取分质处理分级回用方式，回用于各类城市杂用水和工业补水等；</w:t>
                  </w:r>
                </w:p>
                <w:p w14:paraId="7FF401C4">
                  <w:pPr>
                    <w:adjustRightInd w:val="0"/>
                    <w:snapToGrid w:val="0"/>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③严格各污水处理设施的管理、监测工作，确保污水处理设施外排污水长期稳定达标。新建、迁建项目应采用先进的生产工艺和污染防治技术，其清洁生产水平应达到国内先进水平以上；实行严格的清洁生产审计，全过程降低对水的消耗和污染；工业企业应严格控制用水量，加大工业用水的重复利用率，发展节水型工业。</w:t>
                  </w:r>
                </w:p>
              </w:tc>
              <w:tc>
                <w:tcPr>
                  <w:tcW w:w="1102" w:type="pct"/>
                  <w:vAlign w:val="center"/>
                </w:tcPr>
                <w:p w14:paraId="04E6DAD6">
                  <w:pPr>
                    <w:adjustRightInd w:val="0"/>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w:t>
                  </w:r>
                  <w:r>
                    <w:rPr>
                      <w:rFonts w:hint="eastAsia"/>
                      <w:color w:val="000000" w:themeColor="text1"/>
                      <w:szCs w:val="21"/>
                      <w14:textFill>
                        <w14:solidFill>
                          <w14:schemeClr w14:val="tx1"/>
                        </w14:solidFill>
                      </w14:textFill>
                    </w:rPr>
                    <w:t>生产过程中产生的渗滤液回用不外排</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员工不在项目区食宿，办公生活和如厕依托云南建工云岭水泥有限公司已建的设施，生活污水依托已建的污水处理设施进行处理。项目生产中用水量、用电量较少，无锅炉使用，生产废水收集后回用于生产，不外排，符合清洁生产要求。</w:t>
                  </w:r>
                </w:p>
              </w:tc>
              <w:tc>
                <w:tcPr>
                  <w:tcW w:w="498" w:type="pct"/>
                  <w:vAlign w:val="center"/>
                </w:tcPr>
                <w:p w14:paraId="34BA2C3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2CA3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3" w:type="dxa"/>
                </w:tblCellMar>
              </w:tblPrEx>
              <w:trPr>
                <w:trHeight w:val="390" w:hRule="atLeast"/>
                <w:jc w:val="center"/>
              </w:trPr>
              <w:tc>
                <w:tcPr>
                  <w:tcW w:w="346" w:type="pct"/>
                  <w:vAlign w:val="center"/>
                </w:tcPr>
                <w:p w14:paraId="651C9615">
                  <w:pPr>
                    <w:adjustRightInd w:val="0"/>
                    <w:snapToGrid w:val="0"/>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大气</w:t>
                  </w:r>
                  <w:r>
                    <w:rPr>
                      <w:color w:val="000000" w:themeColor="text1"/>
                      <w:szCs w:val="21"/>
                      <w14:textFill>
                        <w14:solidFill>
                          <w14:schemeClr w14:val="tx1"/>
                        </w14:solidFill>
                      </w14:textFill>
                    </w:rPr>
                    <w:t>环境影响</w:t>
                  </w:r>
                  <w:r>
                    <w:rPr>
                      <w:color w:val="000000" w:themeColor="text1"/>
                      <w:szCs w:val="21"/>
                      <w:lang w:val="zh-CN"/>
                      <w14:textFill>
                        <w14:solidFill>
                          <w14:schemeClr w14:val="tx1"/>
                        </w14:solidFill>
                      </w14:textFill>
                    </w:rPr>
                    <w:t>减缓措施</w:t>
                  </w:r>
                </w:p>
              </w:tc>
              <w:tc>
                <w:tcPr>
                  <w:tcW w:w="3052" w:type="pct"/>
                  <w:vAlign w:val="center"/>
                </w:tcPr>
                <w:p w14:paraId="26A3C2BA">
                  <w:pPr>
                    <w:autoSpaceDE w:val="0"/>
                    <w:autoSpaceDN w:val="0"/>
                    <w:adjustRightInd w:val="0"/>
                    <w:snapToGrid w:val="0"/>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①按规划及其他相关</w:t>
                  </w:r>
                  <w:r>
                    <w:rPr>
                      <w:rFonts w:hint="eastAsia"/>
                      <w:color w:val="000000" w:themeColor="text1"/>
                      <w:kern w:val="0"/>
                      <w:szCs w:val="21"/>
                      <w14:textFill>
                        <w14:solidFill>
                          <w14:schemeClr w14:val="tx1"/>
                        </w14:solidFill>
                      </w14:textFill>
                    </w:rPr>
                    <w:t>要求</w:t>
                  </w:r>
                  <w:r>
                    <w:rPr>
                      <w:color w:val="000000" w:themeColor="text1"/>
                      <w:kern w:val="0"/>
                      <w:szCs w:val="21"/>
                      <w14:textFill>
                        <w14:solidFill>
                          <w14:schemeClr w14:val="tx1"/>
                        </w14:solidFill>
                      </w14:textFill>
                    </w:rPr>
                    <w:t>规划区工业及民用均使用清洁能源。对严重污染大气环境的工艺、设备和产品实行淘汰制度；</w:t>
                  </w:r>
                </w:p>
                <w:p w14:paraId="4135C55C">
                  <w:pPr>
                    <w:autoSpaceDE w:val="0"/>
                    <w:autoSpaceDN w:val="0"/>
                    <w:adjustRightInd w:val="0"/>
                    <w:snapToGrid w:val="0"/>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②入驻的有大气污染源排放的项目环境影响评价文件中应将大气环境影响评价作为重点之一，深入分析项目入驻对区域大气环境的影响，明确环境空气污染防治措施并严格落实，要求作出明确的环境是否可行的结论；</w:t>
                  </w:r>
                </w:p>
                <w:p w14:paraId="27F10324">
                  <w:pPr>
                    <w:autoSpaceDE w:val="0"/>
                    <w:autoSpaceDN w:val="0"/>
                    <w:adjustRightInd w:val="0"/>
                    <w:snapToGrid w:val="0"/>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③推行清洁能源，建议考虑集中供热，实施循环经济，并对大气污染物实行总量控制；入驻企业必须采取新工艺、新技术，提高综合利用，禁止高耗能、重污染的企业入驻，要求规划区企业采用清洁生产工艺，加强源头治理，控制或者逐步削减大气污染物的排放量，严格控制废气污染物的排放，杜绝超标排放，推行清洁生产，减小能耗；</w:t>
                  </w:r>
                </w:p>
                <w:p w14:paraId="7D7078E4">
                  <w:pPr>
                    <w:jc w:val="left"/>
                    <w:rPr>
                      <w:color w:val="000000" w:themeColor="text1"/>
                      <w:szCs w:val="21"/>
                      <w:lang w:val="zh-CN"/>
                      <w14:textFill>
                        <w14:solidFill>
                          <w14:schemeClr w14:val="tx1"/>
                        </w14:solidFill>
                      </w14:textFill>
                    </w:rPr>
                  </w:pPr>
                  <w:r>
                    <w:rPr>
                      <w:color w:val="000000" w:themeColor="text1"/>
                      <w:kern w:val="0"/>
                      <w:szCs w:val="21"/>
                      <w14:textFill>
                        <w14:solidFill>
                          <w14:schemeClr w14:val="tx1"/>
                        </w14:solidFill>
                      </w14:textFill>
                    </w:rPr>
                    <w:t>④规划区企业事业单位和其他生产经营者应当按照国家有关规定和监测规范，对其排放的工业废气和有毒有害大气污染物进行监测。其中，重点排污单位应当安装、使用大气污染物排放自动监测设备，与环境保护主管部门的监控设备联网，保证监测设备正常运行并依法公开排放信息。</w:t>
                  </w:r>
                </w:p>
              </w:tc>
              <w:tc>
                <w:tcPr>
                  <w:tcW w:w="1102" w:type="pct"/>
                  <w:vAlign w:val="center"/>
                </w:tcPr>
                <w:p w14:paraId="0C2031CC">
                  <w:pPr>
                    <w:adjustRightInd w:val="0"/>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w:t>
                  </w:r>
                  <w:r>
                    <w:rPr>
                      <w:rFonts w:hint="eastAsia"/>
                      <w:color w:val="000000" w:themeColor="text1"/>
                      <w:szCs w:val="21"/>
                      <w14:textFill>
                        <w14:solidFill>
                          <w14:schemeClr w14:val="tx1"/>
                        </w14:solidFill>
                      </w14:textFill>
                    </w:rPr>
                    <w:t>为</w:t>
                  </w:r>
                  <w:r>
                    <w:rPr>
                      <w:rFonts w:hint="eastAsia"/>
                      <w:bCs/>
                      <w:color w:val="000000" w:themeColor="text1"/>
                      <w14:textFill>
                        <w14:solidFill>
                          <w14:schemeClr w14:val="tx1"/>
                        </w14:solidFill>
                      </w14:textFill>
                    </w:rPr>
                    <w:t>肥料制造项目</w:t>
                  </w:r>
                  <w:r>
                    <w:rPr>
                      <w:rFonts w:hint="eastAsia"/>
                      <w:color w:val="000000" w:themeColor="text1"/>
                      <w:szCs w:val="21"/>
                      <w14:textFill>
                        <w14:solidFill>
                          <w14:schemeClr w14:val="tx1"/>
                        </w14:solidFill>
                      </w14:textFill>
                    </w:rPr>
                    <w:t>，生产过程中通过严格控制原料的含水率减少粉尘的产生，并设置雾炮机，所有生产工序均位于密闭的车间内，少量粉尘经雾炮机洒水降尘和车间阻隔后无组织排放；发酵过程中产生的异味通过厂房密闭+喷洒生物除臭剂进行控制。</w:t>
                  </w:r>
                  <w:r>
                    <w:rPr>
                      <w:color w:val="000000" w:themeColor="text1"/>
                      <w:szCs w:val="21"/>
                      <w14:textFill>
                        <w14:solidFill>
                          <w14:schemeClr w14:val="tx1"/>
                        </w14:solidFill>
                      </w14:textFill>
                    </w:rPr>
                    <w:t>废气均经过有效的治理措施处理后</w:t>
                  </w:r>
                  <w:r>
                    <w:rPr>
                      <w:rFonts w:hint="eastAsia"/>
                      <w:color w:val="000000" w:themeColor="text1"/>
                      <w:szCs w:val="21"/>
                      <w14:textFill>
                        <w14:solidFill>
                          <w14:schemeClr w14:val="tx1"/>
                        </w14:solidFill>
                      </w14:textFill>
                    </w:rPr>
                    <w:t>对周围环境影响不大。</w:t>
                  </w:r>
                </w:p>
              </w:tc>
              <w:tc>
                <w:tcPr>
                  <w:tcW w:w="498" w:type="pct"/>
                  <w:vAlign w:val="center"/>
                </w:tcPr>
                <w:p w14:paraId="0508D705">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14CD8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3" w:type="dxa"/>
                </w:tblCellMar>
              </w:tblPrEx>
              <w:trPr>
                <w:trHeight w:val="547" w:hRule="atLeast"/>
                <w:jc w:val="center"/>
              </w:trPr>
              <w:tc>
                <w:tcPr>
                  <w:tcW w:w="346" w:type="pct"/>
                  <w:vAlign w:val="center"/>
                </w:tcPr>
                <w:p w14:paraId="0C41A54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地下水环境影响</w:t>
                  </w:r>
                  <w:r>
                    <w:rPr>
                      <w:color w:val="000000" w:themeColor="text1"/>
                      <w:szCs w:val="21"/>
                      <w:lang w:val="zh-CN"/>
                      <w14:textFill>
                        <w14:solidFill>
                          <w14:schemeClr w14:val="tx1"/>
                        </w14:solidFill>
                      </w14:textFill>
                    </w:rPr>
                    <w:t>减缓措施</w:t>
                  </w:r>
                </w:p>
              </w:tc>
              <w:tc>
                <w:tcPr>
                  <w:tcW w:w="3052" w:type="pct"/>
                  <w:vAlign w:val="center"/>
                </w:tcPr>
                <w:p w14:paraId="0F00DF68">
                  <w:pPr>
                    <w:autoSpaceDE w:val="0"/>
                    <w:autoSpaceDN w:val="0"/>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园区重点危险废水暂存区参照执行《危险废物贮存污染控制标准》(GB18597-2023) 、危险化学品、油库等储罐区域参照执行《石油化工企业防渗技术规范》 (GB/T50934-2013) 等相关要求进行分析。没有国家标准或行业防渗技术规范的企业，参照执行《环境影响评价技术导则 地下水》 (HJ6102016) 中各防渗区要求。工业固废堆存按照《一般工业固体废物贮存、处置污染控制标准》 (18599-2001) 要求选址及防渗设计。</w:t>
                  </w:r>
                </w:p>
                <w:p w14:paraId="78227720">
                  <w:pPr>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①杜绝高污染，高排水和淘汰落后工艺性质企业入园</w:t>
                  </w:r>
                </w:p>
                <w:p w14:paraId="66922913">
                  <w:pPr>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②严禁入驻企业抽取地下水作为生产、生活用水。</w:t>
                  </w:r>
                </w:p>
                <w:p w14:paraId="739B5A93">
                  <w:pPr>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③规范各入驻企业废水处理设施、生产车间产污工段的地面应为硬化防渗地面，厂内污水沟应有相应防渗措施。</w:t>
                  </w:r>
                </w:p>
                <w:p w14:paraId="6B0D0B12">
                  <w:pPr>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④生活垃圾临时堆存点和厂内固废临时堆存点，必须具有防风、防雨、防渗措施，严禁露天乱堆放。堆存点应做到上有雨棚、底有混凝土层防渗，周边至少有1.5~2m高的挡墙和环形截雨沟。</w:t>
                  </w:r>
                </w:p>
                <w:p w14:paraId="064E5601">
                  <w:pPr>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⑤浸出毒性是I类一般工业固废和危险固废则需严格按国家有关规定、规范处理处置，杜绝乱堆放或混堆现象。</w:t>
                  </w:r>
                </w:p>
                <w:p w14:paraId="5535ABB0">
                  <w:pPr>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⑥严禁入园企业向地下渗坑、岩溶洼地排水、落水洞排污。严禁入驻企业在园区内新建永久性固废处置场，危险废物委托有资质单位进行清运处置。</w:t>
                  </w:r>
                </w:p>
                <w:p w14:paraId="7385DCBD">
                  <w:pPr>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⑦杜绝各企业生产废水、生活污水及废油、废酸、固体废弃物任意乱排放进入岩溶(洼地、落水洞)环境或农田、水体中，保护地下水环境免受污染。</w:t>
                  </w:r>
                </w:p>
                <w:p w14:paraId="68E620CB">
                  <w:pPr>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⑧工程建设前应进行厂区岩土工程地质详细勘察和进一步的详细水文地质勘察，查明厂区所在处及其附近的断裂构造详情、地下水位埋深及水位动态变化等情况，取得更加详细的工程地质及水文地质资料，为工程设计提供资料。</w:t>
                  </w:r>
                </w:p>
                <w:p w14:paraId="4CBEB325">
                  <w:pPr>
                    <w:jc w:val="left"/>
                    <w:rPr>
                      <w:color w:val="000000" w:themeColor="text1"/>
                      <w:szCs w:val="21"/>
                      <w:lang w:val="zh-CN"/>
                      <w14:textFill>
                        <w14:solidFill>
                          <w14:schemeClr w14:val="tx1"/>
                        </w14:solidFill>
                      </w14:textFill>
                    </w:rPr>
                  </w:pPr>
                  <w:r>
                    <w:rPr>
                      <w:color w:val="000000" w:themeColor="text1"/>
                      <w:kern w:val="0"/>
                      <w:szCs w:val="21"/>
                      <w14:textFill>
                        <w14:solidFill>
                          <w14:schemeClr w14:val="tx1"/>
                        </w14:solidFill>
                      </w14:textFill>
                    </w:rPr>
                    <w:t>⑨企业场地、各生产车间及原料、废渣临时堆放场地、污水处理设施等区域按照国家标准或行业防渗技术规范、《环境影响评价技术导则 地下水环境》(HJ610-2016)中的防渗要求进行防渗设计，固废处置应符合相关法规和技术规范要求，渗滤液不得任意外排，避免渗滤液下渗污染地下水环境。</w:t>
                  </w:r>
                </w:p>
              </w:tc>
              <w:tc>
                <w:tcPr>
                  <w:tcW w:w="1102" w:type="pct"/>
                  <w:vAlign w:val="center"/>
                </w:tcPr>
                <w:p w14:paraId="07A8EBEB">
                  <w:pPr>
                    <w:widowControl/>
                    <w:jc w:val="center"/>
                    <w:rPr>
                      <w:b/>
                      <w:bCs/>
                      <w:color w:val="000000" w:themeColor="text1"/>
                      <w14:textFill>
                        <w14:solidFill>
                          <w14:schemeClr w14:val="tx1"/>
                        </w14:solidFill>
                      </w14:textFill>
                    </w:rPr>
                  </w:pPr>
                  <w:r>
                    <w:rPr>
                      <w:color w:val="000000" w:themeColor="text1"/>
                      <w:szCs w:val="21"/>
                      <w14:textFill>
                        <w14:solidFill>
                          <w14:schemeClr w14:val="tx1"/>
                        </w14:solidFill>
                      </w14:textFill>
                    </w:rPr>
                    <w:t>本项目区内进行分区防渗，①重点防渗：</w:t>
                  </w:r>
                  <w:r>
                    <w:rPr>
                      <w:rFonts w:hint="eastAsia"/>
                      <w:color w:val="000000" w:themeColor="text1"/>
                      <w:szCs w:val="21"/>
                      <w:lang w:val="zh-CN"/>
                      <w14:textFill>
                        <w14:solidFill>
                          <w14:schemeClr w14:val="tx1"/>
                        </w14:solidFill>
                      </w14:textFill>
                    </w:rPr>
                    <w:t>危废暂存库</w:t>
                  </w:r>
                  <w:r>
                    <w:rPr>
                      <w:color w:val="000000" w:themeColor="text1"/>
                      <w:szCs w:val="21"/>
                      <w:lang w:val="zh-CN"/>
                      <w14:textFill>
                        <w14:solidFill>
                          <w14:schemeClr w14:val="tx1"/>
                        </w14:solidFill>
                      </w14:textFill>
                    </w:rPr>
                    <w:t>地面及</w:t>
                  </w:r>
                  <w:r>
                    <w:rPr>
                      <w:color w:val="000000" w:themeColor="text1"/>
                      <w:szCs w:val="21"/>
                      <w14:textFill>
                        <w14:solidFill>
                          <w14:schemeClr w14:val="tx1"/>
                        </w14:solidFill>
                      </w14:textFill>
                    </w:rPr>
                    <w:t>四周墙裙脚</w:t>
                  </w:r>
                  <w:r>
                    <w:rPr>
                      <w:color w:val="000000" w:themeColor="text1"/>
                      <w:szCs w:val="21"/>
                      <w:lang w:val="zh-CN"/>
                      <w14:textFill>
                        <w14:solidFill>
                          <w14:schemeClr w14:val="tx1"/>
                        </w14:solidFill>
                      </w14:textFill>
                    </w:rPr>
                    <w:t>采用“</w:t>
                  </w:r>
                  <w:r>
                    <w:rPr>
                      <w:color w:val="000000" w:themeColor="text1"/>
                      <w:szCs w:val="21"/>
                      <w14:textFill>
                        <w14:solidFill>
                          <w14:schemeClr w14:val="tx1"/>
                        </w14:solidFill>
                      </w14:textFill>
                    </w:rPr>
                    <w:t>抗渗混凝土</w:t>
                  </w:r>
                  <w:r>
                    <w:rPr>
                      <w:color w:val="000000" w:themeColor="text1"/>
                      <w:szCs w:val="21"/>
                      <w:lang w:val="zh-CN"/>
                      <w14:textFill>
                        <w14:solidFill>
                          <w14:schemeClr w14:val="tx1"/>
                        </w14:solidFill>
                      </w14:textFill>
                    </w:rPr>
                    <w:t>+2mm厚HDPE+环氧树脂”</w:t>
                  </w:r>
                  <w:r>
                    <w:rPr>
                      <w:color w:val="000000" w:themeColor="text1"/>
                      <w:szCs w:val="21"/>
                      <w14:textFill>
                        <w14:solidFill>
                          <w14:schemeClr w14:val="tx1"/>
                        </w14:solidFill>
                      </w14:textFill>
                    </w:rPr>
                    <w:t>进行重点防渗处理</w:t>
                  </w:r>
                  <w:r>
                    <w:rPr>
                      <w:color w:val="000000" w:themeColor="text1"/>
                      <w:szCs w:val="21"/>
                      <w:lang w:val="zh-CN"/>
                      <w14:textFill>
                        <w14:solidFill>
                          <w14:schemeClr w14:val="tx1"/>
                        </w14:solidFill>
                      </w14:textFill>
                    </w:rPr>
                    <w:t>，渗透系数≤10</w:t>
                  </w:r>
                  <w:r>
                    <w:rPr>
                      <w:color w:val="000000" w:themeColor="text1"/>
                      <w:szCs w:val="21"/>
                      <w:vertAlign w:val="superscript"/>
                      <w:lang w:val="zh-CN"/>
                      <w14:textFill>
                        <w14:solidFill>
                          <w14:schemeClr w14:val="tx1"/>
                        </w14:solidFill>
                      </w14:textFill>
                    </w:rPr>
                    <w:t>-10</w:t>
                  </w:r>
                  <w:r>
                    <w:rPr>
                      <w:color w:val="000000" w:themeColor="text1"/>
                      <w:szCs w:val="21"/>
                      <w:lang w:val="zh-CN"/>
                      <w14:textFill>
                        <w14:solidFill>
                          <w14:schemeClr w14:val="tx1"/>
                        </w14:solidFill>
                      </w14:textFill>
                    </w:rPr>
                    <w:t>cm/s</w:t>
                  </w:r>
                  <w:r>
                    <w:rPr>
                      <w:color w:val="000000" w:themeColor="text1"/>
                      <w:szCs w:val="21"/>
                      <w14:textFill>
                        <w14:solidFill>
                          <w14:schemeClr w14:val="tx1"/>
                        </w14:solidFill>
                      </w14:textFill>
                    </w:rPr>
                    <w:t>，并按照要求设置规范的标识、标牌；</w:t>
                  </w:r>
                </w:p>
                <w:p w14:paraId="7A7BE54D">
                  <w:pPr>
                    <w:widowControl/>
                    <w:jc w:val="center"/>
                    <w:rPr>
                      <w:b/>
                      <w:bCs/>
                      <w:color w:val="000000" w:themeColor="text1"/>
                      <w14:textFill>
                        <w14:solidFill>
                          <w14:schemeClr w14:val="tx1"/>
                        </w14:solidFill>
                      </w14:textFill>
                    </w:rPr>
                  </w:pPr>
                  <w:r>
                    <w:rPr>
                      <w:color w:val="000000" w:themeColor="text1"/>
                      <w:szCs w:val="21"/>
                      <w14:textFill>
                        <w14:solidFill>
                          <w14:schemeClr w14:val="tx1"/>
                        </w14:solidFill>
                      </w14:textFill>
                    </w:rPr>
                    <w:t>②一般防渗区：</w:t>
                  </w:r>
                  <w:r>
                    <w:rPr>
                      <w:rStyle w:val="77"/>
                      <w:rFonts w:hint="eastAsia"/>
                      <w:color w:val="000000" w:themeColor="text1"/>
                      <w14:textFill>
                        <w14:solidFill>
                          <w14:schemeClr w14:val="tx1"/>
                        </w14:solidFill>
                      </w14:textFill>
                    </w:rPr>
                    <w:t>原料库、一般固废暂存库、渗滤液收集池、初期雨水收集池、发酵区</w:t>
                  </w:r>
                  <w:r>
                    <w:rPr>
                      <w:rStyle w:val="77"/>
                      <w:color w:val="000000" w:themeColor="text1"/>
                      <w14:textFill>
                        <w14:solidFill>
                          <w14:schemeClr w14:val="tx1"/>
                        </w14:solidFill>
                      </w14:textFill>
                    </w:rPr>
                    <w:t>防渗技术要求达到等效黏土防渗层Mb≥1.5m，渗透系数≤10</w:t>
                  </w:r>
                  <w:r>
                    <w:rPr>
                      <w:rStyle w:val="77"/>
                      <w:color w:val="000000" w:themeColor="text1"/>
                      <w:vertAlign w:val="superscript"/>
                      <w14:textFill>
                        <w14:solidFill>
                          <w14:schemeClr w14:val="tx1"/>
                        </w14:solidFill>
                      </w14:textFill>
                    </w:rPr>
                    <w:t>-7</w:t>
                  </w:r>
                  <w:r>
                    <w:rPr>
                      <w:rStyle w:val="77"/>
                      <w:color w:val="000000" w:themeColor="text1"/>
                      <w14:textFill>
                        <w14:solidFill>
                          <w14:schemeClr w14:val="tx1"/>
                        </w14:solidFill>
                      </w14:textFill>
                    </w:rPr>
                    <w:t>cm/s</w:t>
                  </w:r>
                  <w:r>
                    <w:rPr>
                      <w:rStyle w:val="77"/>
                      <w:rFonts w:hint="eastAsia"/>
                      <w:color w:val="000000" w:themeColor="text1"/>
                      <w14:textFill>
                        <w14:solidFill>
                          <w14:schemeClr w14:val="tx1"/>
                        </w14:solidFill>
                      </w14:textFill>
                    </w:rPr>
                    <w:t>；</w:t>
                  </w:r>
                </w:p>
                <w:p w14:paraId="29FAA95B">
                  <w:pPr>
                    <w:adjustRightInd w:val="0"/>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③简单防渗区：</w:t>
                  </w:r>
                  <w:r>
                    <w:rPr>
                      <w:color w:val="000000" w:themeColor="text1"/>
                      <w:szCs w:val="21"/>
                      <w:lang w:val="zh-CN"/>
                      <w14:textFill>
                        <w14:solidFill>
                          <w14:schemeClr w14:val="tx1"/>
                        </w14:solidFill>
                      </w14:textFill>
                    </w:rPr>
                    <w:t>除重点防渗区、一般防渗区外的其他区域，进行一般</w:t>
                  </w:r>
                  <w:r>
                    <w:rPr>
                      <w:color w:val="000000" w:themeColor="text1"/>
                      <w:szCs w:val="21"/>
                      <w14:textFill>
                        <w14:solidFill>
                          <w14:schemeClr w14:val="tx1"/>
                        </w14:solidFill>
                      </w14:textFill>
                    </w:rPr>
                    <w:t>硬化处理。本项目不属于高污染、高排水及淘汰落后的生产工艺，用水为市政管网供水。</w:t>
                  </w:r>
                </w:p>
              </w:tc>
              <w:tc>
                <w:tcPr>
                  <w:tcW w:w="498" w:type="pct"/>
                  <w:vAlign w:val="center"/>
                </w:tcPr>
                <w:p w14:paraId="66DE897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5BBEE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3" w:type="dxa"/>
                </w:tblCellMar>
              </w:tblPrEx>
              <w:trPr>
                <w:trHeight w:val="390" w:hRule="atLeast"/>
                <w:jc w:val="center"/>
              </w:trPr>
              <w:tc>
                <w:tcPr>
                  <w:tcW w:w="346" w:type="pct"/>
                  <w:vAlign w:val="center"/>
                </w:tcPr>
                <w:p w14:paraId="7004E7A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土壤环境影响</w:t>
                  </w:r>
                  <w:r>
                    <w:rPr>
                      <w:color w:val="000000" w:themeColor="text1"/>
                      <w:szCs w:val="21"/>
                      <w:lang w:val="zh-CN"/>
                      <w14:textFill>
                        <w14:solidFill>
                          <w14:schemeClr w14:val="tx1"/>
                        </w14:solidFill>
                      </w14:textFill>
                    </w:rPr>
                    <w:t>减缓措施</w:t>
                  </w:r>
                </w:p>
              </w:tc>
              <w:tc>
                <w:tcPr>
                  <w:tcW w:w="3052" w:type="pct"/>
                  <w:vAlign w:val="center"/>
                </w:tcPr>
                <w:p w14:paraId="690A97FF">
                  <w:pPr>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①源头控制措施：选用合格的生产原料，从源头上控制污染物的产生。</w:t>
                  </w:r>
                </w:p>
                <w:p w14:paraId="0A0D09E4">
                  <w:pPr>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②末端控制措施：废气经处理后外排，减少废气中的污染物排放。</w:t>
                  </w:r>
                </w:p>
                <w:p w14:paraId="1AE4D6A1">
                  <w:pPr>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③污染监控体系：实施覆盖生产区的土壤污染监控系统，及时发现污染、及时控制。</w:t>
                  </w:r>
                </w:p>
                <w:p w14:paraId="13E0FC7F">
                  <w:pPr>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④应急响应措施：一旦发现污染事故，立即启动应急预案、采取应急措施控制土壤，并使污染</w:t>
                  </w:r>
                  <w:r>
                    <w:rPr>
                      <w:rFonts w:hint="eastAsia"/>
                      <w:color w:val="000000" w:themeColor="text1"/>
                      <w:kern w:val="0"/>
                      <w:szCs w:val="21"/>
                      <w14:textFill>
                        <w14:solidFill>
                          <w14:schemeClr w14:val="tx1"/>
                        </w14:solidFill>
                      </w14:textFill>
                    </w:rPr>
                    <w:t>得</w:t>
                  </w:r>
                  <w:r>
                    <w:rPr>
                      <w:color w:val="000000" w:themeColor="text1"/>
                      <w:kern w:val="0"/>
                      <w:szCs w:val="21"/>
                      <w14:textFill>
                        <w14:solidFill>
                          <w14:schemeClr w14:val="tx1"/>
                        </w14:solidFill>
                      </w14:textFill>
                    </w:rPr>
                    <w:t>到治理。</w:t>
                  </w:r>
                </w:p>
                <w:p w14:paraId="67C759C3">
                  <w:pPr>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⑤绿化措施：合理利用项目区的空余空间，加强项目区的绿化。</w:t>
                  </w:r>
                </w:p>
                <w:p w14:paraId="749070D8">
                  <w:pPr>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⑥加强对厂区周围土壤环境的定期监测，建立土壤环境质量动态监测系统，及时反馈污染控制信息。</w:t>
                  </w:r>
                </w:p>
                <w:p w14:paraId="304581D5">
                  <w:pPr>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⑦严格固体废物运输管理，避免在运输过程中的散落。一旦发生散落事件，及时清理收集，防止进入农田。</w:t>
                  </w:r>
                </w:p>
              </w:tc>
              <w:tc>
                <w:tcPr>
                  <w:tcW w:w="1102" w:type="pct"/>
                  <w:vAlign w:val="center"/>
                </w:tcPr>
                <w:p w14:paraId="1F48ACB1">
                  <w:pPr>
                    <w:pStyle w:val="74"/>
                    <w:rPr>
                      <w:color w:val="000000" w:themeColor="text1"/>
                      <w14:textFill>
                        <w14:solidFill>
                          <w14:schemeClr w14:val="tx1"/>
                        </w14:solidFill>
                      </w14:textFill>
                    </w:rPr>
                  </w:pPr>
                  <w:r>
                    <w:rPr>
                      <w:b w:val="0"/>
                      <w:bCs/>
                      <w:color w:val="000000" w:themeColor="text1"/>
                      <w14:textFill>
                        <w14:solidFill>
                          <w14:schemeClr w14:val="tx1"/>
                        </w14:solidFill>
                      </w14:textFill>
                    </w:rPr>
                    <w:t>本项目为</w:t>
                  </w:r>
                  <w:r>
                    <w:rPr>
                      <w:rFonts w:hint="eastAsia"/>
                      <w:b w:val="0"/>
                      <w:bCs/>
                      <w:color w:val="000000" w:themeColor="text1"/>
                      <w14:textFill>
                        <w14:solidFill>
                          <w14:schemeClr w14:val="tx1"/>
                        </w14:solidFill>
                      </w14:textFill>
                    </w:rPr>
                    <w:t>肥料制造项目</w:t>
                  </w:r>
                  <w:r>
                    <w:rPr>
                      <w:b w:val="0"/>
                      <w:bCs/>
                      <w:color w:val="000000" w:themeColor="text1"/>
                      <w14:textFill>
                        <w14:solidFill>
                          <w14:schemeClr w14:val="tx1"/>
                        </w14:solidFill>
                      </w14:textFill>
                    </w:rPr>
                    <w:t>，生产过程中通过严格控制原料的含水率减少粉尘的产生，并设置雾炮机，所有生产工序均位于密闭的车间内，少量粉尘经雾炮机洒水降尘和车间阻隔后无组织排放；发酵过程中产生的异味通过喷洒生物除臭剂进行控制。</w:t>
                  </w:r>
                  <w:r>
                    <w:rPr>
                      <w:rFonts w:hint="eastAsia"/>
                      <w:b w:val="0"/>
                      <w:bCs/>
                      <w:color w:val="000000" w:themeColor="text1"/>
                      <w14:textFill>
                        <w14:solidFill>
                          <w14:schemeClr w14:val="tx1"/>
                        </w14:solidFill>
                      </w14:textFill>
                    </w:rPr>
                    <w:t>采取分区防渗的措施可避免对土壤的污染。</w:t>
                  </w:r>
                </w:p>
              </w:tc>
              <w:tc>
                <w:tcPr>
                  <w:tcW w:w="498" w:type="pct"/>
                  <w:vAlign w:val="center"/>
                </w:tcPr>
                <w:p w14:paraId="733E7E92">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372BE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3" w:type="dxa"/>
                </w:tblCellMar>
              </w:tblPrEx>
              <w:trPr>
                <w:trHeight w:val="390" w:hRule="atLeast"/>
                <w:jc w:val="center"/>
              </w:trPr>
              <w:tc>
                <w:tcPr>
                  <w:tcW w:w="346" w:type="pct"/>
                  <w:vAlign w:val="center"/>
                </w:tcPr>
                <w:p w14:paraId="2108EE9A">
                  <w:pPr>
                    <w:adjustRightInd w:val="0"/>
                    <w:snapToGrid w:val="0"/>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噪声影响减缓措施</w:t>
                  </w:r>
                </w:p>
              </w:tc>
              <w:tc>
                <w:tcPr>
                  <w:tcW w:w="3052" w:type="pct"/>
                  <w:vAlign w:val="center"/>
                </w:tcPr>
                <w:p w14:paraId="3AEDC7B6">
                  <w:pPr>
                    <w:autoSpaceDE w:val="0"/>
                    <w:autoSpaceDN w:val="0"/>
                    <w:adjustRightInd w:val="0"/>
                    <w:snapToGrid w:val="0"/>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①根据规划实施后对声环境的影响分析，本评价提出规划区应合理布局各企业位置，要将工业用地、公共设施用地等噪声污染较高的用地与住宅等需要安静的用地分隔开来，居住区应</w:t>
                  </w:r>
                  <w:r>
                    <w:rPr>
                      <w:rFonts w:hint="eastAsia"/>
                      <w:color w:val="000000" w:themeColor="text1"/>
                      <w:kern w:val="0"/>
                      <w:szCs w:val="21"/>
                      <w14:textFill>
                        <w14:solidFill>
                          <w14:schemeClr w14:val="tx1"/>
                        </w14:solidFill>
                      </w14:textFill>
                    </w:rPr>
                    <w:t>尽量</w:t>
                  </w:r>
                  <w:r>
                    <w:rPr>
                      <w:color w:val="000000" w:themeColor="text1"/>
                      <w:kern w:val="0"/>
                      <w:szCs w:val="21"/>
                      <w14:textFill>
                        <w14:solidFill>
                          <w14:schemeClr w14:val="tx1"/>
                        </w14:solidFill>
                      </w14:textFill>
                    </w:rPr>
                    <w:t>离开交通干线40m以上，将仓储用地放于交通干道两侧，入园企业也要注意将生产区与办公区分离开来；</w:t>
                  </w:r>
                </w:p>
                <w:p w14:paraId="4DAF52A2">
                  <w:pPr>
                    <w:autoSpaceDE w:val="0"/>
                    <w:autoSpaceDN w:val="0"/>
                    <w:adjustRightInd w:val="0"/>
                    <w:snapToGrid w:val="0"/>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②道路建设设计应预留绿化带，加强园区道路修缮工作以及交通管理；</w:t>
                  </w:r>
                </w:p>
                <w:p w14:paraId="535FF465">
                  <w:pPr>
                    <w:adjustRightInd w:val="0"/>
                    <w:snapToGrid w:val="0"/>
                    <w:rPr>
                      <w:color w:val="000000" w:themeColor="text1"/>
                      <w:szCs w:val="21"/>
                      <w:lang w:val="zh-CN"/>
                      <w14:textFill>
                        <w14:solidFill>
                          <w14:schemeClr w14:val="tx1"/>
                        </w14:solidFill>
                      </w14:textFill>
                    </w:rPr>
                  </w:pPr>
                  <w:r>
                    <w:rPr>
                      <w:color w:val="000000" w:themeColor="text1"/>
                      <w:kern w:val="0"/>
                      <w:szCs w:val="21"/>
                      <w14:textFill>
                        <w14:solidFill>
                          <w14:schemeClr w14:val="tx1"/>
                        </w14:solidFill>
                      </w14:textFill>
                    </w:rPr>
                    <w:t>③入园企业如果使用一些高噪声设备如风机、空压机、冷却塔、发电机等，应做好消音降噪措施，建设过程中一定要对高噪声设备实行“同时设计、同时施工、同时验收”的原则，杜绝先污染后治理的现象出现。</w:t>
                  </w:r>
                </w:p>
              </w:tc>
              <w:tc>
                <w:tcPr>
                  <w:tcW w:w="1102" w:type="pct"/>
                  <w:vAlign w:val="center"/>
                </w:tcPr>
                <w:p w14:paraId="01EAF1F2">
                  <w:pPr>
                    <w:adjustRightInd w:val="0"/>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本项目所有设备均设置于厂房内部，高噪声设备安装消声、</w:t>
                  </w:r>
                  <w:r>
                    <w:rPr>
                      <w:rFonts w:hint="eastAsia"/>
                      <w:color w:val="000000" w:themeColor="text1"/>
                      <w:szCs w:val="21"/>
                      <w14:textFill>
                        <w14:solidFill>
                          <w14:schemeClr w14:val="tx1"/>
                        </w14:solidFill>
                      </w14:textFill>
                    </w:rPr>
                    <w:t>减振</w:t>
                  </w:r>
                  <w:r>
                    <w:rPr>
                      <w:color w:val="000000" w:themeColor="text1"/>
                      <w:szCs w:val="21"/>
                      <w14:textFill>
                        <w14:solidFill>
                          <w14:schemeClr w14:val="tx1"/>
                        </w14:solidFill>
                      </w14:textFill>
                    </w:rPr>
                    <w:t>装置。根据预测结果，在采取噪声防治措施后，项目厂界噪声可满足《工业企业厂界环境噪声排放标准》（GB12348-2008）</w:t>
                  </w:r>
                  <w:r>
                    <w:rPr>
                      <w:rFonts w:hint="eastAsia"/>
                      <w:color w:val="000000" w:themeColor="text1"/>
                      <w:szCs w:val="21"/>
                      <w14:textFill>
                        <w14:solidFill>
                          <w14:schemeClr w14:val="tx1"/>
                        </w14:solidFill>
                      </w14:textFill>
                    </w:rPr>
                    <w:t>3</w:t>
                  </w:r>
                  <w:r>
                    <w:rPr>
                      <w:color w:val="000000" w:themeColor="text1"/>
                      <w:szCs w:val="21"/>
                      <w14:textFill>
                        <w14:solidFill>
                          <w14:schemeClr w14:val="tx1"/>
                        </w14:solidFill>
                      </w14:textFill>
                    </w:rPr>
                    <w:t>类标准要求。项目周边50m范围</w:t>
                  </w:r>
                  <w:r>
                    <w:rPr>
                      <w:rFonts w:hint="eastAsia"/>
                      <w:color w:val="000000" w:themeColor="text1"/>
                      <w:szCs w:val="21"/>
                      <w14:textFill>
                        <w14:solidFill>
                          <w14:schemeClr w14:val="tx1"/>
                        </w14:solidFill>
                      </w14:textFill>
                    </w:rPr>
                    <w:t>无</w:t>
                  </w:r>
                  <w:r>
                    <w:rPr>
                      <w:color w:val="000000" w:themeColor="text1"/>
                      <w:szCs w:val="21"/>
                      <w14:textFill>
                        <w14:solidFill>
                          <w14:schemeClr w14:val="tx1"/>
                        </w14:solidFill>
                      </w14:textFill>
                    </w:rPr>
                    <w:t>声环境敏感目标，不会降低区域声环境质量现状。</w:t>
                  </w:r>
                </w:p>
              </w:tc>
              <w:tc>
                <w:tcPr>
                  <w:tcW w:w="498" w:type="pct"/>
                  <w:vAlign w:val="center"/>
                </w:tcPr>
                <w:p w14:paraId="5DE56B6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17A4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3" w:type="dxa"/>
                </w:tblCellMar>
              </w:tblPrEx>
              <w:trPr>
                <w:trHeight w:val="390" w:hRule="atLeast"/>
                <w:jc w:val="center"/>
              </w:trPr>
              <w:tc>
                <w:tcPr>
                  <w:tcW w:w="346" w:type="pct"/>
                  <w:vAlign w:val="center"/>
                </w:tcPr>
                <w:p w14:paraId="0A349FE2">
                  <w:pPr>
                    <w:adjustRightInd w:val="0"/>
                    <w:snapToGrid w:val="0"/>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固体废物污染防治措施</w:t>
                  </w:r>
                </w:p>
              </w:tc>
              <w:tc>
                <w:tcPr>
                  <w:tcW w:w="3052" w:type="pct"/>
                  <w:vAlign w:val="center"/>
                </w:tcPr>
                <w:p w14:paraId="4E014E45">
                  <w:pPr>
                    <w:autoSpaceDE w:val="0"/>
                    <w:autoSpaceDN w:val="0"/>
                    <w:adjustRightInd w:val="0"/>
                    <w:snapToGrid w:val="0"/>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①园区不统一设置渣场，现有企业及未来入驻企业，禁止在园区内新建永久性固废处置渣场。临时渣场建设应严格按照《一般工业固体废物贮存和填埋污染控制标准》(GB18599-2020)的相关规定进行设置，充分采取防渗，防雨淋等措施；</w:t>
                  </w:r>
                </w:p>
                <w:p w14:paraId="55FAD0F7">
                  <w:pPr>
                    <w:autoSpaceDE w:val="0"/>
                    <w:autoSpaceDN w:val="0"/>
                    <w:adjustRightInd w:val="0"/>
                    <w:snapToGrid w:val="0"/>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②对工业固体废物中可以回收利用的进行充分综合利用，立足于在园区内加以消化。园区应加强工业固废管理，按“谁产生、谁负责”原则，要求园区企业对产生固体废物进行处置、储存，应将固体废物的性质、产生量、处置去向等向环保主管部门进行申报登记，严禁随意倾倒。调整产业结构，减少高资源消耗、高能耗企业，减少固废的产生。从清洁生产、循环经济角度控制工业固体废物产生量，引导企业系统内部减量化和循环利用，降低单位产品固体废物产量。提高综合利用率，加大工业固体废物综合利用技术的开发力度，促进固体废物重新进入生产循环系统，实现固体废物的回收、循环、利用及资源。</w:t>
                  </w:r>
                </w:p>
                <w:p w14:paraId="4D3D96E7">
                  <w:pPr>
                    <w:autoSpaceDE w:val="0"/>
                    <w:autoSpaceDN w:val="0"/>
                    <w:adjustRightInd w:val="0"/>
                    <w:snapToGrid w:val="0"/>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③对于危险固废，需要按《危险废物贮存污染控制标准》(GB18597-2023)的要求进行贮存，委托危险废物中心处理；目前不能处置的废物，应在项目内妥善贮存。严格按照《</w:t>
                  </w:r>
                  <w:r>
                    <w:rPr>
                      <w:rFonts w:hint="eastAsia"/>
                      <w:color w:val="000000" w:themeColor="text1"/>
                      <w:kern w:val="0"/>
                      <w:szCs w:val="21"/>
                      <w:lang w:eastAsia="zh-CN"/>
                      <w14:textFill>
                        <w14:solidFill>
                          <w14:schemeClr w14:val="tx1"/>
                        </w14:solidFill>
                      </w14:textFill>
                    </w:rPr>
                    <w:t>中华人民共和国固体废物污染环境防治法</w:t>
                  </w:r>
                  <w:bookmarkStart w:id="39" w:name="_GoBack"/>
                  <w:bookmarkEnd w:id="39"/>
                  <w:r>
                    <w:rPr>
                      <w:color w:val="000000" w:themeColor="text1"/>
                      <w:kern w:val="0"/>
                      <w:szCs w:val="21"/>
                      <w14:textFill>
                        <w14:solidFill>
                          <w14:schemeClr w14:val="tx1"/>
                        </w14:solidFill>
                      </w14:textFill>
                    </w:rPr>
                    <w:t>》对危险废物污染环境污染防治的特别规定，做好危险废物的申报登记、处置和管理。强化危险废物管理。</w:t>
                  </w:r>
                </w:p>
                <w:p w14:paraId="2A7BFFE2">
                  <w:pPr>
                    <w:autoSpaceDE w:val="0"/>
                    <w:autoSpaceDN w:val="0"/>
                    <w:adjustRightInd w:val="0"/>
                    <w:snapToGrid w:val="0"/>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④规划区产生的生活垃圾则委托环卫部门统一收集并运至城市生活垃圾卫生填埋场进行处置；制定地方商品进入和消费的指导性政策，限制过度包装商品的进入，建立消费品包装物回收体系，逐步取缔一次性餐具类商品的销售和使用。鼓励净菜类产业和相关服务体系的发展，减少厨房残余垃圾产生量；</w:t>
                  </w:r>
                </w:p>
                <w:p w14:paraId="3B6E94AA">
                  <w:pPr>
                    <w:adjustRightInd w:val="0"/>
                    <w:snapToGrid w:val="0"/>
                    <w:rPr>
                      <w:color w:val="000000" w:themeColor="text1"/>
                      <w:szCs w:val="21"/>
                      <w:lang w:val="zh-CN"/>
                      <w14:textFill>
                        <w14:solidFill>
                          <w14:schemeClr w14:val="tx1"/>
                        </w14:solidFill>
                      </w14:textFill>
                    </w:rPr>
                  </w:pPr>
                  <w:r>
                    <w:rPr>
                      <w:color w:val="000000" w:themeColor="text1"/>
                      <w:kern w:val="0"/>
                      <w:szCs w:val="21"/>
                      <w14:textFill>
                        <w14:solidFill>
                          <w14:schemeClr w14:val="tx1"/>
                        </w14:solidFill>
                      </w14:textFill>
                    </w:rPr>
                    <w:t>⑤工程开挖土石方、建筑垃圾和施工人员生活垃圾要及时清运，以免给周围环境带来影响。</w:t>
                  </w:r>
                </w:p>
              </w:tc>
              <w:tc>
                <w:tcPr>
                  <w:tcW w:w="1102" w:type="pct"/>
                  <w:vAlign w:val="center"/>
                </w:tcPr>
                <w:p w14:paraId="00285F45">
                  <w:pPr>
                    <w:adjustRightInd w:val="0"/>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w:t>
                  </w:r>
                  <w:r>
                    <w:rPr>
                      <w:rFonts w:hint="eastAsia"/>
                      <w:color w:val="000000" w:themeColor="text1"/>
                      <w:szCs w:val="21"/>
                      <w14:textFill>
                        <w14:solidFill>
                          <w14:schemeClr w14:val="tx1"/>
                        </w14:solidFill>
                      </w14:textFill>
                    </w:rPr>
                    <w:t>废包装材料</w:t>
                  </w:r>
                  <w:r>
                    <w:rPr>
                      <w:bCs/>
                      <w:color w:val="000000" w:themeColor="text1"/>
                      <w:spacing w:val="-10"/>
                      <w:szCs w:val="21"/>
                      <w14:textFill>
                        <w14:solidFill>
                          <w14:schemeClr w14:val="tx1"/>
                        </w14:solidFill>
                      </w14:textFill>
                    </w:rPr>
                    <w:t>定期外售资源回收公司</w:t>
                  </w:r>
                  <w:r>
                    <w:rPr>
                      <w:rFonts w:hint="eastAsia"/>
                      <w:bCs/>
                      <w:color w:val="000000" w:themeColor="text1"/>
                      <w:spacing w:val="-10"/>
                      <w:szCs w:val="21"/>
                      <w14:textFill>
                        <w14:solidFill>
                          <w14:schemeClr w14:val="tx1"/>
                        </w14:solidFill>
                      </w14:textFill>
                    </w:rPr>
                    <w:t>，收尘灰收集后回用于生产，生活垃圾收集后</w:t>
                  </w:r>
                  <w:r>
                    <w:rPr>
                      <w:bCs/>
                      <w:color w:val="000000" w:themeColor="text1"/>
                      <w:spacing w:val="-10"/>
                      <w:szCs w:val="21"/>
                      <w14:textFill>
                        <w14:solidFill>
                          <w14:schemeClr w14:val="tx1"/>
                        </w14:solidFill>
                      </w14:textFill>
                    </w:rPr>
                    <w:t>委托环卫部门清运</w:t>
                  </w:r>
                  <w:r>
                    <w:rPr>
                      <w:rFonts w:hint="eastAsia"/>
                      <w:bCs/>
                      <w:color w:val="000000" w:themeColor="text1"/>
                      <w:spacing w:val="-10"/>
                      <w:szCs w:val="21"/>
                      <w14:textFill>
                        <w14:solidFill>
                          <w14:schemeClr w14:val="tx1"/>
                        </w14:solidFill>
                      </w14:textFill>
                    </w:rPr>
                    <w:t>，废机油暂存于危废暂存库后及时委托有资质单位处置。</w:t>
                  </w:r>
                </w:p>
                <w:p w14:paraId="622C9C0A">
                  <w:pPr>
                    <w:adjustRightInd w:val="0"/>
                    <w:snapToGrid w:val="0"/>
                    <w:rPr>
                      <w:color w:val="000000" w:themeColor="text1"/>
                      <w:szCs w:val="21"/>
                      <w14:textFill>
                        <w14:solidFill>
                          <w14:schemeClr w14:val="tx1"/>
                        </w14:solidFill>
                      </w14:textFill>
                    </w:rPr>
                  </w:pPr>
                  <w:r>
                    <w:rPr>
                      <w:color w:val="000000" w:themeColor="text1"/>
                      <w:szCs w:val="21"/>
                      <w:lang w:val="zh-CN"/>
                      <w14:textFill>
                        <w14:solidFill>
                          <w14:schemeClr w14:val="tx1"/>
                        </w14:solidFill>
                      </w14:textFill>
                    </w:rPr>
                    <w:t>固体废弃物100%处置。</w:t>
                  </w:r>
                </w:p>
              </w:tc>
              <w:tc>
                <w:tcPr>
                  <w:tcW w:w="498" w:type="pct"/>
                  <w:vAlign w:val="center"/>
                </w:tcPr>
                <w:p w14:paraId="333ED84D">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020B5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3" w:type="dxa"/>
                </w:tblCellMar>
              </w:tblPrEx>
              <w:trPr>
                <w:trHeight w:val="390" w:hRule="atLeast"/>
                <w:jc w:val="center"/>
              </w:trPr>
              <w:tc>
                <w:tcPr>
                  <w:tcW w:w="346" w:type="pct"/>
                  <w:vAlign w:val="center"/>
                </w:tcPr>
                <w:p w14:paraId="7AFC7C3F">
                  <w:pPr>
                    <w:adjustRightInd w:val="0"/>
                    <w:snapToGrid w:val="0"/>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生态环境影响减缓措施</w:t>
                  </w:r>
                </w:p>
              </w:tc>
              <w:tc>
                <w:tcPr>
                  <w:tcW w:w="3052" w:type="pct"/>
                  <w:vAlign w:val="center"/>
                </w:tcPr>
                <w:p w14:paraId="01362699">
                  <w:pPr>
                    <w:autoSpaceDE w:val="0"/>
                    <w:autoSpaceDN w:val="0"/>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①强化规划区内项目建设施工期生态保护；</w:t>
                  </w:r>
                </w:p>
                <w:p w14:paraId="4A2A7506">
                  <w:pPr>
                    <w:autoSpaceDE w:val="0"/>
                    <w:autoSpaceDN w:val="0"/>
                    <w:adjustRightInd w:val="0"/>
                    <w:snapToGrid w:val="0"/>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②优先进行生态基</w:t>
                  </w:r>
                  <w:r>
                    <w:rPr>
                      <w:rFonts w:hint="eastAsia"/>
                      <w:color w:val="000000" w:themeColor="text1"/>
                      <w:kern w:val="0"/>
                      <w:szCs w:val="21"/>
                      <w14:textFill>
                        <w14:solidFill>
                          <w14:schemeClr w14:val="tx1"/>
                        </w14:solidFill>
                      </w14:textFill>
                    </w:rPr>
                    <w:t>础设</w:t>
                  </w:r>
                  <w:r>
                    <w:rPr>
                      <w:color w:val="000000" w:themeColor="text1"/>
                      <w:kern w:val="0"/>
                      <w:szCs w:val="21"/>
                      <w14:textFill>
                        <w14:solidFill>
                          <w14:schemeClr w14:val="tx1"/>
                        </w14:solidFill>
                      </w14:textFill>
                    </w:rPr>
                    <w:t>施建设；</w:t>
                  </w:r>
                </w:p>
                <w:p w14:paraId="3D67E4A9">
                  <w:pPr>
                    <w:adjustRightInd w:val="0"/>
                    <w:snapToGrid w:val="0"/>
                    <w:rPr>
                      <w:color w:val="000000" w:themeColor="text1"/>
                      <w:szCs w:val="21"/>
                      <w:lang w:val="zh-CN"/>
                      <w14:textFill>
                        <w14:solidFill>
                          <w14:schemeClr w14:val="tx1"/>
                        </w14:solidFill>
                      </w14:textFill>
                    </w:rPr>
                  </w:pPr>
                  <w:r>
                    <w:rPr>
                      <w:rFonts w:hint="eastAsia"/>
                      <w:color w:val="000000" w:themeColor="text1"/>
                      <w:kern w:val="0"/>
                      <w:szCs w:val="21"/>
                      <w14:textFill>
                        <w14:solidFill>
                          <w14:schemeClr w14:val="tx1"/>
                        </w14:solidFill>
                      </w14:textFill>
                    </w:rPr>
                    <w:t>③</w:t>
                  </w:r>
                  <w:r>
                    <w:rPr>
                      <w:color w:val="000000" w:themeColor="text1"/>
                      <w:kern w:val="0"/>
                      <w:szCs w:val="21"/>
                      <w14:textFill>
                        <w14:solidFill>
                          <w14:schemeClr w14:val="tx1"/>
                        </w14:solidFill>
                      </w14:textFill>
                    </w:rPr>
                    <w:t>工程施工应分散分区进行，开挖面要及时种上草皮，缩短裸露面的暴露时间，减少水土流失。在施工过程中，控制地表破坏程度，尽量保护周围的土壤和植被，要严格按照施工规划尽可能少占地。合理布设施工场地，减少土地占用。施工单位要做好相应的施工组织与管理工作，尽量缩短工期。及时清理施工现场，不得遗留任何固体废物、建(构)筑物的残体、生活垃圾和(石)方等，某些关键节点采取临时围挡进行封闭施工。</w:t>
                  </w:r>
                </w:p>
              </w:tc>
              <w:tc>
                <w:tcPr>
                  <w:tcW w:w="1102" w:type="pct"/>
                  <w:vAlign w:val="center"/>
                </w:tcPr>
                <w:p w14:paraId="26C58955">
                  <w:pPr>
                    <w:adjustRightInd w:val="0"/>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项目</w:t>
                  </w:r>
                  <w:r>
                    <w:rPr>
                      <w:rFonts w:hint="eastAsia"/>
                      <w:color w:val="000000" w:themeColor="text1"/>
                      <w:szCs w:val="21"/>
                      <w14:textFill>
                        <w14:solidFill>
                          <w14:schemeClr w14:val="tx1"/>
                        </w14:solidFill>
                      </w14:textFill>
                    </w:rPr>
                    <w:t>在已建</w:t>
                  </w:r>
                  <w:r>
                    <w:rPr>
                      <w:color w:val="000000" w:themeColor="text1"/>
                      <w:szCs w:val="21"/>
                      <w14:textFill>
                        <w14:solidFill>
                          <w14:schemeClr w14:val="tx1"/>
                        </w14:solidFill>
                      </w14:textFill>
                    </w:rPr>
                    <w:t>厂区</w:t>
                  </w:r>
                  <w:r>
                    <w:rPr>
                      <w:rFonts w:hint="eastAsia"/>
                      <w:color w:val="000000" w:themeColor="text1"/>
                      <w:szCs w:val="21"/>
                      <w14:textFill>
                        <w14:solidFill>
                          <w14:schemeClr w14:val="tx1"/>
                        </w14:solidFill>
                      </w14:textFill>
                    </w:rPr>
                    <w:t>车间</w:t>
                  </w:r>
                  <w:r>
                    <w:rPr>
                      <w:color w:val="000000" w:themeColor="text1"/>
                      <w:szCs w:val="21"/>
                      <w14:textFill>
                        <w14:solidFill>
                          <w14:schemeClr w14:val="tx1"/>
                        </w14:solidFill>
                      </w14:textFill>
                    </w:rPr>
                    <w:t>内</w:t>
                  </w:r>
                  <w:r>
                    <w:rPr>
                      <w:rFonts w:hint="eastAsia"/>
                      <w:color w:val="000000" w:themeColor="text1"/>
                      <w:szCs w:val="21"/>
                      <w14:textFill>
                        <w14:solidFill>
                          <w14:schemeClr w14:val="tx1"/>
                        </w14:solidFill>
                      </w14:textFill>
                    </w:rPr>
                    <w:t>进行建设，车间外已</w:t>
                  </w:r>
                  <w:r>
                    <w:rPr>
                      <w:color w:val="000000" w:themeColor="text1"/>
                      <w:szCs w:val="21"/>
                      <w14:textFill>
                        <w14:solidFill>
                          <w14:schemeClr w14:val="tx1"/>
                        </w14:solidFill>
                      </w14:textFill>
                    </w:rPr>
                    <w:t>设置了一定面积的绿化。</w:t>
                  </w:r>
                </w:p>
              </w:tc>
              <w:tc>
                <w:tcPr>
                  <w:tcW w:w="498" w:type="pct"/>
                  <w:vAlign w:val="center"/>
                </w:tcPr>
                <w:p w14:paraId="76AB22D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2C82C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3" w:type="dxa"/>
                </w:tblCellMar>
              </w:tblPrEx>
              <w:trPr>
                <w:trHeight w:val="390" w:hRule="atLeast"/>
                <w:jc w:val="center"/>
              </w:trPr>
              <w:tc>
                <w:tcPr>
                  <w:tcW w:w="346" w:type="pct"/>
                  <w:vAlign w:val="center"/>
                </w:tcPr>
                <w:p w14:paraId="248D3373">
                  <w:pPr>
                    <w:adjustRightInd w:val="0"/>
                    <w:snapToGrid w:val="0"/>
                    <w:jc w:val="center"/>
                    <w:rPr>
                      <w:color w:val="000000" w:themeColor="text1"/>
                      <w:szCs w:val="21"/>
                      <w:lang w:val="zh-CN"/>
                      <w14:textFill>
                        <w14:solidFill>
                          <w14:schemeClr w14:val="tx1"/>
                        </w14:solidFill>
                      </w14:textFill>
                    </w:rPr>
                  </w:pPr>
                  <w:r>
                    <w:rPr>
                      <w:color w:val="000000" w:themeColor="text1"/>
                      <w:szCs w:val="21"/>
                      <w:lang w:val="zh-CN"/>
                      <w14:textFill>
                        <w14:solidFill>
                          <w14:schemeClr w14:val="tx1"/>
                        </w14:solidFill>
                      </w14:textFill>
                    </w:rPr>
                    <w:t>事故及风险防范措施</w:t>
                  </w:r>
                </w:p>
              </w:tc>
              <w:tc>
                <w:tcPr>
                  <w:tcW w:w="3052" w:type="pct"/>
                  <w:vAlign w:val="center"/>
                </w:tcPr>
                <w:p w14:paraId="46EBB2D9">
                  <w:pPr>
                    <w:autoSpaceDE w:val="0"/>
                    <w:autoSpaceDN w:val="0"/>
                    <w:adjustRightInd w:val="0"/>
                    <w:snapToGrid w:val="0"/>
                    <w:jc w:val="lef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①</w:t>
                  </w:r>
                  <w:r>
                    <w:rPr>
                      <w:color w:val="000000" w:themeColor="text1"/>
                      <w:kern w:val="0"/>
                      <w:szCs w:val="21"/>
                      <w14:textFill>
                        <w14:solidFill>
                          <w14:schemeClr w14:val="tx1"/>
                        </w14:solidFill>
                      </w14:textFill>
                    </w:rPr>
                    <w:t>企业进驻园区时，根据进驻企业的生产规模、产品方案、工艺流程以及危险化学品使用、贮存和生产情况，对进驻企业按照HJ/T169-2018《建设项目环境风险评价技术导则》的要求进行环境风险评价，提出各项目的环境风险防范措施和应急预案，确定各项目的安全防护距离。</w:t>
                  </w:r>
                </w:p>
                <w:p w14:paraId="230F8A57">
                  <w:pPr>
                    <w:autoSpaceDE w:val="0"/>
                    <w:autoSpaceDN w:val="0"/>
                    <w:adjustRightInd w:val="0"/>
                    <w:snapToGrid w:val="0"/>
                    <w:jc w:val="left"/>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②</w:t>
                  </w:r>
                  <w:r>
                    <w:rPr>
                      <w:color w:val="000000" w:themeColor="text1"/>
                      <w:kern w:val="0"/>
                      <w:szCs w:val="21"/>
                      <w14:textFill>
                        <w14:solidFill>
                          <w14:schemeClr w14:val="tx1"/>
                        </w14:solidFill>
                      </w14:textFill>
                    </w:rPr>
                    <w:t>根据进驻项目可能发生的风险事故和清消废水产生量，对存在环境风险的项目，在进行设计施工时，设置清消废水收集池，清消废水经收集处理达标后才能外排。</w:t>
                  </w:r>
                </w:p>
                <w:p w14:paraId="09F3FF62">
                  <w:pPr>
                    <w:autoSpaceDE w:val="0"/>
                    <w:autoSpaceDN w:val="0"/>
                    <w:adjustRightInd w:val="0"/>
                    <w:snapToGrid w:val="0"/>
                    <w:jc w:val="left"/>
                    <w:rPr>
                      <w:color w:val="000000" w:themeColor="text1"/>
                      <w:szCs w:val="21"/>
                      <w:lang w:val="zh-CN"/>
                      <w14:textFill>
                        <w14:solidFill>
                          <w14:schemeClr w14:val="tx1"/>
                        </w14:solidFill>
                      </w14:textFill>
                    </w:rPr>
                  </w:pPr>
                  <w:r>
                    <w:rPr>
                      <w:rFonts w:hint="eastAsia"/>
                      <w:color w:val="000000" w:themeColor="text1"/>
                      <w:kern w:val="0"/>
                      <w:szCs w:val="21"/>
                      <w14:textFill>
                        <w14:solidFill>
                          <w14:schemeClr w14:val="tx1"/>
                        </w14:solidFill>
                      </w14:textFill>
                    </w:rPr>
                    <w:t>③</w:t>
                  </w:r>
                  <w:r>
                    <w:rPr>
                      <w:color w:val="000000" w:themeColor="text1"/>
                      <w:kern w:val="0"/>
                      <w:szCs w:val="21"/>
                      <w14:textFill>
                        <w14:solidFill>
                          <w14:schemeClr w14:val="tx1"/>
                        </w14:solidFill>
                      </w14:textFill>
                    </w:rPr>
                    <w:t>对于涉及使用易燃易爆危险化学品的企业进驻园区时，园区管委会应要求企业做好该距离范围内的火灾、爆炸防护工作，通过对进驻企业进行安全或风险评价，提出合理的防护距离，在该距离范围内，不得堆放易燃、易爆、有毒有害等危险化学品，并预留消防通道。</w:t>
                  </w:r>
                </w:p>
              </w:tc>
              <w:tc>
                <w:tcPr>
                  <w:tcW w:w="1102" w:type="pct"/>
                  <w:vAlign w:val="center"/>
                </w:tcPr>
                <w:p w14:paraId="028A6FEC">
                  <w:pPr>
                    <w:adjustRightInd w:val="0"/>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本项目建设完成后按照要求</w:t>
                  </w:r>
                  <w:r>
                    <w:rPr>
                      <w:rFonts w:hint="eastAsia"/>
                      <w:color w:val="000000" w:themeColor="text1"/>
                      <w:szCs w:val="21"/>
                      <w14:textFill>
                        <w14:solidFill>
                          <w14:schemeClr w14:val="tx1"/>
                        </w14:solidFill>
                      </w14:textFill>
                    </w:rPr>
                    <w:t>及时编制</w:t>
                  </w:r>
                  <w:r>
                    <w:rPr>
                      <w:color w:val="000000" w:themeColor="text1"/>
                      <w:szCs w:val="21"/>
                      <w14:textFill>
                        <w14:solidFill>
                          <w14:schemeClr w14:val="tx1"/>
                        </w14:solidFill>
                      </w14:textFill>
                    </w:rPr>
                    <w:t>突发环境事件应急预案，并报当地环保部门备案。</w:t>
                  </w:r>
                </w:p>
              </w:tc>
              <w:tc>
                <w:tcPr>
                  <w:tcW w:w="498" w:type="pct"/>
                  <w:vAlign w:val="center"/>
                </w:tcPr>
                <w:p w14:paraId="5E25D749">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bl>
          <w:p w14:paraId="4214FAB5">
            <w:pPr>
              <w:adjustRightInd w:val="0"/>
              <w:snapToGrid w:val="0"/>
              <w:spacing w:line="360" w:lineRule="auto"/>
              <w:ind w:firstLine="480" w:firstLineChars="200"/>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综上</w:t>
            </w:r>
            <w:r>
              <w:rPr>
                <w:color w:val="000000" w:themeColor="text1"/>
                <w:sz w:val="24"/>
                <w:lang w:val="zh-CN"/>
                <w14:textFill>
                  <w14:solidFill>
                    <w14:schemeClr w14:val="tx1"/>
                  </w14:solidFill>
                </w14:textFill>
              </w:rPr>
              <w:t>，</w:t>
            </w:r>
            <w:r>
              <w:rPr>
                <w:color w:val="000000" w:themeColor="text1"/>
                <w:sz w:val="24"/>
                <w14:textFill>
                  <w14:solidFill>
                    <w14:schemeClr w14:val="tx1"/>
                  </w14:solidFill>
                </w14:textFill>
              </w:rPr>
              <w:t>项目</w:t>
            </w:r>
            <w:r>
              <w:rPr>
                <w:color w:val="000000" w:themeColor="text1"/>
                <w:sz w:val="24"/>
                <w:lang w:val="zh-CN"/>
                <w14:textFill>
                  <w14:solidFill>
                    <w14:schemeClr w14:val="tx1"/>
                  </w14:solidFill>
                </w14:textFill>
              </w:rPr>
              <w:t>符合《云南寻甸产业园区总体规划修编（2021-2035）环境影响报告书》</w:t>
            </w:r>
            <w:r>
              <w:rPr>
                <w:color w:val="000000" w:themeColor="text1"/>
                <w:sz w:val="24"/>
                <w14:textFill>
                  <w14:solidFill>
                    <w14:schemeClr w14:val="tx1"/>
                  </w14:solidFill>
                </w14:textFill>
              </w:rPr>
              <w:t>中的</w:t>
            </w:r>
            <w:r>
              <w:rPr>
                <w:color w:val="000000" w:themeColor="text1"/>
                <w:sz w:val="24"/>
                <w:lang w:val="zh-CN"/>
                <w14:textFill>
                  <w14:solidFill>
                    <w14:schemeClr w14:val="tx1"/>
                  </w14:solidFill>
                </w14:textFill>
              </w:rPr>
              <w:t>环境影响减缓措施相关要求。</w:t>
            </w:r>
          </w:p>
          <w:p w14:paraId="42311465">
            <w:pPr>
              <w:adjustRightInd w:val="0"/>
              <w:snapToGrid w:val="0"/>
              <w:spacing w:line="360" w:lineRule="auto"/>
              <w:ind w:firstLine="482" w:firstLineChars="200"/>
              <w:rPr>
                <w:b/>
                <w:bCs/>
                <w:color w:val="000000" w:themeColor="text1"/>
                <w:sz w:val="24"/>
                <w14:textFill>
                  <w14:solidFill>
                    <w14:schemeClr w14:val="tx1"/>
                  </w14:solidFill>
                </w14:textFill>
              </w:rPr>
            </w:pPr>
            <w:r>
              <w:rPr>
                <w:b/>
                <w:bCs/>
                <w:color w:val="000000" w:themeColor="text1"/>
                <w:sz w:val="24"/>
                <w:lang w:val="zh-CN"/>
                <w14:textFill>
                  <w14:solidFill>
                    <w14:schemeClr w14:val="tx1"/>
                  </w14:solidFill>
                </w14:textFill>
              </w:rPr>
              <w:t>（</w:t>
            </w:r>
            <w:r>
              <w:rPr>
                <w:b/>
                <w:bCs/>
                <w:color w:val="000000" w:themeColor="text1"/>
                <w:sz w:val="24"/>
                <w14:textFill>
                  <w14:solidFill>
                    <w14:schemeClr w14:val="tx1"/>
                  </w14:solidFill>
                </w14:textFill>
              </w:rPr>
              <w:t>2</w:t>
            </w:r>
            <w:r>
              <w:rPr>
                <w:b/>
                <w:bCs/>
                <w:color w:val="000000" w:themeColor="text1"/>
                <w:sz w:val="24"/>
                <w:lang w:val="zh-CN"/>
                <w14:textFill>
                  <w14:solidFill>
                    <w14:schemeClr w14:val="tx1"/>
                  </w14:solidFill>
                </w14:textFill>
              </w:rPr>
              <w:t>）园区准入负面清单</w:t>
            </w:r>
            <w:r>
              <w:rPr>
                <w:b/>
                <w:bCs/>
                <w:color w:val="000000" w:themeColor="text1"/>
                <w:sz w:val="24"/>
                <w14:textFill>
                  <w14:solidFill>
                    <w14:schemeClr w14:val="tx1"/>
                  </w14:solidFill>
                </w14:textFill>
              </w:rPr>
              <w:t>符合性分析</w:t>
            </w:r>
          </w:p>
          <w:p w14:paraId="7423179A">
            <w:pPr>
              <w:adjustRightInd w:val="0"/>
              <w:snapToGrid w:val="0"/>
              <w:spacing w:line="360" w:lineRule="auto"/>
              <w:ind w:firstLine="480" w:firstLineChars="200"/>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根据《云南寻甸产业园区总体规划修编（2021-2035）环境影响报告书》，园区</w:t>
            </w:r>
            <w:r>
              <w:rPr>
                <w:color w:val="000000" w:themeColor="text1"/>
                <w:sz w:val="24"/>
                <w14:textFill>
                  <w14:solidFill>
                    <w14:schemeClr w14:val="tx1"/>
                  </w14:solidFill>
                </w14:textFill>
              </w:rPr>
              <w:t>环境</w:t>
            </w:r>
            <w:r>
              <w:rPr>
                <w:color w:val="000000" w:themeColor="text1"/>
                <w:sz w:val="24"/>
                <w:lang w:val="zh-CN"/>
                <w14:textFill>
                  <w14:solidFill>
                    <w14:schemeClr w14:val="tx1"/>
                  </w14:solidFill>
                </w14:textFill>
              </w:rPr>
              <w:t>准入负面清单及对照情况如下：</w:t>
            </w:r>
          </w:p>
          <w:p w14:paraId="328CBFDA">
            <w:pPr>
              <w:pStyle w:val="58"/>
              <w:rPr>
                <w:color w:val="000000" w:themeColor="text1"/>
                <w14:textFill>
                  <w14:solidFill>
                    <w14:schemeClr w14:val="tx1"/>
                  </w14:solidFill>
                </w14:textFill>
              </w:rPr>
            </w:pPr>
            <w:r>
              <w:rPr>
                <w:color w:val="000000" w:themeColor="text1"/>
                <w14:textFill>
                  <w14:solidFill>
                    <w14:schemeClr w14:val="tx1"/>
                  </w14:solidFill>
                </w14:textFill>
              </w:rPr>
              <w:t>表1-3  本项目与规划区环境准入条件负面清单对照情况表</w:t>
            </w:r>
          </w:p>
          <w:tbl>
            <w:tblPr>
              <w:tblStyle w:val="25"/>
              <w:tblW w:w="80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321"/>
              <w:gridCol w:w="586"/>
              <w:gridCol w:w="3375"/>
              <w:gridCol w:w="3225"/>
              <w:gridCol w:w="510"/>
            </w:tblGrid>
            <w:tr w14:paraId="00285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4282" w:type="dxa"/>
                  <w:gridSpan w:val="3"/>
                  <w:vAlign w:val="center"/>
                </w:tcPr>
                <w:p w14:paraId="5DB9E6F9">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限制和禁止引进的项目和行业</w:t>
                  </w:r>
                </w:p>
              </w:tc>
              <w:tc>
                <w:tcPr>
                  <w:tcW w:w="3225" w:type="dxa"/>
                  <w:vAlign w:val="center"/>
                </w:tcPr>
                <w:p w14:paraId="243ED252">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本项目情况</w:t>
                  </w:r>
                </w:p>
              </w:tc>
              <w:tc>
                <w:tcPr>
                  <w:tcW w:w="510" w:type="dxa"/>
                  <w:vAlign w:val="center"/>
                </w:tcPr>
                <w:p w14:paraId="2752EC3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p w14:paraId="5210833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性</w:t>
                  </w:r>
                </w:p>
              </w:tc>
            </w:tr>
            <w:tr w14:paraId="27AEC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21" w:type="dxa"/>
                  <w:vMerge w:val="restart"/>
                  <w:vAlign w:val="center"/>
                </w:tcPr>
                <w:p w14:paraId="4B8D91FD">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总体要求</w:t>
                  </w:r>
                </w:p>
              </w:tc>
              <w:tc>
                <w:tcPr>
                  <w:tcW w:w="586" w:type="dxa"/>
                  <w:vAlign w:val="center"/>
                </w:tcPr>
                <w:p w14:paraId="781216D0">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禁入行业</w:t>
                  </w:r>
                </w:p>
              </w:tc>
              <w:tc>
                <w:tcPr>
                  <w:tcW w:w="3375" w:type="dxa"/>
                  <w:vAlign w:val="center"/>
                </w:tcPr>
                <w:p w14:paraId="5DE07859">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（1）《产业结构调整指导目录（2019年</w:t>
                  </w:r>
                  <w:r>
                    <w:rPr>
                      <w:rFonts w:hint="eastAsia"/>
                      <w:b w:val="0"/>
                      <w:color w:val="000000" w:themeColor="text1"/>
                      <w14:textFill>
                        <w14:solidFill>
                          <w14:schemeClr w14:val="tx1"/>
                        </w14:solidFill>
                      </w14:textFill>
                    </w:rPr>
                    <w:t>本</w:t>
                  </w:r>
                  <w:r>
                    <w:rPr>
                      <w:b w:val="0"/>
                      <w:color w:val="000000" w:themeColor="text1"/>
                      <w14:textFill>
                        <w14:solidFill>
                          <w14:schemeClr w14:val="tx1"/>
                        </w14:solidFill>
                      </w14:textFill>
                    </w:rPr>
                    <w:t>）》（或更新）中禁止、限制类的行业。</w:t>
                  </w:r>
                </w:p>
                <w:p w14:paraId="35338520">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（2）《外商投资产业指导目录（2017年修订）》（或更新）中的禁止类。</w:t>
                  </w:r>
                </w:p>
                <w:p w14:paraId="2BB071BF">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（3）严禁不符合要求的高风险高污染行业入驻。</w:t>
                  </w:r>
                </w:p>
                <w:p w14:paraId="4F2D1C15">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（4）禁止引入其他不在园区产业定位、不符合园区环保要求项目，如造纸制浆、印染、染料、制革、炼焦、炼硫、炼砷、炼油、有色金属等项目。</w:t>
                  </w:r>
                </w:p>
                <w:p w14:paraId="5BAFE177">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（5）污水成分复杂或废水、废液按现有技术无法妥善处置的产业。</w:t>
                  </w:r>
                </w:p>
                <w:p w14:paraId="1062AE44">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（6）物耗、能耗相对较高，产生的大气污染类型复杂、环境风险较大的产业、项目或工艺；且产生的大气污染物无法自身治理或妥善处置或处理成本较高的产生。</w:t>
                  </w:r>
                </w:p>
                <w:p w14:paraId="646831E4">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（7）不能严格按“三同时”要求建厂的企业，无法满足卫生防护距离、大气环境防护距离的企业。</w:t>
                  </w:r>
                </w:p>
                <w:p w14:paraId="2CB7E71F">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（8）与《云南省牛栏江保护条例》存在冲突的项目。</w:t>
                  </w:r>
                </w:p>
                <w:p w14:paraId="342FC3EB">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（9）《长江经济带发展负面清单指南（试行，2022 年版）》和《云南省推动长江经济带发展负面清单指南实施细则（试行，2022 年版）》中的禁止项目。</w:t>
                  </w:r>
                </w:p>
                <w:p w14:paraId="5223B021">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10）禁止引入单位产品能耗、物耗、污染物产生量和排放量等清洁生产指标达不到国内先进水平的产业（项目）；资源综合利用率低、产生废物量大，且按近期技术水平不能综合利用的行业；高耗水且排放污水、废液按现有技术经济无法治理或妥善处置的产业。</w:t>
                  </w:r>
                </w:p>
                <w:p w14:paraId="23F7EBD1">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（11）未来入驻企业禁止在园区内新建永久性工业固废处置场。</w:t>
                  </w:r>
                </w:p>
                <w:p w14:paraId="4CB75AEA">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12）严禁引入物耗、水耗和能耗相对较高，但符合园区总体规划产业类别的其他产业（①属于规划既定行业，但污染类型复杂、环境风险较大的产业、项目或工艺；②产生废物，且按自有技术水平无法治理或妥善处置的；③现有污染治理技术不成熟，或现有技术经济条件难以承受污染物治理成本的）。</w:t>
                  </w:r>
                </w:p>
                <w:p w14:paraId="21AF6FB0">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（13）禁止入园企业开采地下水作为生产、生活用水。</w:t>
                  </w:r>
                </w:p>
              </w:tc>
              <w:tc>
                <w:tcPr>
                  <w:tcW w:w="3225" w:type="dxa"/>
                  <w:vAlign w:val="center"/>
                </w:tcPr>
                <w:p w14:paraId="4DD91708">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（1）本项目属于</w:t>
                  </w:r>
                  <w:r>
                    <w:rPr>
                      <w:rFonts w:hint="eastAsia"/>
                      <w:b w:val="0"/>
                      <w:color w:val="000000" w:themeColor="text1"/>
                      <w14:textFill>
                        <w14:solidFill>
                          <w14:schemeClr w14:val="tx1"/>
                        </w14:solidFill>
                      </w14:textFill>
                    </w:rPr>
                    <w:t>肥料制造</w:t>
                  </w:r>
                  <w:r>
                    <w:rPr>
                      <w:b w:val="0"/>
                      <w:color w:val="000000" w:themeColor="text1"/>
                      <w14:textFill>
                        <w14:solidFill>
                          <w14:schemeClr w14:val="tx1"/>
                        </w14:solidFill>
                      </w14:textFill>
                    </w:rPr>
                    <w:t>，根据《产业结构调整指导目录（20</w:t>
                  </w:r>
                  <w:r>
                    <w:rPr>
                      <w:rFonts w:hint="eastAsia"/>
                      <w:b w:val="0"/>
                      <w:color w:val="000000" w:themeColor="text1"/>
                      <w14:textFill>
                        <w14:solidFill>
                          <w14:schemeClr w14:val="tx1"/>
                        </w14:solidFill>
                      </w14:textFill>
                    </w:rPr>
                    <w:t>24</w:t>
                  </w:r>
                  <w:r>
                    <w:rPr>
                      <w:b w:val="0"/>
                      <w:color w:val="000000" w:themeColor="text1"/>
                      <w14:textFill>
                        <w14:solidFill>
                          <w14:schemeClr w14:val="tx1"/>
                        </w14:solidFill>
                      </w14:textFill>
                    </w:rPr>
                    <w:t>年本）》，项目</w:t>
                  </w:r>
                  <w:r>
                    <w:rPr>
                      <w:rFonts w:hint="eastAsia"/>
                      <w:b w:val="0"/>
                      <w:color w:val="000000" w:themeColor="text1"/>
                      <w14:textFill>
                        <w14:solidFill>
                          <w14:schemeClr w14:val="tx1"/>
                        </w14:solidFill>
                      </w14:textFill>
                    </w:rPr>
                    <w:t>属于鼓励类</w:t>
                  </w:r>
                  <w:r>
                    <w:rPr>
                      <w:b w:val="0"/>
                      <w:color w:val="000000" w:themeColor="text1"/>
                      <w14:textFill>
                        <w14:solidFill>
                          <w14:schemeClr w14:val="tx1"/>
                        </w14:solidFill>
                      </w14:textFill>
                    </w:rPr>
                    <w:t>；</w:t>
                  </w:r>
                </w:p>
                <w:p w14:paraId="38DDBC40">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（2）不属于《外商投资产业指导目录（2017年修订）》中禁止类项目；</w:t>
                  </w:r>
                </w:p>
                <w:p w14:paraId="73677672">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（3）本项目不属于高风险高污染类行业；</w:t>
                  </w:r>
                </w:p>
                <w:p w14:paraId="0EFABF45">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（4）项目不属于造纸制浆、印染、染料、制革、炼焦、炼硫、炼砷、炼油、有色金属等其他不在园区产业定位、不符合园区环保要求项目；</w:t>
                  </w:r>
                </w:p>
                <w:p w14:paraId="5604674D">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（5）</w:t>
                  </w:r>
                  <w:r>
                    <w:rPr>
                      <w:rFonts w:hint="eastAsia"/>
                      <w:b w:val="0"/>
                      <w:color w:val="000000" w:themeColor="text1"/>
                      <w14:textFill>
                        <w14:solidFill>
                          <w14:schemeClr w14:val="tx1"/>
                        </w14:solidFill>
                      </w14:textFill>
                    </w:rPr>
                    <w:t>生产过程中废水全部回用</w:t>
                  </w:r>
                  <w:r>
                    <w:rPr>
                      <w:b w:val="0"/>
                      <w:color w:val="000000" w:themeColor="text1"/>
                      <w14:textFill>
                        <w14:solidFill>
                          <w14:schemeClr w14:val="tx1"/>
                        </w14:solidFill>
                      </w14:textFill>
                    </w:rPr>
                    <w:t>；</w:t>
                  </w:r>
                </w:p>
                <w:p w14:paraId="1EBB966D">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（6）本项目物耗、能耗相对较低，产生的大气污染类型主要为颗粒物、</w:t>
                  </w:r>
                  <w:r>
                    <w:rPr>
                      <w:rFonts w:hint="eastAsia"/>
                      <w:b w:val="0"/>
                      <w:color w:val="000000" w:themeColor="text1"/>
                      <w14:textFill>
                        <w14:solidFill>
                          <w14:schemeClr w14:val="tx1"/>
                        </w14:solidFill>
                      </w14:textFill>
                    </w:rPr>
                    <w:t>异味</w:t>
                  </w:r>
                  <w:r>
                    <w:rPr>
                      <w:b w:val="0"/>
                      <w:color w:val="000000" w:themeColor="text1"/>
                      <w14:textFill>
                        <w14:solidFill>
                          <w14:schemeClr w14:val="tx1"/>
                        </w14:solidFill>
                      </w14:textFill>
                    </w:rPr>
                    <w:t>等，大气污染物经采取措施治理后达标排放，处理成本一般；环境风险</w:t>
                  </w:r>
                  <w:r>
                    <w:rPr>
                      <w:rFonts w:hint="eastAsia"/>
                      <w:b w:val="0"/>
                      <w:color w:val="000000" w:themeColor="text1"/>
                      <w14:textFill>
                        <w14:solidFill>
                          <w14:schemeClr w14:val="tx1"/>
                        </w14:solidFill>
                      </w14:textFill>
                    </w:rPr>
                    <w:t>等级为简单分析</w:t>
                  </w:r>
                  <w:r>
                    <w:rPr>
                      <w:b w:val="0"/>
                      <w:color w:val="000000" w:themeColor="text1"/>
                      <w14:textFill>
                        <w14:solidFill>
                          <w14:schemeClr w14:val="tx1"/>
                        </w14:solidFill>
                      </w14:textFill>
                    </w:rPr>
                    <w:t>；</w:t>
                  </w:r>
                </w:p>
                <w:p w14:paraId="1CB5878A">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（7）本项目为</w:t>
                  </w:r>
                  <w:r>
                    <w:rPr>
                      <w:rFonts w:hint="eastAsia"/>
                      <w:b w:val="0"/>
                      <w:color w:val="000000" w:themeColor="text1"/>
                      <w14:textFill>
                        <w14:solidFill>
                          <w14:schemeClr w14:val="tx1"/>
                        </w14:solidFill>
                      </w14:textFill>
                    </w:rPr>
                    <w:t>新</w:t>
                  </w:r>
                  <w:r>
                    <w:rPr>
                      <w:b w:val="0"/>
                      <w:color w:val="000000" w:themeColor="text1"/>
                      <w14:textFill>
                        <w14:solidFill>
                          <w14:schemeClr w14:val="tx1"/>
                        </w14:solidFill>
                      </w14:textFill>
                    </w:rPr>
                    <w:t>建项目，能严格按“三同时”要求进行建设，本项目不设置卫生防护距离和大气环境防护距离；</w:t>
                  </w:r>
                </w:p>
                <w:p w14:paraId="16238AB1">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（8）项目与《云南省牛栏江保护条例》不冲突；</w:t>
                  </w:r>
                </w:p>
                <w:p w14:paraId="6155BAD7">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（9）本项目不属于《长江经济带发展负面清单指南（试行，2022年版）》和《云南省推动长江经济带发展负面清单指南实施细则（试行，2022 年版）》中的禁止项目；</w:t>
                  </w:r>
                </w:p>
                <w:p w14:paraId="70886547">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（10）本项目不属于单位产品能耗、物耗、污染物产生量和排放量等清洁生产指标达不到国内先进水平的产业（项目）；</w:t>
                  </w:r>
                  <w:r>
                    <w:rPr>
                      <w:rFonts w:hint="eastAsia"/>
                      <w:b w:val="0"/>
                      <w:bCs/>
                      <w:color w:val="000000" w:themeColor="text1"/>
                      <w14:textFill>
                        <w14:solidFill>
                          <w14:schemeClr w14:val="tx1"/>
                        </w14:solidFill>
                      </w14:textFill>
                    </w:rPr>
                    <w:t>项目生产中用水量、用电量较少，无锅炉使用，生产废水收集后回用于生产，不外排，符合清洁生产要求</w:t>
                  </w:r>
                  <w:r>
                    <w:rPr>
                      <w:b w:val="0"/>
                      <w:bCs/>
                      <w:color w:val="000000" w:themeColor="text1"/>
                      <w14:textFill>
                        <w14:solidFill>
                          <w14:schemeClr w14:val="tx1"/>
                        </w14:solidFill>
                      </w14:textFill>
                    </w:rPr>
                    <w:t>；</w:t>
                  </w:r>
                </w:p>
                <w:p w14:paraId="0785C930">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（11）本项目不涉及新建永久性工业固废处置场；</w:t>
                  </w:r>
                </w:p>
                <w:p w14:paraId="205C7BF2">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（12）本项目不属于物耗、水耗和能耗相对较高的生产企业；</w:t>
                  </w:r>
                </w:p>
                <w:p w14:paraId="5033C415">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（13）本项目用水为市政管网供给，不进行地下水的开采。</w:t>
                  </w:r>
                </w:p>
              </w:tc>
              <w:tc>
                <w:tcPr>
                  <w:tcW w:w="510" w:type="dxa"/>
                  <w:vAlign w:val="center"/>
                </w:tcPr>
                <w:p w14:paraId="6F18C36F">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0A7CC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87" w:hRule="atLeast"/>
              </w:trPr>
              <w:tc>
                <w:tcPr>
                  <w:tcW w:w="321" w:type="dxa"/>
                  <w:vMerge w:val="continue"/>
                  <w:vAlign w:val="center"/>
                </w:tcPr>
                <w:p w14:paraId="554FDD59">
                  <w:pPr>
                    <w:adjustRightInd w:val="0"/>
                    <w:snapToGrid w:val="0"/>
                    <w:jc w:val="center"/>
                    <w:rPr>
                      <w:color w:val="000000" w:themeColor="text1"/>
                      <w:szCs w:val="21"/>
                      <w14:textFill>
                        <w14:solidFill>
                          <w14:schemeClr w14:val="tx1"/>
                        </w14:solidFill>
                      </w14:textFill>
                    </w:rPr>
                  </w:pPr>
                </w:p>
              </w:tc>
              <w:tc>
                <w:tcPr>
                  <w:tcW w:w="586" w:type="dxa"/>
                  <w:vAlign w:val="center"/>
                </w:tcPr>
                <w:p w14:paraId="538BDEC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禁入工艺</w:t>
                  </w:r>
                </w:p>
              </w:tc>
              <w:tc>
                <w:tcPr>
                  <w:tcW w:w="3375" w:type="dxa"/>
                  <w:vAlign w:val="center"/>
                </w:tcPr>
                <w:p w14:paraId="2A749A9F">
                  <w:pPr>
                    <w:adjustRightInd w:val="0"/>
                    <w:snapToGrid w:val="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（1）《产业结构调整指导目录（2019年本）》（或更新）中淘汰、落后的生产工艺。</w:t>
                  </w:r>
                </w:p>
                <w:p w14:paraId="6DA229AC">
                  <w:pPr>
                    <w:adjustRightInd w:val="0"/>
                    <w:snapToGrid w:val="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（2）《部分工业行业淘汰落后生产工艺装备和产品指导目录（2022年本）》（或更新）的生产工艺。</w:t>
                  </w:r>
                </w:p>
              </w:tc>
              <w:tc>
                <w:tcPr>
                  <w:tcW w:w="3225" w:type="dxa"/>
                  <w:vAlign w:val="center"/>
                </w:tcPr>
                <w:p w14:paraId="2929B2E5">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（1）经查阅《产业结构调整指导目录（20</w:t>
                  </w:r>
                  <w:r>
                    <w:rPr>
                      <w:rFonts w:hint="eastAsia"/>
                      <w:color w:val="000000" w:themeColor="text1"/>
                      <w:szCs w:val="21"/>
                      <w14:textFill>
                        <w14:solidFill>
                          <w14:schemeClr w14:val="tx1"/>
                        </w14:solidFill>
                      </w14:textFill>
                    </w:rPr>
                    <w:t>24</w:t>
                  </w:r>
                  <w:r>
                    <w:rPr>
                      <w:color w:val="000000" w:themeColor="text1"/>
                      <w:szCs w:val="21"/>
                      <w14:textFill>
                        <w14:solidFill>
                          <w14:schemeClr w14:val="tx1"/>
                        </w14:solidFill>
                      </w14:textFill>
                    </w:rPr>
                    <w:t>年本）》，本项目所用工艺不属于该目录中淘汰、落后的生产工艺；（2）不属于《部分工业行业淘汰落后生产工艺装备和产品指导目录（2022年本）》的生产工艺。</w:t>
                  </w:r>
                </w:p>
              </w:tc>
              <w:tc>
                <w:tcPr>
                  <w:tcW w:w="510" w:type="dxa"/>
                  <w:vAlign w:val="center"/>
                </w:tcPr>
                <w:p w14:paraId="538C50B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3288F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21" w:type="dxa"/>
                  <w:vMerge w:val="continue"/>
                  <w:vAlign w:val="center"/>
                </w:tcPr>
                <w:p w14:paraId="15C811F4">
                  <w:pPr>
                    <w:adjustRightInd w:val="0"/>
                    <w:snapToGrid w:val="0"/>
                    <w:jc w:val="center"/>
                    <w:rPr>
                      <w:color w:val="000000" w:themeColor="text1"/>
                      <w:szCs w:val="21"/>
                      <w14:textFill>
                        <w14:solidFill>
                          <w14:schemeClr w14:val="tx1"/>
                        </w14:solidFill>
                      </w14:textFill>
                    </w:rPr>
                  </w:pPr>
                </w:p>
              </w:tc>
              <w:tc>
                <w:tcPr>
                  <w:tcW w:w="586" w:type="dxa"/>
                  <w:vAlign w:val="center"/>
                </w:tcPr>
                <w:p w14:paraId="1669606F">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禁入产品</w:t>
                  </w:r>
                </w:p>
              </w:tc>
              <w:tc>
                <w:tcPr>
                  <w:tcW w:w="3375" w:type="dxa"/>
                  <w:vAlign w:val="center"/>
                </w:tcPr>
                <w:p w14:paraId="144BDC3F">
                  <w:pPr>
                    <w:adjustRightInd w:val="0"/>
                    <w:snapToGrid w:val="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《部分工业行业淘汰落后生产工艺装备和产品指导目录（2022年本）》（或更新）的产品。</w:t>
                  </w:r>
                </w:p>
              </w:tc>
              <w:tc>
                <w:tcPr>
                  <w:tcW w:w="3225" w:type="dxa"/>
                  <w:vAlign w:val="center"/>
                </w:tcPr>
                <w:p w14:paraId="632579B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本项目产品不属于《部分工业行业淘汰落后生产工艺装备和产品指导目录（2022年本）》的产品。</w:t>
                  </w:r>
                </w:p>
              </w:tc>
              <w:tc>
                <w:tcPr>
                  <w:tcW w:w="510" w:type="dxa"/>
                  <w:vAlign w:val="center"/>
                </w:tcPr>
                <w:p w14:paraId="3D104C9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17625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21" w:type="dxa"/>
                  <w:vMerge w:val="continue"/>
                  <w:vAlign w:val="center"/>
                </w:tcPr>
                <w:p w14:paraId="34A350F5">
                  <w:pPr>
                    <w:adjustRightInd w:val="0"/>
                    <w:snapToGrid w:val="0"/>
                    <w:jc w:val="center"/>
                    <w:rPr>
                      <w:color w:val="000000" w:themeColor="text1"/>
                      <w:szCs w:val="21"/>
                      <w14:textFill>
                        <w14:solidFill>
                          <w14:schemeClr w14:val="tx1"/>
                        </w14:solidFill>
                      </w14:textFill>
                    </w:rPr>
                  </w:pPr>
                </w:p>
              </w:tc>
              <w:tc>
                <w:tcPr>
                  <w:tcW w:w="586" w:type="dxa"/>
                  <w:vAlign w:val="center"/>
                </w:tcPr>
                <w:p w14:paraId="48A941C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清洁生产水平</w:t>
                  </w:r>
                </w:p>
              </w:tc>
              <w:tc>
                <w:tcPr>
                  <w:tcW w:w="3375" w:type="dxa"/>
                  <w:vAlign w:val="center"/>
                </w:tcPr>
                <w:p w14:paraId="68746A5A">
                  <w:pPr>
                    <w:adjustRightInd w:val="0"/>
                    <w:snapToGrid w:val="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清洁生产水平低于国家清洁生产标准的国内先进水平。</w:t>
                  </w:r>
                </w:p>
              </w:tc>
              <w:tc>
                <w:tcPr>
                  <w:tcW w:w="3225" w:type="dxa"/>
                  <w:vAlign w:val="center"/>
                </w:tcPr>
                <w:p w14:paraId="47345831">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w:t>
                  </w:r>
                  <w:r>
                    <w:rPr>
                      <w:rFonts w:hint="eastAsia"/>
                      <w:color w:val="000000" w:themeColor="text1"/>
                      <w:szCs w:val="21"/>
                      <w14:textFill>
                        <w14:solidFill>
                          <w14:schemeClr w14:val="tx1"/>
                        </w14:solidFill>
                      </w14:textFill>
                    </w:rPr>
                    <w:t>生产中用水量、用电量较少，无锅炉使用，生产废水收集后回用于生产，不外排，</w:t>
                  </w:r>
                  <w:r>
                    <w:rPr>
                      <w:color w:val="000000" w:themeColor="text1"/>
                      <w:szCs w:val="21"/>
                      <w14:textFill>
                        <w14:solidFill>
                          <w14:schemeClr w14:val="tx1"/>
                        </w14:solidFill>
                      </w14:textFill>
                    </w:rPr>
                    <w:t>清洁生产水平不低于国家清洁生产标准的国内先进水平。</w:t>
                  </w:r>
                </w:p>
              </w:tc>
              <w:tc>
                <w:tcPr>
                  <w:tcW w:w="510" w:type="dxa"/>
                  <w:vAlign w:val="center"/>
                </w:tcPr>
                <w:p w14:paraId="15C7B59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457D5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21" w:type="dxa"/>
                  <w:vMerge w:val="continue"/>
                  <w:vAlign w:val="center"/>
                </w:tcPr>
                <w:p w14:paraId="7FA014AC">
                  <w:pPr>
                    <w:adjustRightInd w:val="0"/>
                    <w:snapToGrid w:val="0"/>
                    <w:jc w:val="center"/>
                    <w:rPr>
                      <w:color w:val="000000" w:themeColor="text1"/>
                      <w:szCs w:val="21"/>
                      <w14:textFill>
                        <w14:solidFill>
                          <w14:schemeClr w14:val="tx1"/>
                        </w14:solidFill>
                      </w14:textFill>
                    </w:rPr>
                  </w:pPr>
                </w:p>
              </w:tc>
              <w:tc>
                <w:tcPr>
                  <w:tcW w:w="586" w:type="dxa"/>
                  <w:vAlign w:val="center"/>
                </w:tcPr>
                <w:p w14:paraId="5DEF26EC">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限制禁入</w:t>
                  </w:r>
                </w:p>
              </w:tc>
              <w:tc>
                <w:tcPr>
                  <w:tcW w:w="3375" w:type="dxa"/>
                  <w:vAlign w:val="center"/>
                </w:tcPr>
                <w:p w14:paraId="53A7AD36">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（1）严格限制引进《产业结构调整指导目录（2019 年本）》（或更新）中所列的限制类项目。</w:t>
                  </w:r>
                </w:p>
                <w:p w14:paraId="5F623B30">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（2）《外商投资产业指导目录（2017 年修订）》（或更新）中所列的限制类项目。</w:t>
                  </w:r>
                </w:p>
                <w:p w14:paraId="255144B0">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（3）严格限制引进涉及《中国严格限制进出口的有毒化学品目录（2020年本）》（或更新）中所列有毒化学品的项目。</w:t>
                  </w:r>
                </w:p>
              </w:tc>
              <w:tc>
                <w:tcPr>
                  <w:tcW w:w="3225" w:type="dxa"/>
                  <w:vAlign w:val="center"/>
                </w:tcPr>
                <w:p w14:paraId="46B00730">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（1）本项目不属于《产业结构调整指导目录（20</w:t>
                  </w:r>
                  <w:r>
                    <w:rPr>
                      <w:rFonts w:hint="eastAsia"/>
                      <w:b w:val="0"/>
                      <w:color w:val="000000" w:themeColor="text1"/>
                      <w14:textFill>
                        <w14:solidFill>
                          <w14:schemeClr w14:val="tx1"/>
                        </w14:solidFill>
                      </w14:textFill>
                    </w:rPr>
                    <w:t>24</w:t>
                  </w:r>
                  <w:r>
                    <w:rPr>
                      <w:b w:val="0"/>
                      <w:color w:val="000000" w:themeColor="text1"/>
                      <w14:textFill>
                        <w14:solidFill>
                          <w14:schemeClr w14:val="tx1"/>
                        </w14:solidFill>
                      </w14:textFill>
                    </w:rPr>
                    <w:t>年本）》中所列的限制类项目；（2）本项目不属于《外商投资产业指导目录（2017年修订）》中所列的限制类项目；（3）本项目不涉及《中国严格限制进出口的有毒化学品目录（2020年本）》中所列有毒化学品。</w:t>
                  </w:r>
                </w:p>
              </w:tc>
              <w:tc>
                <w:tcPr>
                  <w:tcW w:w="510" w:type="dxa"/>
                  <w:vAlign w:val="center"/>
                </w:tcPr>
                <w:p w14:paraId="3E565AD9">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59EE9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13" w:hRule="atLeast"/>
              </w:trPr>
              <w:tc>
                <w:tcPr>
                  <w:tcW w:w="321" w:type="dxa"/>
                  <w:vMerge w:val="restart"/>
                  <w:vAlign w:val="center"/>
                </w:tcPr>
                <w:p w14:paraId="2C466C83">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规划产业要求</w:t>
                  </w:r>
                </w:p>
              </w:tc>
              <w:tc>
                <w:tcPr>
                  <w:tcW w:w="586" w:type="dxa"/>
                  <w:vAlign w:val="center"/>
                </w:tcPr>
                <w:p w14:paraId="76AA77BF">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现状产业区</w:t>
                  </w:r>
                </w:p>
              </w:tc>
              <w:tc>
                <w:tcPr>
                  <w:tcW w:w="3375" w:type="dxa"/>
                  <w:vAlign w:val="center"/>
                </w:tcPr>
                <w:p w14:paraId="4DA53878">
                  <w:pPr>
                    <w:adjustRightInd w:val="0"/>
                    <w:snapToGrid w:val="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允许现有煤磷盐化工及配套产业进行环保提升改造。</w:t>
                  </w:r>
                </w:p>
              </w:tc>
              <w:tc>
                <w:tcPr>
                  <w:tcW w:w="3225" w:type="dxa"/>
                  <w:vAlign w:val="center"/>
                </w:tcPr>
                <w:p w14:paraId="7CA5F44D">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本项目为</w:t>
                  </w:r>
                  <w:r>
                    <w:rPr>
                      <w:rFonts w:hint="eastAsia"/>
                      <w:color w:val="000000" w:themeColor="text1"/>
                      <w:szCs w:val="21"/>
                      <w14:textFill>
                        <w14:solidFill>
                          <w14:schemeClr w14:val="tx1"/>
                        </w14:solidFill>
                      </w14:textFill>
                    </w:rPr>
                    <w:t>新</w:t>
                  </w:r>
                  <w:r>
                    <w:rPr>
                      <w:color w:val="000000" w:themeColor="text1"/>
                      <w:szCs w:val="21"/>
                      <w14:textFill>
                        <w14:solidFill>
                          <w14:schemeClr w14:val="tx1"/>
                        </w14:solidFill>
                      </w14:textFill>
                    </w:rPr>
                    <w:t>建项目，不涉及该条内容。</w:t>
                  </w:r>
                </w:p>
              </w:tc>
              <w:tc>
                <w:tcPr>
                  <w:tcW w:w="510" w:type="dxa"/>
                  <w:vAlign w:val="center"/>
                </w:tcPr>
                <w:p w14:paraId="23950B28">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2F438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13" w:hRule="atLeast"/>
              </w:trPr>
              <w:tc>
                <w:tcPr>
                  <w:tcW w:w="321" w:type="dxa"/>
                  <w:vMerge w:val="continue"/>
                  <w:vAlign w:val="center"/>
                </w:tcPr>
                <w:p w14:paraId="6AFDDDCC">
                  <w:pPr>
                    <w:adjustRightInd w:val="0"/>
                    <w:snapToGrid w:val="0"/>
                    <w:jc w:val="center"/>
                    <w:rPr>
                      <w:color w:val="000000" w:themeColor="text1"/>
                      <w:szCs w:val="21"/>
                      <w14:textFill>
                        <w14:solidFill>
                          <w14:schemeClr w14:val="tx1"/>
                        </w14:solidFill>
                      </w14:textFill>
                    </w:rPr>
                  </w:pPr>
                </w:p>
              </w:tc>
              <w:tc>
                <w:tcPr>
                  <w:tcW w:w="586" w:type="dxa"/>
                  <w:vAlign w:val="center"/>
                </w:tcPr>
                <w:p w14:paraId="67D71560">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绿色建材产业</w:t>
                  </w:r>
                </w:p>
              </w:tc>
              <w:tc>
                <w:tcPr>
                  <w:tcW w:w="3375" w:type="dxa"/>
                  <w:vMerge w:val="restart"/>
                  <w:vAlign w:val="center"/>
                </w:tcPr>
                <w:p w14:paraId="5CEF111A">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禁止生产废水不能循环回用，且向牛栏江流域排放生产废水的企业入驻。</w:t>
                  </w:r>
                </w:p>
              </w:tc>
              <w:tc>
                <w:tcPr>
                  <w:tcW w:w="3225" w:type="dxa"/>
                  <w:vMerge w:val="restart"/>
                  <w:vAlign w:val="center"/>
                </w:tcPr>
                <w:p w14:paraId="24BBC313">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本项目生产废水收集后回用于发酵，不外排。</w:t>
                  </w:r>
                </w:p>
              </w:tc>
              <w:tc>
                <w:tcPr>
                  <w:tcW w:w="510" w:type="dxa"/>
                  <w:vMerge w:val="restart"/>
                  <w:vAlign w:val="center"/>
                </w:tcPr>
                <w:p w14:paraId="32EE2B7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34788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13" w:hRule="atLeast"/>
              </w:trPr>
              <w:tc>
                <w:tcPr>
                  <w:tcW w:w="321" w:type="dxa"/>
                  <w:vMerge w:val="continue"/>
                  <w:vAlign w:val="center"/>
                </w:tcPr>
                <w:p w14:paraId="767C3298">
                  <w:pPr>
                    <w:adjustRightInd w:val="0"/>
                    <w:snapToGrid w:val="0"/>
                    <w:jc w:val="center"/>
                    <w:rPr>
                      <w:color w:val="000000" w:themeColor="text1"/>
                      <w:szCs w:val="21"/>
                      <w14:textFill>
                        <w14:solidFill>
                          <w14:schemeClr w14:val="tx1"/>
                        </w14:solidFill>
                      </w14:textFill>
                    </w:rPr>
                  </w:pPr>
                </w:p>
              </w:tc>
              <w:tc>
                <w:tcPr>
                  <w:tcW w:w="586" w:type="dxa"/>
                  <w:vAlign w:val="center"/>
                </w:tcPr>
                <w:p w14:paraId="5EBE24E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先进装备制造产业</w:t>
                  </w:r>
                </w:p>
              </w:tc>
              <w:tc>
                <w:tcPr>
                  <w:tcW w:w="3375" w:type="dxa"/>
                  <w:vMerge w:val="continue"/>
                  <w:vAlign w:val="center"/>
                </w:tcPr>
                <w:p w14:paraId="21AD5D53">
                  <w:pPr>
                    <w:adjustRightInd w:val="0"/>
                    <w:snapToGrid w:val="0"/>
                    <w:jc w:val="left"/>
                    <w:rPr>
                      <w:color w:val="000000" w:themeColor="text1"/>
                      <w:szCs w:val="21"/>
                      <w14:textFill>
                        <w14:solidFill>
                          <w14:schemeClr w14:val="tx1"/>
                        </w14:solidFill>
                      </w14:textFill>
                    </w:rPr>
                  </w:pPr>
                </w:p>
              </w:tc>
              <w:tc>
                <w:tcPr>
                  <w:tcW w:w="3225" w:type="dxa"/>
                  <w:vMerge w:val="continue"/>
                  <w:vAlign w:val="center"/>
                </w:tcPr>
                <w:p w14:paraId="278F6388">
                  <w:pPr>
                    <w:adjustRightInd w:val="0"/>
                    <w:snapToGrid w:val="0"/>
                    <w:jc w:val="center"/>
                    <w:rPr>
                      <w:color w:val="000000" w:themeColor="text1"/>
                      <w:szCs w:val="21"/>
                      <w14:textFill>
                        <w14:solidFill>
                          <w14:schemeClr w14:val="tx1"/>
                        </w14:solidFill>
                      </w14:textFill>
                    </w:rPr>
                  </w:pPr>
                </w:p>
              </w:tc>
              <w:tc>
                <w:tcPr>
                  <w:tcW w:w="510" w:type="dxa"/>
                  <w:vMerge w:val="continue"/>
                  <w:vAlign w:val="center"/>
                </w:tcPr>
                <w:p w14:paraId="0F5BB563">
                  <w:pPr>
                    <w:adjustRightInd w:val="0"/>
                    <w:snapToGrid w:val="0"/>
                    <w:jc w:val="center"/>
                    <w:rPr>
                      <w:color w:val="000000" w:themeColor="text1"/>
                      <w:szCs w:val="21"/>
                      <w14:textFill>
                        <w14:solidFill>
                          <w14:schemeClr w14:val="tx1"/>
                        </w14:solidFill>
                      </w14:textFill>
                    </w:rPr>
                  </w:pPr>
                </w:p>
              </w:tc>
            </w:tr>
            <w:tr w14:paraId="4EA44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13" w:hRule="atLeast"/>
              </w:trPr>
              <w:tc>
                <w:tcPr>
                  <w:tcW w:w="321" w:type="dxa"/>
                  <w:vMerge w:val="continue"/>
                  <w:vAlign w:val="center"/>
                </w:tcPr>
                <w:p w14:paraId="70B8C0D3">
                  <w:pPr>
                    <w:adjustRightInd w:val="0"/>
                    <w:snapToGrid w:val="0"/>
                    <w:jc w:val="center"/>
                    <w:rPr>
                      <w:color w:val="000000" w:themeColor="text1"/>
                      <w:szCs w:val="21"/>
                      <w14:textFill>
                        <w14:solidFill>
                          <w14:schemeClr w14:val="tx1"/>
                        </w14:solidFill>
                      </w14:textFill>
                    </w:rPr>
                  </w:pPr>
                </w:p>
              </w:tc>
              <w:tc>
                <w:tcPr>
                  <w:tcW w:w="586" w:type="dxa"/>
                  <w:vAlign w:val="center"/>
                </w:tcPr>
                <w:p w14:paraId="661CA2DC">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非烟轻工产业</w:t>
                  </w:r>
                </w:p>
              </w:tc>
              <w:tc>
                <w:tcPr>
                  <w:tcW w:w="3375" w:type="dxa"/>
                  <w:vAlign w:val="center"/>
                </w:tcPr>
                <w:p w14:paraId="5EF0DC01">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①木材加工及家具制造业：禁止含有制胶工艺的企业入驻。</w:t>
                  </w:r>
                </w:p>
                <w:p w14:paraId="6355ACBC">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②食品业：要求规上企业工业用水重复利用率＞65%。</w:t>
                  </w:r>
                </w:p>
              </w:tc>
              <w:tc>
                <w:tcPr>
                  <w:tcW w:w="3225" w:type="dxa"/>
                  <w:vAlign w:val="center"/>
                </w:tcPr>
                <w:p w14:paraId="34583456">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①本项目不属于含有制胶工艺的木材加工及家具制造。</w:t>
                  </w:r>
                </w:p>
                <w:p w14:paraId="498636B5">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②本项目不属于食品业。</w:t>
                  </w:r>
                </w:p>
              </w:tc>
              <w:tc>
                <w:tcPr>
                  <w:tcW w:w="510" w:type="dxa"/>
                  <w:vAlign w:val="center"/>
                </w:tcPr>
                <w:p w14:paraId="1207D098">
                  <w:pPr>
                    <w:adjustRightInd w:val="0"/>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符合</w:t>
                  </w:r>
                </w:p>
              </w:tc>
            </w:tr>
            <w:tr w14:paraId="5A09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13" w:hRule="atLeast"/>
              </w:trPr>
              <w:tc>
                <w:tcPr>
                  <w:tcW w:w="321" w:type="dxa"/>
                  <w:vMerge w:val="continue"/>
                  <w:vAlign w:val="center"/>
                </w:tcPr>
                <w:p w14:paraId="2D556305">
                  <w:pPr>
                    <w:adjustRightInd w:val="0"/>
                    <w:snapToGrid w:val="0"/>
                    <w:jc w:val="center"/>
                    <w:rPr>
                      <w:color w:val="000000" w:themeColor="text1"/>
                      <w:szCs w:val="21"/>
                      <w14:textFill>
                        <w14:solidFill>
                          <w14:schemeClr w14:val="tx1"/>
                        </w14:solidFill>
                      </w14:textFill>
                    </w:rPr>
                  </w:pPr>
                </w:p>
              </w:tc>
              <w:tc>
                <w:tcPr>
                  <w:tcW w:w="586" w:type="dxa"/>
                  <w:vAlign w:val="center"/>
                </w:tcPr>
                <w:p w14:paraId="0BA98FCB">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绿色化工</w:t>
                  </w:r>
                </w:p>
              </w:tc>
              <w:tc>
                <w:tcPr>
                  <w:tcW w:w="3375" w:type="dxa"/>
                  <w:vAlign w:val="center"/>
                </w:tcPr>
                <w:p w14:paraId="2441C699">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①园区规划在金所片区天生桥组团设置化工园区，建议园区尽快按化工园区的设立要求设立化工园区，并申请省级业务主管部门进行认定。</w:t>
                  </w:r>
                </w:p>
                <w:p w14:paraId="6B5F8E1F">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②金所片区金所组团禁止新建、改建、扩建化工生产线项目。</w:t>
                  </w:r>
                </w:p>
              </w:tc>
              <w:tc>
                <w:tcPr>
                  <w:tcW w:w="3225" w:type="dxa"/>
                  <w:vAlign w:val="center"/>
                </w:tcPr>
                <w:p w14:paraId="13E7C7A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本项目位于云南寻甸产业园区金所片区金所组团内，</w:t>
                  </w:r>
                  <w:r>
                    <w:rPr>
                      <w:rFonts w:hint="eastAsia"/>
                      <w:b w:val="0"/>
                      <w:color w:val="000000" w:themeColor="text1"/>
                      <w14:textFill>
                        <w14:solidFill>
                          <w14:schemeClr w14:val="tx1"/>
                        </w14:solidFill>
                      </w14:textFill>
                    </w:rPr>
                    <w:t>为肥料制造项目，生产有机肥料，根据寻甸县科学技术和工业信息化局情况说明（见附件10），不按照化工项目进行管理</w:t>
                  </w:r>
                  <w:r>
                    <w:rPr>
                      <w:b w:val="0"/>
                      <w:color w:val="000000" w:themeColor="text1"/>
                      <w14:textFill>
                        <w14:solidFill>
                          <w14:schemeClr w14:val="tx1"/>
                        </w14:solidFill>
                      </w14:textFill>
                    </w:rPr>
                    <w:t>。</w:t>
                  </w:r>
                </w:p>
              </w:tc>
              <w:tc>
                <w:tcPr>
                  <w:tcW w:w="510" w:type="dxa"/>
                  <w:vAlign w:val="center"/>
                </w:tcPr>
                <w:p w14:paraId="735E4082">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17B9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113" w:hRule="atLeast"/>
              </w:trPr>
              <w:tc>
                <w:tcPr>
                  <w:tcW w:w="321" w:type="dxa"/>
                  <w:vMerge w:val="continue"/>
                  <w:vAlign w:val="center"/>
                </w:tcPr>
                <w:p w14:paraId="2A593206">
                  <w:pPr>
                    <w:adjustRightInd w:val="0"/>
                    <w:snapToGrid w:val="0"/>
                    <w:jc w:val="center"/>
                    <w:rPr>
                      <w:color w:val="000000" w:themeColor="text1"/>
                      <w:szCs w:val="21"/>
                      <w14:textFill>
                        <w14:solidFill>
                          <w14:schemeClr w14:val="tx1"/>
                        </w14:solidFill>
                      </w14:textFill>
                    </w:rPr>
                  </w:pPr>
                </w:p>
              </w:tc>
              <w:tc>
                <w:tcPr>
                  <w:tcW w:w="586" w:type="dxa"/>
                  <w:vAlign w:val="center"/>
                </w:tcPr>
                <w:p w14:paraId="409AD394">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生物医药</w:t>
                  </w:r>
                </w:p>
              </w:tc>
              <w:tc>
                <w:tcPr>
                  <w:tcW w:w="3375" w:type="dxa"/>
                  <w:vAlign w:val="center"/>
                </w:tcPr>
                <w:p w14:paraId="3FCDFD65">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满足《云南省“十四五”生物医药产业创新发展规划要求》。</w:t>
                  </w:r>
                </w:p>
              </w:tc>
              <w:tc>
                <w:tcPr>
                  <w:tcW w:w="3225" w:type="dxa"/>
                  <w:vAlign w:val="center"/>
                </w:tcPr>
                <w:p w14:paraId="2BA5D8B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本项目不属于生物医疗项目，不涉及该条内容。</w:t>
                  </w:r>
                </w:p>
              </w:tc>
              <w:tc>
                <w:tcPr>
                  <w:tcW w:w="510" w:type="dxa"/>
                  <w:vAlign w:val="center"/>
                </w:tcPr>
                <w:p w14:paraId="174EE4BF">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bl>
          <w:p w14:paraId="3917E52D">
            <w:pPr>
              <w:spacing w:line="360" w:lineRule="auto"/>
              <w:ind w:firstLine="480" w:firstLineChars="200"/>
              <w:jc w:val="left"/>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根据上表分析，本项目不属于园区环境准入负面清单规定的范围内，符合环境准入负面清单要求</w:t>
            </w:r>
            <w:r>
              <w:rPr>
                <w:rFonts w:hint="eastAsia"/>
                <w:color w:val="000000" w:themeColor="text1"/>
                <w:sz w:val="24"/>
                <w14:textFill>
                  <w14:solidFill>
                    <w14:schemeClr w14:val="tx1"/>
                  </w14:solidFill>
                </w14:textFill>
              </w:rPr>
              <w:t>。</w:t>
            </w:r>
          </w:p>
          <w:p w14:paraId="5C14F52C">
            <w:pPr>
              <w:adjustRightInd w:val="0"/>
              <w:snapToGrid w:val="0"/>
              <w:spacing w:line="360" w:lineRule="auto"/>
              <w:ind w:firstLine="482" w:firstLineChars="200"/>
              <w:rPr>
                <w:color w:val="000000" w:themeColor="text1"/>
                <w:sz w:val="24"/>
                <w14:textFill>
                  <w14:solidFill>
                    <w14:schemeClr w14:val="tx1"/>
                  </w14:solidFill>
                </w14:textFill>
              </w:rPr>
            </w:pPr>
            <w:r>
              <w:rPr>
                <w:b/>
                <w:color w:val="000000" w:themeColor="text1"/>
                <w:sz w:val="24"/>
                <w14:textFill>
                  <w14:solidFill>
                    <w14:schemeClr w14:val="tx1"/>
                  </w14:solidFill>
                </w14:textFill>
              </w:rPr>
              <w:t>（3）本项目与规划环评审查意见（昆环审[2023]5号）的符合性分析</w:t>
            </w:r>
          </w:p>
          <w:p w14:paraId="1010A5F8">
            <w:pPr>
              <w:adjustRightInd w:val="0"/>
              <w:snapToGrid w:val="0"/>
              <w:spacing w:line="360" w:lineRule="auto"/>
              <w:ind w:firstLine="480" w:firstLineChars="200"/>
              <w:rPr>
                <w:color w:val="000000" w:themeColor="text1"/>
                <w:sz w:val="24"/>
                <w:lang w:val="zh-CN"/>
                <w14:textFill>
                  <w14:solidFill>
                    <w14:schemeClr w14:val="tx1"/>
                  </w14:solidFill>
                </w14:textFill>
              </w:rPr>
            </w:pPr>
            <w:r>
              <w:rPr>
                <w:color w:val="000000" w:themeColor="text1"/>
                <w:sz w:val="24"/>
                <w14:textFill>
                  <w14:solidFill>
                    <w14:schemeClr w14:val="tx1"/>
                  </w14:solidFill>
                </w14:textFill>
              </w:rPr>
              <w:t>项目与规划环评审查意见</w:t>
            </w:r>
            <w:r>
              <w:rPr>
                <w:color w:val="000000" w:themeColor="text1"/>
                <w:sz w:val="24"/>
                <w:lang w:val="zh-CN"/>
                <w14:textFill>
                  <w14:solidFill>
                    <w14:schemeClr w14:val="tx1"/>
                  </w14:solidFill>
                </w14:textFill>
              </w:rPr>
              <w:t>对照情况如下：</w:t>
            </w:r>
          </w:p>
          <w:p w14:paraId="0A3AC981">
            <w:pPr>
              <w:pStyle w:val="58"/>
              <w:rPr>
                <w:color w:val="000000" w:themeColor="text1"/>
                <w14:textFill>
                  <w14:solidFill>
                    <w14:schemeClr w14:val="tx1"/>
                  </w14:solidFill>
                </w14:textFill>
              </w:rPr>
            </w:pPr>
            <w:r>
              <w:rPr>
                <w:color w:val="000000" w:themeColor="text1"/>
                <w14:textFill>
                  <w14:solidFill>
                    <w14:schemeClr w14:val="tx1"/>
                  </w14:solidFill>
                </w14:textFill>
              </w:rPr>
              <w:t>表1-4  与审查意见相符性分析</w:t>
            </w:r>
          </w:p>
          <w:tbl>
            <w:tblPr>
              <w:tblStyle w:val="25"/>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6"/>
              <w:gridCol w:w="3141"/>
              <w:gridCol w:w="690"/>
            </w:tblGrid>
            <w:tr w14:paraId="4FAD5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6" w:type="dxa"/>
                  <w:vAlign w:val="center"/>
                </w:tcPr>
                <w:p w14:paraId="6699693B">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审查意见提出要求</w:t>
                  </w:r>
                </w:p>
              </w:tc>
              <w:tc>
                <w:tcPr>
                  <w:tcW w:w="3141" w:type="dxa"/>
                  <w:vAlign w:val="center"/>
                </w:tcPr>
                <w:p w14:paraId="6DFE4522">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本项目情况</w:t>
                  </w:r>
                </w:p>
              </w:tc>
              <w:tc>
                <w:tcPr>
                  <w:tcW w:w="690" w:type="dxa"/>
                  <w:vAlign w:val="center"/>
                </w:tcPr>
                <w:p w14:paraId="1C5909B6">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相符性</w:t>
                  </w:r>
                </w:p>
              </w:tc>
            </w:tr>
            <w:tr w14:paraId="4623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6" w:type="dxa"/>
                  <w:vAlign w:val="center"/>
                </w:tcPr>
                <w:p w14:paraId="7619BFE5">
                  <w:pPr>
                    <w:rPr>
                      <w:color w:val="000000" w:themeColor="text1"/>
                      <w:szCs w:val="21"/>
                      <w14:textFill>
                        <w14:solidFill>
                          <w14:schemeClr w14:val="tx1"/>
                        </w14:solidFill>
                      </w14:textFill>
                    </w:rPr>
                  </w:pPr>
                  <w:r>
                    <w:rPr>
                      <w:color w:val="000000" w:themeColor="text1"/>
                      <w:szCs w:val="21"/>
                      <w14:textFill>
                        <w14:solidFill>
                          <w14:schemeClr w14:val="tx1"/>
                        </w14:solidFill>
                      </w14:textFill>
                    </w:rPr>
                    <w:t>严守环境质量底线、严格新入园项目及现有项目环境管理。制定主要污染物区域削减方案，建立健全主要污染物管理台账，采取有效措施减少氮氧化物、二氧化硫、挥发性有机物、化学需氧量、氨氮等污染物排放总量，确保区域环境质量持续改善。</w:t>
                  </w:r>
                </w:p>
                <w:p w14:paraId="7531CC7A">
                  <w:pPr>
                    <w:rPr>
                      <w:color w:val="000000" w:themeColor="text1"/>
                      <w:szCs w:val="21"/>
                      <w14:textFill>
                        <w14:solidFill>
                          <w14:schemeClr w14:val="tx1"/>
                        </w14:solidFill>
                      </w14:textFill>
                    </w:rPr>
                  </w:pPr>
                  <w:r>
                    <w:rPr>
                      <w:color w:val="000000" w:themeColor="text1"/>
                      <w:szCs w:val="21"/>
                      <w14:textFill>
                        <w14:solidFill>
                          <w14:schemeClr w14:val="tx1"/>
                        </w14:solidFill>
                      </w14:textFill>
                    </w:rPr>
                    <w:t>入园企业应采用先进的生产工艺路线、设备、清洁能源与原料，从源头上控制污染物的产生。高度重视园区废水收集.处理、回用、排放的环境管理。实施“雨污分流”，加强天生桥组团、金所组团初期雨水的收集、处理，加快园区污水处理厂再生水处理设施及配套管网建设。严格落实牛栏江流域严禁新改扩建工业废水排污口的要求:强化园区生活污水收集处理回用，加强区域水环境综合整治，确保实现区域水环境质量改善目标。</w:t>
                  </w:r>
                </w:p>
                <w:p w14:paraId="403B2CE9">
                  <w:pPr>
                    <w:rPr>
                      <w:color w:val="000000" w:themeColor="text1"/>
                      <w:szCs w:val="21"/>
                      <w14:textFill>
                        <w14:solidFill>
                          <w14:schemeClr w14:val="tx1"/>
                        </w14:solidFill>
                      </w14:textFill>
                    </w:rPr>
                  </w:pPr>
                  <w:r>
                    <w:rPr>
                      <w:color w:val="000000" w:themeColor="text1"/>
                      <w:szCs w:val="21"/>
                      <w14:textFill>
                        <w14:solidFill>
                          <w14:schemeClr w14:val="tx1"/>
                        </w14:solidFill>
                      </w14:textFill>
                    </w:rPr>
                    <w:t>园区在产业布局和入园项目建设时应充分考虑对地下水环境影响，按照《报告书》提出的重点保护区、重点控制区、其他区域三类区域进行分级管控。严格水文地质、工程地质勘察做好地下水污染防治和监控，按相关规范要求采取针对性防渗措施，严格执行《地下水管理条例》等相关规定。</w:t>
                  </w:r>
                </w:p>
                <w:p w14:paraId="45883EBB">
                  <w:pPr>
                    <w:rPr>
                      <w:color w:val="000000" w:themeColor="text1"/>
                      <w:szCs w:val="21"/>
                      <w14:textFill>
                        <w14:solidFill>
                          <w14:schemeClr w14:val="tx1"/>
                        </w14:solidFill>
                      </w14:textFill>
                    </w:rPr>
                  </w:pPr>
                  <w:r>
                    <w:rPr>
                      <w:color w:val="000000" w:themeColor="text1"/>
                      <w:szCs w:val="21"/>
                      <w14:textFill>
                        <w14:solidFill>
                          <w14:schemeClr w14:val="tx1"/>
                        </w14:solidFill>
                      </w14:textFill>
                    </w:rPr>
                    <w:t>将土壤污染防治工作纳入园区规划及相关生态环境保护规划，采取有效预防措施，防止、减少土壤污染，确保满足土壤环境管控要求。</w:t>
                  </w:r>
                </w:p>
              </w:tc>
              <w:tc>
                <w:tcPr>
                  <w:tcW w:w="3141" w:type="dxa"/>
                  <w:vAlign w:val="center"/>
                </w:tcPr>
                <w:p w14:paraId="7BEB2134">
                  <w:pPr>
                    <w:pStyle w:val="74"/>
                    <w:jc w:val="both"/>
                    <w:rPr>
                      <w:b w:val="0"/>
                      <w:bCs/>
                      <w:color w:val="000000" w:themeColor="text1"/>
                      <w14:textFill>
                        <w14:solidFill>
                          <w14:schemeClr w14:val="tx1"/>
                        </w14:solidFill>
                      </w14:textFill>
                    </w:rPr>
                  </w:pPr>
                  <w:r>
                    <w:rPr>
                      <w:b w:val="0"/>
                      <w:color w:val="000000" w:themeColor="text1"/>
                      <w14:textFill>
                        <w14:solidFill>
                          <w14:schemeClr w14:val="tx1"/>
                        </w14:solidFill>
                      </w14:textFill>
                    </w:rPr>
                    <w:t>本项目</w:t>
                  </w:r>
                  <w:r>
                    <w:rPr>
                      <w:rFonts w:hint="eastAsia"/>
                      <w:b w:val="0"/>
                      <w:color w:val="000000" w:themeColor="text1"/>
                      <w14:textFill>
                        <w14:solidFill>
                          <w14:schemeClr w14:val="tx1"/>
                        </w14:solidFill>
                      </w14:textFill>
                    </w:rPr>
                    <w:t>生产过程中废水全部回用不外排</w:t>
                  </w:r>
                  <w:r>
                    <w:rPr>
                      <w:b w:val="0"/>
                      <w:color w:val="000000" w:themeColor="text1"/>
                      <w14:textFill>
                        <w14:solidFill>
                          <w14:schemeClr w14:val="tx1"/>
                        </w14:solidFill>
                      </w14:textFill>
                    </w:rPr>
                    <w:t>；</w:t>
                  </w:r>
                  <w:r>
                    <w:rPr>
                      <w:rFonts w:hint="eastAsia"/>
                      <w:b w:val="0"/>
                      <w:color w:val="000000" w:themeColor="text1"/>
                      <w14:textFill>
                        <w14:solidFill>
                          <w14:schemeClr w14:val="tx1"/>
                        </w14:solidFill>
                      </w14:textFill>
                    </w:rPr>
                    <w:t>员工不在项目区食宿，办公生活和如厕依托云南建工云岭水泥有限公司已建的设施，生活污水依托已建的污水处理设施进行处理。</w:t>
                  </w:r>
                  <w:r>
                    <w:rPr>
                      <w:b w:val="0"/>
                      <w:bCs/>
                      <w:color w:val="000000" w:themeColor="text1"/>
                      <w14:textFill>
                        <w14:solidFill>
                          <w14:schemeClr w14:val="tx1"/>
                        </w14:solidFill>
                      </w14:textFill>
                    </w:rPr>
                    <w:t>本项目</w:t>
                  </w:r>
                  <w:r>
                    <w:rPr>
                      <w:rFonts w:hint="eastAsia"/>
                      <w:b w:val="0"/>
                      <w:bCs/>
                      <w:color w:val="000000" w:themeColor="text1"/>
                      <w14:textFill>
                        <w14:solidFill>
                          <w14:schemeClr w14:val="tx1"/>
                        </w14:solidFill>
                      </w14:textFill>
                    </w:rPr>
                    <w:t>为肥料制造项目，生产过程中通过严格控制原料的含水率减少粉尘的产生，并设置雾炮机，所有生产工序均位于密闭的车间内，少量粉尘经雾炮机洒水降尘和车间阻隔后无组织排放；发酵过程中产生的异味通过厂房密闭+喷洒生物除臭剂进行控制。</w:t>
                  </w:r>
                  <w:r>
                    <w:rPr>
                      <w:b w:val="0"/>
                      <w:bCs/>
                      <w:color w:val="000000" w:themeColor="text1"/>
                      <w14:textFill>
                        <w14:solidFill>
                          <w14:schemeClr w14:val="tx1"/>
                        </w14:solidFill>
                      </w14:textFill>
                    </w:rPr>
                    <w:t>项目采取的污染治理措施可有效减少主要污染物等特征污染物的排放总量，能够确保区域环境质量得到改善。</w:t>
                  </w:r>
                </w:p>
                <w:p w14:paraId="5E22421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本项目的建设符合国家和云南省有关地下水、土壤污染防治措施及相关要求。本项目使用自来水，不抽取地下水；严格执行土壤及生态保护措施。</w:t>
                  </w:r>
                </w:p>
              </w:tc>
              <w:tc>
                <w:tcPr>
                  <w:tcW w:w="690" w:type="dxa"/>
                  <w:vAlign w:val="center"/>
                </w:tcPr>
                <w:p w14:paraId="4215DB9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相符</w:t>
                  </w:r>
                </w:p>
              </w:tc>
            </w:tr>
            <w:tr w14:paraId="2A5EA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6" w:type="dxa"/>
                  <w:vAlign w:val="center"/>
                </w:tcPr>
                <w:p w14:paraId="046B484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立环境风险防控体系，提高环境应急能力，加强区内重要环境风险源管控，严控高风险产业发展规模。强化园区危险化学品储运的环境风险管理，加强金所组团现有煤、磷盐化工企业和天生桥组团磷化工企业环境风险管控。制定厂区园区、区域三级防控措施，强化园区环境监测与预警能力建设环境风险应急与防范措施，建立应急响应联动机制和风险防控体系。重点关注地表水环境风险防控措施，应确保事故状态下工业废水零排放。编制突发环境事件应急预案，防范环境风险避免事故排放，保障区域环境安全。</w:t>
                  </w:r>
                </w:p>
              </w:tc>
              <w:tc>
                <w:tcPr>
                  <w:tcW w:w="3141" w:type="dxa"/>
                  <w:vAlign w:val="center"/>
                </w:tcPr>
                <w:p w14:paraId="3C37AD5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本项目</w:t>
                  </w:r>
                  <w:r>
                    <w:rPr>
                      <w:rFonts w:hint="eastAsia"/>
                      <w:color w:val="000000" w:themeColor="text1"/>
                      <w:szCs w:val="21"/>
                      <w14:textFill>
                        <w14:solidFill>
                          <w14:schemeClr w14:val="tx1"/>
                        </w14:solidFill>
                      </w14:textFill>
                    </w:rPr>
                    <w:t>产生的废机油暂存于危废暂存库，危废暂存库按照环境风险相关要求进行防范建设。项目</w:t>
                  </w:r>
                  <w:r>
                    <w:rPr>
                      <w:color w:val="000000" w:themeColor="text1"/>
                      <w:szCs w:val="21"/>
                      <w14:textFill>
                        <w14:solidFill>
                          <w14:schemeClr w14:val="tx1"/>
                        </w14:solidFill>
                      </w14:textFill>
                    </w:rPr>
                    <w:t>不属于煤、磷盐化工企业，在采取相应的措施后，环境风险能达可接受水平。</w:t>
                  </w:r>
                </w:p>
              </w:tc>
              <w:tc>
                <w:tcPr>
                  <w:tcW w:w="690" w:type="dxa"/>
                  <w:vAlign w:val="center"/>
                </w:tcPr>
                <w:p w14:paraId="36D54D1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相符</w:t>
                  </w:r>
                </w:p>
              </w:tc>
            </w:tr>
            <w:tr w14:paraId="34B4C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86" w:type="dxa"/>
                  <w:vAlign w:val="center"/>
                </w:tcPr>
                <w:p w14:paraId="258AF34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拟入园建设项目，应结合规划环评提出的指导意见做好环境影响评价工作，严格落实《报告书》提出的要求，加强与规划环评的联动。在项目环境影响评价中应重点开展工程分析、污染物允许排放量测算和环保措施的可行性论证等内容，执行污染物排放总量控制制度，强化环境监测和环境管理措施的落实。对符合规划环评环境管控要求和生态环境准入清单的具体建设项目，环评文件中选址、环境现状调查与评价结果仍具有时效性时，建设项目相应环境影响评价内容可结合实际情况</w:t>
                  </w:r>
                  <w:r>
                    <w:rPr>
                      <w:rFonts w:hint="eastAsia"/>
                      <w:color w:val="000000" w:themeColor="text1"/>
                      <w:szCs w:val="21"/>
                      <w14:textFill>
                        <w14:solidFill>
                          <w14:schemeClr w14:val="tx1"/>
                        </w14:solidFill>
                      </w14:textFill>
                    </w:rPr>
                    <w:t>予以</w:t>
                  </w:r>
                  <w:r>
                    <w:rPr>
                      <w:color w:val="000000" w:themeColor="text1"/>
                      <w:szCs w:val="21"/>
                      <w14:textFill>
                        <w14:solidFill>
                          <w14:schemeClr w14:val="tx1"/>
                        </w14:solidFill>
                      </w14:textFill>
                    </w:rPr>
                    <w:t>简化。</w:t>
                  </w:r>
                </w:p>
              </w:tc>
              <w:tc>
                <w:tcPr>
                  <w:tcW w:w="3141" w:type="dxa"/>
                  <w:vAlign w:val="center"/>
                </w:tcPr>
                <w:p w14:paraId="2CFD1A0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本次评价结合了规划环评提出的指导意见，落实了规划环评提出的要求，加强与规划环评的联动，重点开展了工程分析、污染物允许排放量测算和环保措施的可行性论证等内容，强化环境监测和环境保护相关措施的落实。</w:t>
                  </w:r>
                </w:p>
              </w:tc>
              <w:tc>
                <w:tcPr>
                  <w:tcW w:w="690" w:type="dxa"/>
                  <w:vAlign w:val="center"/>
                </w:tcPr>
                <w:p w14:paraId="4C2EB8C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相符</w:t>
                  </w:r>
                </w:p>
              </w:tc>
            </w:tr>
          </w:tbl>
          <w:p w14:paraId="0A5CE9F1">
            <w:pPr>
              <w:autoSpaceDE w:val="0"/>
              <w:autoSpaceDN w:val="0"/>
              <w:adjustRightInd w:val="0"/>
              <w:snapToGrid w:val="0"/>
              <w:spacing w:line="360" w:lineRule="auto"/>
              <w:ind w:firstLine="480" w:firstLineChars="200"/>
              <w:rPr>
                <w:color w:val="000000" w:themeColor="text1"/>
                <w:kern w:val="0"/>
                <w:szCs w:val="21"/>
                <w14:textFill>
                  <w14:solidFill>
                    <w14:schemeClr w14:val="tx1"/>
                  </w14:solidFill>
                </w14:textFill>
              </w:rPr>
            </w:pPr>
            <w:r>
              <w:rPr>
                <w:color w:val="000000" w:themeColor="text1"/>
                <w:sz w:val="24"/>
                <w14:textFill>
                  <w14:solidFill>
                    <w14:schemeClr w14:val="tx1"/>
                  </w14:solidFill>
                </w14:textFill>
              </w:rPr>
              <w:t>综上所述，项目建设与《云南寻甸产业园区总体规划修编（2021-2035）环境影响报告书》及审查意见的函（昆环审[2023]5号）</w:t>
            </w:r>
            <w:r>
              <w:rPr>
                <w:rFonts w:hint="eastAsia"/>
                <w:color w:val="000000" w:themeColor="text1"/>
                <w:sz w:val="24"/>
                <w14:textFill>
                  <w14:solidFill>
                    <w14:schemeClr w14:val="tx1"/>
                  </w14:solidFill>
                </w14:textFill>
              </w:rPr>
              <w:t>不冲突</w:t>
            </w:r>
            <w:r>
              <w:rPr>
                <w:color w:val="000000" w:themeColor="text1"/>
                <w:sz w:val="24"/>
                <w14:textFill>
                  <w14:solidFill>
                    <w14:schemeClr w14:val="tx1"/>
                  </w14:solidFill>
                </w14:textFill>
              </w:rPr>
              <w:t>。</w:t>
            </w:r>
          </w:p>
        </w:tc>
      </w:tr>
      <w:tr w14:paraId="4403DE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892" w:type="dxa"/>
            <w:vAlign w:val="center"/>
          </w:tcPr>
          <w:p w14:paraId="53A1E465">
            <w:pPr>
              <w:autoSpaceDE w:val="0"/>
              <w:autoSpaceDN w:val="0"/>
              <w:adjustRightInd w:val="0"/>
              <w:snapToGrid w:val="0"/>
              <w:spacing w:line="360" w:lineRule="auto"/>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其他符合性分析</w:t>
            </w:r>
          </w:p>
        </w:tc>
        <w:tc>
          <w:tcPr>
            <w:tcW w:w="8371" w:type="dxa"/>
            <w:gridSpan w:val="4"/>
            <w:vAlign w:val="center"/>
          </w:tcPr>
          <w:p w14:paraId="6C71F056">
            <w:pPr>
              <w:autoSpaceDE w:val="0"/>
              <w:autoSpaceDN w:val="0"/>
              <w:adjustRightInd w:val="0"/>
              <w:snapToGrid w:val="0"/>
              <w:spacing w:line="360" w:lineRule="auto"/>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1、产业政策符合性分析</w:t>
            </w:r>
          </w:p>
          <w:p w14:paraId="7209E831">
            <w:pPr>
              <w:spacing w:line="360" w:lineRule="auto"/>
              <w:ind w:firstLine="482"/>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本项目为</w:t>
            </w:r>
            <w:r>
              <w:rPr>
                <w:rFonts w:hint="eastAsia"/>
                <w:color w:val="000000" w:themeColor="text1"/>
                <w:sz w:val="24"/>
                <w14:textFill>
                  <w14:solidFill>
                    <w14:schemeClr w14:val="tx1"/>
                  </w14:solidFill>
                </w14:textFill>
              </w:rPr>
              <w:t>肥料制造</w:t>
            </w:r>
            <w:r>
              <w:rPr>
                <w:bCs/>
                <w:color w:val="000000" w:themeColor="text1"/>
                <w:sz w:val="24"/>
                <w14:textFill>
                  <w14:solidFill>
                    <w14:schemeClr w14:val="tx1"/>
                  </w14:solidFill>
                </w14:textFill>
              </w:rPr>
              <w:t>，根据《产业结构调整指导目录（2024年版）》，本项目属于“鼓励类”中“四十二、环境保护与资源节约综合利用—8.废弃物循环利用”。</w:t>
            </w:r>
          </w:p>
          <w:p w14:paraId="05E61308">
            <w:pPr>
              <w:spacing w:line="360" w:lineRule="auto"/>
              <w:ind w:firstLine="482"/>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此外，本项目于</w:t>
            </w:r>
            <w:r>
              <w:rPr>
                <w:rFonts w:hint="eastAsia"/>
                <w:bCs/>
                <w:color w:val="000000" w:themeColor="text1"/>
                <w:sz w:val="24"/>
                <w14:textFill>
                  <w14:solidFill>
                    <w14:schemeClr w14:val="tx1"/>
                  </w14:solidFill>
                </w14:textFill>
              </w:rPr>
              <w:t>2025年10月24日</w:t>
            </w:r>
            <w:r>
              <w:rPr>
                <w:bCs/>
                <w:color w:val="000000" w:themeColor="text1"/>
                <w:sz w:val="24"/>
                <w14:textFill>
                  <w14:solidFill>
                    <w14:schemeClr w14:val="tx1"/>
                  </w14:solidFill>
                </w14:textFill>
              </w:rPr>
              <w:t>取得</w:t>
            </w:r>
            <w:r>
              <w:rPr>
                <w:color w:val="000000" w:themeColor="text1"/>
                <w:sz w:val="24"/>
                <w14:textFill>
                  <w14:solidFill>
                    <w14:schemeClr w14:val="tx1"/>
                  </w14:solidFill>
                </w14:textFill>
              </w:rPr>
              <w:t>寻甸县发展和改革局</w:t>
            </w:r>
            <w:r>
              <w:rPr>
                <w:bCs/>
                <w:color w:val="000000" w:themeColor="text1"/>
                <w:sz w:val="24"/>
                <w14:textFill>
                  <w14:solidFill>
                    <w14:schemeClr w14:val="tx1"/>
                  </w14:solidFill>
                </w14:textFill>
              </w:rPr>
              <w:t>审批通过的《云南省固定资产投资项目备案证》，项目代码：</w:t>
            </w:r>
            <w:r>
              <w:rPr>
                <w:rFonts w:hint="eastAsia"/>
                <w:color w:val="000000" w:themeColor="text1"/>
                <w:sz w:val="24"/>
                <w14:textFill>
                  <w14:solidFill>
                    <w14:schemeClr w14:val="tx1"/>
                  </w14:solidFill>
                </w14:textFill>
              </w:rPr>
              <w:t>2510-530129-04-01-685356</w:t>
            </w:r>
            <w:r>
              <w:rPr>
                <w:bCs/>
                <w:color w:val="000000" w:themeColor="text1"/>
                <w:sz w:val="24"/>
                <w14:textFill>
                  <w14:solidFill>
                    <w14:schemeClr w14:val="tx1"/>
                  </w14:solidFill>
                </w14:textFill>
              </w:rPr>
              <w:t>，同意项目建设。</w:t>
            </w:r>
          </w:p>
          <w:p w14:paraId="360EC212">
            <w:pPr>
              <w:spacing w:line="360" w:lineRule="auto"/>
              <w:ind w:firstLine="482"/>
              <w:rPr>
                <w:bCs/>
                <w:color w:val="000000" w:themeColor="text1"/>
                <w:sz w:val="24"/>
                <w14:textFill>
                  <w14:solidFill>
                    <w14:schemeClr w14:val="tx1"/>
                  </w14:solidFill>
                </w14:textFill>
              </w:rPr>
            </w:pPr>
            <w:r>
              <w:rPr>
                <w:bCs/>
                <w:color w:val="000000" w:themeColor="text1"/>
                <w:sz w:val="24"/>
                <w14:textFill>
                  <w14:solidFill>
                    <w14:schemeClr w14:val="tx1"/>
                  </w14:solidFill>
                </w14:textFill>
              </w:rPr>
              <w:t>综上所述，本项目建设符合国家及当地现行的</w:t>
            </w:r>
            <w:r>
              <w:rPr>
                <w:rFonts w:hint="eastAsia"/>
                <w:bCs/>
                <w:color w:val="000000" w:themeColor="text1"/>
                <w:sz w:val="24"/>
                <w14:textFill>
                  <w14:solidFill>
                    <w14:schemeClr w14:val="tx1"/>
                  </w14:solidFill>
                </w14:textFill>
              </w:rPr>
              <w:t>产业政策</w:t>
            </w:r>
            <w:r>
              <w:rPr>
                <w:bCs/>
                <w:color w:val="000000" w:themeColor="text1"/>
                <w:sz w:val="24"/>
                <w14:textFill>
                  <w14:solidFill>
                    <w14:schemeClr w14:val="tx1"/>
                  </w14:solidFill>
                </w14:textFill>
              </w:rPr>
              <w:t>要求。</w:t>
            </w:r>
          </w:p>
          <w:p w14:paraId="14EEEE40">
            <w:pPr>
              <w:spacing w:line="360" w:lineRule="auto"/>
              <w:ind w:firstLine="482" w:firstLineChars="200"/>
              <w:rPr>
                <w:b/>
                <w:color w:val="000000" w:themeColor="text1"/>
                <w:sz w:val="24"/>
                <w14:textFill>
                  <w14:solidFill>
                    <w14:schemeClr w14:val="tx1"/>
                  </w14:solidFill>
                </w14:textFill>
              </w:rPr>
            </w:pPr>
            <w:bookmarkStart w:id="5" w:name="_Toc11005"/>
            <w:bookmarkStart w:id="6" w:name="_Toc1839"/>
            <w:bookmarkStart w:id="7" w:name="_Toc14631_WPSOffice_Level2"/>
            <w:r>
              <w:rPr>
                <w:rFonts w:hint="eastAsia"/>
                <w:b/>
                <w:color w:val="000000" w:themeColor="text1"/>
                <w:sz w:val="24"/>
                <w14:textFill>
                  <w14:solidFill>
                    <w14:schemeClr w14:val="tx1"/>
                  </w14:solidFill>
                </w14:textFill>
              </w:rPr>
              <w:t>2、</w:t>
            </w:r>
            <w:r>
              <w:rPr>
                <w:b/>
                <w:color w:val="000000" w:themeColor="text1"/>
                <w:sz w:val="24"/>
                <w14:textFill>
                  <w14:solidFill>
                    <w14:schemeClr w14:val="tx1"/>
                  </w14:solidFill>
                </w14:textFill>
              </w:rPr>
              <w:t>项目与《昆明市生态环境分区管控动态更新方案（2023年）》的相符性分析</w:t>
            </w:r>
          </w:p>
          <w:p w14:paraId="6359866C">
            <w:pPr>
              <w:spacing w:line="360" w:lineRule="auto"/>
              <w:ind w:firstLine="480" w:firstLineChars="200"/>
              <w:rPr>
                <w:color w:val="000000" w:themeColor="text1"/>
                <w14:textFill>
                  <w14:solidFill>
                    <w14:schemeClr w14:val="tx1"/>
                  </w14:solidFill>
                </w14:textFill>
              </w:rPr>
            </w:pPr>
            <w:r>
              <w:rPr>
                <w:bCs/>
                <w:color w:val="000000" w:themeColor="text1"/>
                <w:sz w:val="24"/>
                <w14:textFill>
                  <w14:solidFill>
                    <w14:schemeClr w14:val="tx1"/>
                  </w14:solidFill>
                </w14:textFill>
              </w:rPr>
              <w:t>2024年11月12日，昆明市生态环境局发布了《昆明市生态环境分区管控动态更新方案（2023年）》的通知，本项目位于云南寻甸产业园区重点管控单元，与《昆明市生态环境分区管控动态更新方案（2023年）》的相符性分析内容详见下表：</w:t>
            </w:r>
          </w:p>
          <w:p w14:paraId="2E56714E">
            <w:pPr>
              <w:pStyle w:val="58"/>
              <w:rPr>
                <w:color w:val="000000" w:themeColor="text1"/>
                <w14:textFill>
                  <w14:solidFill>
                    <w14:schemeClr w14:val="tx1"/>
                  </w14:solidFill>
                </w14:textFill>
              </w:rPr>
            </w:pPr>
            <w:bookmarkStart w:id="8" w:name="_Toc2480"/>
            <w:r>
              <w:rPr>
                <w:color w:val="000000" w:themeColor="text1"/>
                <w14:textFill>
                  <w14:solidFill>
                    <w14:schemeClr w14:val="tx1"/>
                  </w14:solidFill>
                </w14:textFill>
              </w:rPr>
              <w:t>表1-5  项目与</w:t>
            </w:r>
            <w:r>
              <w:rPr>
                <w:rFonts w:hint="eastAsia"/>
                <w:color w:val="000000" w:themeColor="text1"/>
                <w14:textFill>
                  <w14:solidFill>
                    <w14:schemeClr w14:val="tx1"/>
                  </w14:solidFill>
                </w14:textFill>
              </w:rPr>
              <w:t>昆明市生态环境分区管控动态更新方案</w:t>
            </w:r>
            <w:r>
              <w:rPr>
                <w:color w:val="000000" w:themeColor="text1"/>
                <w14:textFill>
                  <w14:solidFill>
                    <w14:schemeClr w14:val="tx1"/>
                  </w14:solidFill>
                </w14:textFill>
              </w:rPr>
              <w:t>相符性分析</w:t>
            </w:r>
            <w:bookmarkEnd w:id="8"/>
          </w:p>
          <w:tbl>
            <w:tblPr>
              <w:tblStyle w:val="25"/>
              <w:tblW w:w="4990"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23" w:type="dxa"/>
                <w:bottom w:w="0" w:type="dxa"/>
                <w:right w:w="23" w:type="dxa"/>
              </w:tblCellMar>
            </w:tblPr>
            <w:tblGrid>
              <w:gridCol w:w="407"/>
              <w:gridCol w:w="711"/>
              <w:gridCol w:w="434"/>
              <w:gridCol w:w="3094"/>
              <w:gridCol w:w="2765"/>
              <w:gridCol w:w="722"/>
            </w:tblGrid>
            <w:tr w14:paraId="6AECDBE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3" w:type="dxa"/>
                  <w:bottom w:w="0" w:type="dxa"/>
                  <w:right w:w="23" w:type="dxa"/>
                </w:tblCellMar>
              </w:tblPrEx>
              <w:trPr>
                <w:trHeight w:val="428" w:hRule="atLeast"/>
                <w:jc w:val="center"/>
              </w:trPr>
              <w:tc>
                <w:tcPr>
                  <w:tcW w:w="687" w:type="pct"/>
                  <w:gridSpan w:val="2"/>
                  <w:tcBorders>
                    <w:tl2br w:val="nil"/>
                    <w:tr2bl w:val="nil"/>
                  </w:tcBorders>
                  <w:vAlign w:val="center"/>
                </w:tcPr>
                <w:p w14:paraId="7549B3FF">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类别</w:t>
                  </w:r>
                </w:p>
              </w:tc>
              <w:tc>
                <w:tcPr>
                  <w:tcW w:w="2168" w:type="pct"/>
                  <w:gridSpan w:val="2"/>
                  <w:tcBorders>
                    <w:tl2br w:val="nil"/>
                    <w:tr2bl w:val="nil"/>
                  </w:tcBorders>
                  <w:vAlign w:val="center"/>
                </w:tcPr>
                <w:p w14:paraId="08B5A514">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文件要求</w:t>
                  </w:r>
                </w:p>
              </w:tc>
              <w:tc>
                <w:tcPr>
                  <w:tcW w:w="1699" w:type="pct"/>
                  <w:tcBorders>
                    <w:tl2br w:val="nil"/>
                    <w:tr2bl w:val="nil"/>
                  </w:tcBorders>
                  <w:vAlign w:val="center"/>
                </w:tcPr>
                <w:p w14:paraId="7C05F17D">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相符性分析</w:t>
                  </w:r>
                </w:p>
              </w:tc>
              <w:tc>
                <w:tcPr>
                  <w:tcW w:w="444" w:type="pct"/>
                  <w:tcBorders>
                    <w:tl2br w:val="nil"/>
                    <w:tr2bl w:val="nil"/>
                  </w:tcBorders>
                  <w:vAlign w:val="center"/>
                </w:tcPr>
                <w:p w14:paraId="1614FA5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符合性</w:t>
                  </w:r>
                </w:p>
              </w:tc>
            </w:tr>
            <w:tr w14:paraId="05F95A4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3" w:type="dxa"/>
                  <w:bottom w:w="0" w:type="dxa"/>
                  <w:right w:w="23" w:type="dxa"/>
                </w:tblCellMar>
              </w:tblPrEx>
              <w:trPr>
                <w:jc w:val="center"/>
              </w:trPr>
              <w:tc>
                <w:tcPr>
                  <w:tcW w:w="687" w:type="pct"/>
                  <w:gridSpan w:val="2"/>
                  <w:tcBorders>
                    <w:tl2br w:val="nil"/>
                    <w:tr2bl w:val="nil"/>
                  </w:tcBorders>
                  <w:vAlign w:val="center"/>
                </w:tcPr>
                <w:p w14:paraId="6512C3E2">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生态保护红线和一般生态空间更新结果</w:t>
                  </w:r>
                </w:p>
              </w:tc>
              <w:tc>
                <w:tcPr>
                  <w:tcW w:w="2168" w:type="pct"/>
                  <w:gridSpan w:val="2"/>
                  <w:tcBorders>
                    <w:tl2br w:val="nil"/>
                    <w:tr2bl w:val="nil"/>
                  </w:tcBorders>
                  <w:vAlign w:val="center"/>
                </w:tcPr>
                <w:p w14:paraId="6AC5D72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更新后，生态保护红线全面与《昆明市国土空间总体规划（2021-2035年）》衔接，全市生态保护红线面积4274.70km</w:t>
                  </w:r>
                  <w:r>
                    <w:rPr>
                      <w:b w:val="0"/>
                      <w:color w:val="000000" w:themeColor="text1"/>
                      <w:vertAlign w:val="superscript"/>
                      <w14:textFill>
                        <w14:solidFill>
                          <w14:schemeClr w14:val="tx1"/>
                        </w14:solidFill>
                      </w14:textFill>
                    </w:rPr>
                    <w:t>2</w:t>
                  </w:r>
                  <w:r>
                    <w:rPr>
                      <w:b w:val="0"/>
                      <w:color w:val="000000" w:themeColor="text1"/>
                      <w14:textFill>
                        <w14:solidFill>
                          <w14:schemeClr w14:val="tx1"/>
                        </w14:solidFill>
                      </w14:textFill>
                    </w:rPr>
                    <w:t>，占全市国土面积的20.34%，较原有面积占比减少1.85%。全市一般生态空间面积5151.56km</w:t>
                  </w:r>
                  <w:r>
                    <w:rPr>
                      <w:b w:val="0"/>
                      <w:color w:val="000000" w:themeColor="text1"/>
                      <w:vertAlign w:val="superscript"/>
                      <w14:textFill>
                        <w14:solidFill>
                          <w14:schemeClr w14:val="tx1"/>
                        </w14:solidFill>
                      </w14:textFill>
                    </w:rPr>
                    <w:t>2</w:t>
                  </w:r>
                  <w:r>
                    <w:rPr>
                      <w:b w:val="0"/>
                      <w:color w:val="000000" w:themeColor="text1"/>
                      <w14:textFill>
                        <w14:solidFill>
                          <w14:schemeClr w14:val="tx1"/>
                        </w14:solidFill>
                      </w14:textFill>
                    </w:rPr>
                    <w:t>，占国土空间面积的24.37%，较原有面积占比增加2.45%。</w:t>
                  </w:r>
                </w:p>
              </w:tc>
              <w:tc>
                <w:tcPr>
                  <w:tcW w:w="1699" w:type="pct"/>
                  <w:tcBorders>
                    <w:tl2br w:val="nil"/>
                    <w:tr2bl w:val="nil"/>
                  </w:tcBorders>
                  <w:vAlign w:val="center"/>
                </w:tcPr>
                <w:p w14:paraId="2C1B60D8">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经</w:t>
                  </w:r>
                  <w:r>
                    <w:rPr>
                      <w:b w:val="0"/>
                      <w:color w:val="000000" w:themeColor="text1"/>
                      <w:lang w:val="zh-CN"/>
                      <w14:textFill>
                        <w14:solidFill>
                          <w14:schemeClr w14:val="tx1"/>
                        </w14:solidFill>
                      </w14:textFill>
                    </w:rPr>
                    <w:t>查阅《云南寻甸产业园区总体规划修编（2021-2035）环境影响报告书》可知</w:t>
                  </w:r>
                  <w:r>
                    <w:rPr>
                      <w:rFonts w:hint="eastAsia"/>
                      <w:b w:val="0"/>
                      <w:color w:val="000000" w:themeColor="text1"/>
                      <w:lang w:val="zh-CN"/>
                      <w14:textFill>
                        <w14:solidFill>
                          <w14:schemeClr w14:val="tx1"/>
                        </w14:solidFill>
                      </w14:textFill>
                    </w:rPr>
                    <w:t>（</w:t>
                  </w:r>
                  <w:r>
                    <w:rPr>
                      <w:rFonts w:hint="eastAsia"/>
                      <w:b w:val="0"/>
                      <w:color w:val="000000" w:themeColor="text1"/>
                      <w14:textFill>
                        <w14:solidFill>
                          <w14:schemeClr w14:val="tx1"/>
                        </w14:solidFill>
                      </w14:textFill>
                    </w:rPr>
                    <w:t>见附图5</w:t>
                  </w:r>
                  <w:r>
                    <w:rPr>
                      <w:rFonts w:hint="eastAsia"/>
                      <w:b w:val="0"/>
                      <w:color w:val="000000" w:themeColor="text1"/>
                      <w:lang w:val="zh-CN"/>
                      <w14:textFill>
                        <w14:solidFill>
                          <w14:schemeClr w14:val="tx1"/>
                        </w14:solidFill>
                      </w14:textFill>
                    </w:rPr>
                    <w:t>）</w:t>
                  </w:r>
                  <w:r>
                    <w:rPr>
                      <w:b w:val="0"/>
                      <w:color w:val="000000" w:themeColor="text1"/>
                      <w:lang w:val="zh-CN"/>
                      <w14:textFill>
                        <w14:solidFill>
                          <w14:schemeClr w14:val="tx1"/>
                        </w14:solidFill>
                      </w14:textFill>
                    </w:rPr>
                    <w:t>，项目位于</w:t>
                  </w:r>
                  <w:r>
                    <w:rPr>
                      <w:b w:val="0"/>
                      <w:color w:val="000000" w:themeColor="text1"/>
                      <w14:textFill>
                        <w14:solidFill>
                          <w14:schemeClr w14:val="tx1"/>
                        </w14:solidFill>
                      </w14:textFill>
                    </w:rPr>
                    <w:t>云南寻甸产业园区金所片区金所组团内</w:t>
                  </w:r>
                  <w:r>
                    <w:rPr>
                      <w:b w:val="0"/>
                      <w:color w:val="000000" w:themeColor="text1"/>
                      <w:lang w:val="zh-CN"/>
                      <w14:textFill>
                        <w14:solidFill>
                          <w14:schemeClr w14:val="tx1"/>
                        </w14:solidFill>
                      </w14:textFill>
                    </w:rPr>
                    <w:t>，属规划的工业用地，不在生态红线范围内，项目符合生态保护红线的相关要求。</w:t>
                  </w:r>
                </w:p>
              </w:tc>
              <w:tc>
                <w:tcPr>
                  <w:tcW w:w="444" w:type="pct"/>
                  <w:tcBorders>
                    <w:tl2br w:val="nil"/>
                    <w:tr2bl w:val="nil"/>
                  </w:tcBorders>
                  <w:vAlign w:val="center"/>
                </w:tcPr>
                <w:p w14:paraId="1F80F92B">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3C31029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3" w:type="dxa"/>
                  <w:bottom w:w="0" w:type="dxa"/>
                  <w:right w:w="23" w:type="dxa"/>
                </w:tblCellMar>
              </w:tblPrEx>
              <w:trPr>
                <w:jc w:val="center"/>
              </w:trPr>
              <w:tc>
                <w:tcPr>
                  <w:tcW w:w="250" w:type="pct"/>
                  <w:vMerge w:val="restart"/>
                  <w:tcBorders>
                    <w:tl2br w:val="nil"/>
                    <w:tr2bl w:val="nil"/>
                  </w:tcBorders>
                  <w:vAlign w:val="center"/>
                </w:tcPr>
                <w:p w14:paraId="00F9F8F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环境质量底线</w:t>
                  </w:r>
                </w:p>
              </w:tc>
              <w:tc>
                <w:tcPr>
                  <w:tcW w:w="436" w:type="pct"/>
                  <w:tcBorders>
                    <w:tl2br w:val="nil"/>
                    <w:tr2bl w:val="nil"/>
                  </w:tcBorders>
                  <w:vAlign w:val="center"/>
                </w:tcPr>
                <w:p w14:paraId="3D7346F6">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水</w:t>
                  </w:r>
                  <w:r>
                    <w:rPr>
                      <w:b w:val="0"/>
                      <w:color w:val="000000" w:themeColor="text1"/>
                      <w14:textFill>
                        <w14:solidFill>
                          <w14:schemeClr w14:val="tx1"/>
                        </w14:solidFill>
                      </w14:textFill>
                    </w:rPr>
                    <w:t>环境质量</w:t>
                  </w:r>
                  <w:r>
                    <w:rPr>
                      <w:rFonts w:hint="eastAsia"/>
                      <w:b w:val="0"/>
                      <w:color w:val="000000" w:themeColor="text1"/>
                      <w14:textFill>
                        <w14:solidFill>
                          <w14:schemeClr w14:val="tx1"/>
                        </w14:solidFill>
                      </w14:textFill>
                    </w:rPr>
                    <w:t>底线</w:t>
                  </w:r>
                </w:p>
              </w:tc>
              <w:tc>
                <w:tcPr>
                  <w:tcW w:w="2168" w:type="pct"/>
                  <w:gridSpan w:val="2"/>
                  <w:tcBorders>
                    <w:tl2br w:val="nil"/>
                    <w:tr2bl w:val="nil"/>
                  </w:tcBorders>
                  <w:vAlign w:val="center"/>
                </w:tcPr>
                <w:p w14:paraId="65896A0F">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到2025年，昆明市地表水国控断面达到或好于Ⅲ类水体比例应达到81.5%，45个省控断面达到或好于Ⅲ类水体比例应达到80%，劣V类水体全面消除，县级及以上集中式饮用水水源地水质达标率100%。</w:t>
                  </w:r>
                </w:p>
              </w:tc>
              <w:tc>
                <w:tcPr>
                  <w:tcW w:w="1699" w:type="pct"/>
                  <w:tcBorders>
                    <w:tl2br w:val="nil"/>
                    <w:tr2bl w:val="nil"/>
                  </w:tcBorders>
                  <w:vAlign w:val="center"/>
                </w:tcPr>
                <w:p w14:paraId="54069DCC">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本项目距离最近的地表水体为</w:t>
                  </w:r>
                  <w:r>
                    <w:rPr>
                      <w:rFonts w:hint="eastAsia"/>
                      <w:b w:val="0"/>
                      <w:color w:val="000000" w:themeColor="text1"/>
                      <w14:textFill>
                        <w14:solidFill>
                          <w14:schemeClr w14:val="tx1"/>
                        </w14:solidFill>
                      </w14:textFill>
                    </w:rPr>
                    <w:t>北侧1200m处的谓所河</w:t>
                  </w:r>
                  <w:r>
                    <w:rPr>
                      <w:b w:val="0"/>
                      <w:color w:val="000000" w:themeColor="text1"/>
                      <w14:textFill>
                        <w14:solidFill>
                          <w14:schemeClr w14:val="tx1"/>
                        </w14:solidFill>
                      </w14:textFill>
                    </w:rPr>
                    <w:t>，属牛栏江</w:t>
                  </w:r>
                  <w:r>
                    <w:rPr>
                      <w:rFonts w:hint="eastAsia"/>
                      <w:b w:val="0"/>
                      <w:color w:val="000000" w:themeColor="text1"/>
                      <w14:textFill>
                        <w14:solidFill>
                          <w14:schemeClr w14:val="tx1"/>
                        </w14:solidFill>
                      </w14:textFill>
                    </w:rPr>
                    <w:t>流域</w:t>
                  </w:r>
                  <w:r>
                    <w:rPr>
                      <w:b w:val="0"/>
                      <w:color w:val="000000" w:themeColor="text1"/>
                      <w14:textFill>
                        <w14:solidFill>
                          <w14:schemeClr w14:val="tx1"/>
                        </w14:solidFill>
                      </w14:textFill>
                    </w:rPr>
                    <w:t>。</w:t>
                  </w:r>
                  <w:r>
                    <w:rPr>
                      <w:rFonts w:hint="eastAsia"/>
                      <w:b w:val="0"/>
                      <w:color w:val="000000" w:themeColor="text1"/>
                      <w14:textFill>
                        <w14:solidFill>
                          <w14:schemeClr w14:val="tx1"/>
                        </w14:solidFill>
                      </w14:textFill>
                    </w:rPr>
                    <w:t>三月三水库水质不能达到《地表水环境质量标准》（GB3838-2002）III类标准要求，超标主要原因为周边部分生活污水直接排入三月三水库所致。根据“寻甸县2024年第一季度至第四季度环境质量公报”显示：前进河哦嘎电站断面水质达到《地表水环境质量标准》（GB3838-2002）Ⅲ类水质量标准，能够满足水质目标要求。本项目产生的废水不外排，不会突破区域水环境质量底线。</w:t>
                  </w:r>
                </w:p>
              </w:tc>
              <w:tc>
                <w:tcPr>
                  <w:tcW w:w="444" w:type="pct"/>
                  <w:tcBorders>
                    <w:tl2br w:val="nil"/>
                    <w:tr2bl w:val="nil"/>
                  </w:tcBorders>
                  <w:vAlign w:val="center"/>
                </w:tcPr>
                <w:p w14:paraId="01F6837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7B1C855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3" w:type="dxa"/>
                  <w:bottom w:w="0" w:type="dxa"/>
                  <w:right w:w="23" w:type="dxa"/>
                </w:tblCellMar>
              </w:tblPrEx>
              <w:trPr>
                <w:jc w:val="center"/>
              </w:trPr>
              <w:tc>
                <w:tcPr>
                  <w:tcW w:w="250" w:type="pct"/>
                  <w:vMerge w:val="continue"/>
                  <w:tcBorders>
                    <w:tl2br w:val="nil"/>
                    <w:tr2bl w:val="nil"/>
                  </w:tcBorders>
                  <w:vAlign w:val="center"/>
                </w:tcPr>
                <w:p w14:paraId="3164ADFF">
                  <w:pPr>
                    <w:pStyle w:val="74"/>
                    <w:rPr>
                      <w:b w:val="0"/>
                      <w:color w:val="000000" w:themeColor="text1"/>
                      <w14:textFill>
                        <w14:solidFill>
                          <w14:schemeClr w14:val="tx1"/>
                        </w14:solidFill>
                      </w14:textFill>
                    </w:rPr>
                  </w:pPr>
                </w:p>
              </w:tc>
              <w:tc>
                <w:tcPr>
                  <w:tcW w:w="436" w:type="pct"/>
                  <w:tcBorders>
                    <w:tl2br w:val="nil"/>
                    <w:tr2bl w:val="nil"/>
                  </w:tcBorders>
                  <w:vAlign w:val="center"/>
                </w:tcPr>
                <w:p w14:paraId="1CB5FE7C">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大气环境质量底线</w:t>
                  </w:r>
                </w:p>
              </w:tc>
              <w:tc>
                <w:tcPr>
                  <w:tcW w:w="2168" w:type="pct"/>
                  <w:gridSpan w:val="2"/>
                  <w:tcBorders>
                    <w:tl2br w:val="nil"/>
                    <w:tr2bl w:val="nil"/>
                  </w:tcBorders>
                  <w:vAlign w:val="center"/>
                </w:tcPr>
                <w:p w14:paraId="2A932AB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到2025年，空气质量优良天数比率达99.1%，细颗粒物（PM</w:t>
                  </w:r>
                  <w:r>
                    <w:rPr>
                      <w:b w:val="0"/>
                      <w:color w:val="000000" w:themeColor="text1"/>
                      <w:vertAlign w:val="subscript"/>
                      <w14:textFill>
                        <w14:solidFill>
                          <w14:schemeClr w14:val="tx1"/>
                        </w14:solidFill>
                      </w14:textFill>
                    </w:rPr>
                    <w:t>2.5</w:t>
                  </w:r>
                  <w:r>
                    <w:rPr>
                      <w:b w:val="0"/>
                      <w:color w:val="000000" w:themeColor="text1"/>
                      <w14:textFill>
                        <w14:solidFill>
                          <w14:schemeClr w14:val="tx1"/>
                        </w14:solidFill>
                      </w14:textFill>
                    </w:rPr>
                    <w:t>）浓度不高于24微克/立方米，重污染天数为0。</w:t>
                  </w:r>
                </w:p>
              </w:tc>
              <w:tc>
                <w:tcPr>
                  <w:tcW w:w="1699" w:type="pct"/>
                  <w:tcBorders>
                    <w:tl2br w:val="nil"/>
                    <w:tr2bl w:val="nil"/>
                  </w:tcBorders>
                  <w:vAlign w:val="center"/>
                </w:tcPr>
                <w:p w14:paraId="035591B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根据《2024年昆明市生态环境状况公报》，2024年昆明市主城区外所辖的8个县(市)、区环境空气质量总体保持良好，各项污染物平均浓度均达到二级标准，项目所在区域属于环境空气质量达标区。</w:t>
                  </w:r>
                  <w:r>
                    <w:rPr>
                      <w:rFonts w:hint="eastAsia"/>
                      <w:b w:val="0"/>
                      <w:color w:val="000000" w:themeColor="text1"/>
                      <w14:textFill>
                        <w14:solidFill>
                          <w14:schemeClr w14:val="tx1"/>
                        </w14:solidFill>
                      </w14:textFill>
                    </w:rPr>
                    <w:t>本项目生产过程中通过严格控制原料的含水率减少粉尘的产生，并设置雾炮机，所有生产工序均位于密闭的车间内，少量粉尘经雾炮机洒水降尘和车间阻隔后无组织排放；发酵过程中产生的异味通过厂房密闭+喷洒生物除臭剂进行控制，采取措施后，本项目排放的废气对大气环境质量影响较小，不会突破当地环境质量底线。</w:t>
                  </w:r>
                </w:p>
              </w:tc>
              <w:tc>
                <w:tcPr>
                  <w:tcW w:w="444" w:type="pct"/>
                  <w:tcBorders>
                    <w:tl2br w:val="nil"/>
                    <w:tr2bl w:val="nil"/>
                  </w:tcBorders>
                  <w:vAlign w:val="center"/>
                </w:tcPr>
                <w:p w14:paraId="1B040290">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217EA13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3" w:type="dxa"/>
                  <w:bottom w:w="0" w:type="dxa"/>
                  <w:right w:w="23" w:type="dxa"/>
                </w:tblCellMar>
              </w:tblPrEx>
              <w:trPr>
                <w:jc w:val="center"/>
              </w:trPr>
              <w:tc>
                <w:tcPr>
                  <w:tcW w:w="250" w:type="pct"/>
                  <w:vMerge w:val="continue"/>
                  <w:tcBorders>
                    <w:tl2br w:val="nil"/>
                    <w:tr2bl w:val="nil"/>
                  </w:tcBorders>
                  <w:vAlign w:val="center"/>
                </w:tcPr>
                <w:p w14:paraId="43DE486C">
                  <w:pPr>
                    <w:pStyle w:val="74"/>
                    <w:rPr>
                      <w:b w:val="0"/>
                      <w:color w:val="000000" w:themeColor="text1"/>
                      <w14:textFill>
                        <w14:solidFill>
                          <w14:schemeClr w14:val="tx1"/>
                        </w14:solidFill>
                      </w14:textFill>
                    </w:rPr>
                  </w:pPr>
                </w:p>
              </w:tc>
              <w:tc>
                <w:tcPr>
                  <w:tcW w:w="436" w:type="pct"/>
                  <w:tcBorders>
                    <w:tl2br w:val="nil"/>
                    <w:tr2bl w:val="nil"/>
                  </w:tcBorders>
                  <w:vAlign w:val="center"/>
                </w:tcPr>
                <w:p w14:paraId="7646EF38">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土壤环境风险防控底线</w:t>
                  </w:r>
                </w:p>
              </w:tc>
              <w:tc>
                <w:tcPr>
                  <w:tcW w:w="2168" w:type="pct"/>
                  <w:gridSpan w:val="2"/>
                  <w:tcBorders>
                    <w:tl2br w:val="nil"/>
                    <w:tr2bl w:val="nil"/>
                  </w:tcBorders>
                  <w:vAlign w:val="center"/>
                </w:tcPr>
                <w:p w14:paraId="0568080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全市土壤环境质量总体保持稳定，局部稳中向好，受污染耕地安全利用率不低于90%，重点建设用地安全利用得到有效保障。</w:t>
                  </w:r>
                </w:p>
              </w:tc>
              <w:tc>
                <w:tcPr>
                  <w:tcW w:w="1699" w:type="pct"/>
                  <w:tcBorders>
                    <w:tl2br w:val="nil"/>
                    <w:tr2bl w:val="nil"/>
                  </w:tcBorders>
                  <w:vAlign w:val="center"/>
                </w:tcPr>
                <w:p w14:paraId="647D453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项目占地范围不涉及耕地、基本农田。项目区采取分区防渗，</w:t>
                  </w:r>
                  <w:r>
                    <w:rPr>
                      <w:rFonts w:hint="eastAsia"/>
                      <w:b w:val="0"/>
                      <w:color w:val="000000" w:themeColor="text1"/>
                      <w14:textFill>
                        <w14:solidFill>
                          <w14:schemeClr w14:val="tx1"/>
                        </w14:solidFill>
                      </w14:textFill>
                    </w:rPr>
                    <w:t>危废暂存库</w:t>
                  </w:r>
                  <w:r>
                    <w:rPr>
                      <w:b w:val="0"/>
                      <w:color w:val="000000" w:themeColor="text1"/>
                      <w14:textFill>
                        <w14:solidFill>
                          <w14:schemeClr w14:val="tx1"/>
                        </w14:solidFill>
                      </w14:textFill>
                    </w:rPr>
                    <w:t>设置为重点防渗区，</w:t>
                  </w:r>
                  <w:r>
                    <w:rPr>
                      <w:rFonts w:hint="eastAsia"/>
                      <w:b w:val="0"/>
                      <w:color w:val="000000" w:themeColor="text1"/>
                      <w14:textFill>
                        <w14:solidFill>
                          <w14:schemeClr w14:val="tx1"/>
                        </w14:solidFill>
                      </w14:textFill>
                    </w:rPr>
                    <w:t>原料库、一般固废暂存库</w:t>
                  </w:r>
                  <w:r>
                    <w:rPr>
                      <w:b w:val="0"/>
                      <w:color w:val="000000" w:themeColor="text1"/>
                      <w14:textFill>
                        <w14:solidFill>
                          <w14:schemeClr w14:val="tx1"/>
                        </w14:solidFill>
                      </w14:textFill>
                    </w:rPr>
                    <w:t>设置为一般防渗，</w:t>
                  </w:r>
                  <w:r>
                    <w:rPr>
                      <w:rFonts w:hint="eastAsia"/>
                      <w:b w:val="0"/>
                      <w:color w:val="000000" w:themeColor="text1"/>
                      <w14:textFill>
                        <w14:solidFill>
                          <w14:schemeClr w14:val="tx1"/>
                        </w14:solidFill>
                      </w14:textFill>
                    </w:rPr>
                    <w:t>其他生产</w:t>
                  </w:r>
                  <w:r>
                    <w:rPr>
                      <w:b w:val="0"/>
                      <w:color w:val="000000" w:themeColor="text1"/>
                      <w14:textFill>
                        <w14:solidFill>
                          <w14:schemeClr w14:val="tx1"/>
                        </w14:solidFill>
                      </w14:textFill>
                    </w:rPr>
                    <w:t>区域设置为简单防渗区。综上，项目建设对土壤环境质量影响较小，不会突破项目所在地的土壤环境风险防控底线。</w:t>
                  </w:r>
                </w:p>
              </w:tc>
              <w:tc>
                <w:tcPr>
                  <w:tcW w:w="444" w:type="pct"/>
                  <w:tcBorders>
                    <w:tl2br w:val="nil"/>
                    <w:tr2bl w:val="nil"/>
                  </w:tcBorders>
                  <w:vAlign w:val="center"/>
                </w:tcPr>
                <w:p w14:paraId="775C5F98">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0A6D11E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3" w:type="dxa"/>
                  <w:bottom w:w="0" w:type="dxa"/>
                  <w:right w:w="23" w:type="dxa"/>
                </w:tblCellMar>
              </w:tblPrEx>
              <w:trPr>
                <w:trHeight w:val="77" w:hRule="atLeast"/>
                <w:jc w:val="center"/>
              </w:trPr>
              <w:tc>
                <w:tcPr>
                  <w:tcW w:w="250" w:type="pct"/>
                  <w:vMerge w:val="restart"/>
                  <w:tcBorders>
                    <w:tl2br w:val="nil"/>
                    <w:tr2bl w:val="nil"/>
                  </w:tcBorders>
                  <w:vAlign w:val="center"/>
                </w:tcPr>
                <w:p w14:paraId="0F5701FB">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资源利用上线</w:t>
                  </w:r>
                </w:p>
              </w:tc>
              <w:tc>
                <w:tcPr>
                  <w:tcW w:w="436" w:type="pct"/>
                  <w:tcBorders>
                    <w:tl2br w:val="nil"/>
                    <w:tr2bl w:val="nil"/>
                  </w:tcBorders>
                  <w:vAlign w:val="center"/>
                </w:tcPr>
                <w:p w14:paraId="30A1A8F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水资源利用</w:t>
                  </w:r>
                  <w:r>
                    <w:rPr>
                      <w:rFonts w:hint="eastAsia"/>
                      <w:b w:val="0"/>
                      <w:color w:val="000000" w:themeColor="text1"/>
                      <w14:textFill>
                        <w14:solidFill>
                          <w14:schemeClr w14:val="tx1"/>
                        </w14:solidFill>
                      </w14:textFill>
                    </w:rPr>
                    <w:t>上限</w:t>
                  </w:r>
                </w:p>
              </w:tc>
              <w:tc>
                <w:tcPr>
                  <w:tcW w:w="2168" w:type="pct"/>
                  <w:gridSpan w:val="2"/>
                  <w:tcBorders>
                    <w:tl2br w:val="nil"/>
                    <w:tr2bl w:val="nil"/>
                  </w:tcBorders>
                  <w:vAlign w:val="center"/>
                </w:tcPr>
                <w:p w14:paraId="7CE8D245">
                  <w:pPr>
                    <w:pStyle w:val="74"/>
                    <w:rPr>
                      <w:b w:val="0"/>
                      <w:color w:val="000000" w:themeColor="text1"/>
                      <w14:textFill>
                        <w14:solidFill>
                          <w14:schemeClr w14:val="tx1"/>
                        </w14:solidFill>
                      </w14:textFill>
                    </w:rPr>
                  </w:pPr>
                  <w:r>
                    <w:rPr>
                      <w:b w:val="0"/>
                      <w:color w:val="000000" w:themeColor="text1"/>
                      <w:lang w:val="zh-CN"/>
                      <w14:textFill>
                        <w14:solidFill>
                          <w14:schemeClr w14:val="tx1"/>
                        </w14:solidFill>
                      </w14:textFill>
                    </w:rPr>
                    <w:t>到2025年，按照国家、省、市有关要求和规划，按时完成全市用水总量、用水效率、限制纳污“三条红线”水资源上限控制指标；</w:t>
                  </w:r>
                </w:p>
              </w:tc>
              <w:tc>
                <w:tcPr>
                  <w:tcW w:w="1699" w:type="pct"/>
                  <w:tcBorders>
                    <w:tl2br w:val="nil"/>
                    <w:tr2bl w:val="nil"/>
                  </w:tcBorders>
                  <w:vAlign w:val="center"/>
                </w:tcPr>
                <w:p w14:paraId="2F04EB7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本项目生产废水、生活污水不外排。</w:t>
                  </w:r>
                </w:p>
              </w:tc>
              <w:tc>
                <w:tcPr>
                  <w:tcW w:w="444" w:type="pct"/>
                  <w:tcBorders>
                    <w:tl2br w:val="nil"/>
                    <w:tr2bl w:val="nil"/>
                  </w:tcBorders>
                  <w:vAlign w:val="center"/>
                </w:tcPr>
                <w:p w14:paraId="37DF80B4">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0443AF9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3" w:type="dxa"/>
                  <w:bottom w:w="0" w:type="dxa"/>
                  <w:right w:w="23" w:type="dxa"/>
                </w:tblCellMar>
              </w:tblPrEx>
              <w:trPr>
                <w:trHeight w:val="77" w:hRule="atLeast"/>
                <w:jc w:val="center"/>
              </w:trPr>
              <w:tc>
                <w:tcPr>
                  <w:tcW w:w="250" w:type="pct"/>
                  <w:vMerge w:val="continue"/>
                  <w:tcBorders>
                    <w:tl2br w:val="nil"/>
                    <w:tr2bl w:val="nil"/>
                  </w:tcBorders>
                  <w:vAlign w:val="center"/>
                </w:tcPr>
                <w:p w14:paraId="11338D1D">
                  <w:pPr>
                    <w:pStyle w:val="74"/>
                    <w:rPr>
                      <w:b w:val="0"/>
                      <w:color w:val="000000" w:themeColor="text1"/>
                      <w14:textFill>
                        <w14:solidFill>
                          <w14:schemeClr w14:val="tx1"/>
                        </w14:solidFill>
                      </w14:textFill>
                    </w:rPr>
                  </w:pPr>
                </w:p>
              </w:tc>
              <w:tc>
                <w:tcPr>
                  <w:tcW w:w="436" w:type="pct"/>
                  <w:tcBorders>
                    <w:tl2br w:val="nil"/>
                    <w:tr2bl w:val="nil"/>
                  </w:tcBorders>
                  <w:vAlign w:val="center"/>
                </w:tcPr>
                <w:p w14:paraId="2AC7B340">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能源利用上线</w:t>
                  </w:r>
                </w:p>
              </w:tc>
              <w:tc>
                <w:tcPr>
                  <w:tcW w:w="2168" w:type="pct"/>
                  <w:gridSpan w:val="2"/>
                  <w:tcBorders>
                    <w:tl2br w:val="nil"/>
                    <w:tr2bl w:val="nil"/>
                  </w:tcBorders>
                  <w:vAlign w:val="center"/>
                </w:tcPr>
                <w:p w14:paraId="41688909">
                  <w:pPr>
                    <w:pStyle w:val="74"/>
                    <w:rPr>
                      <w:b w:val="0"/>
                      <w:color w:val="000000" w:themeColor="text1"/>
                      <w14:textFill>
                        <w14:solidFill>
                          <w14:schemeClr w14:val="tx1"/>
                        </w14:solidFill>
                      </w14:textFill>
                    </w:rPr>
                  </w:pPr>
                  <w:r>
                    <w:rPr>
                      <w:b w:val="0"/>
                      <w:color w:val="000000" w:themeColor="text1"/>
                      <w:lang w:val="zh-CN"/>
                      <w14:textFill>
                        <w14:solidFill>
                          <w14:schemeClr w14:val="tx1"/>
                        </w14:solidFill>
                      </w14:textFill>
                    </w:rPr>
                    <w:t>按时完成单位GDP能耗下降率、能源消费总量等能源控制指标。</w:t>
                  </w:r>
                </w:p>
              </w:tc>
              <w:tc>
                <w:tcPr>
                  <w:tcW w:w="1699" w:type="pct"/>
                  <w:tcBorders>
                    <w:tl2br w:val="nil"/>
                    <w:tr2bl w:val="nil"/>
                  </w:tcBorders>
                  <w:vAlign w:val="center"/>
                </w:tcPr>
                <w:p w14:paraId="05ADBBF9">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项目生产过程中</w:t>
                  </w:r>
                  <w:r>
                    <w:rPr>
                      <w:rFonts w:hint="eastAsia"/>
                      <w:b w:val="0"/>
                      <w:color w:val="000000" w:themeColor="text1"/>
                      <w14:textFill>
                        <w14:solidFill>
                          <w14:schemeClr w14:val="tx1"/>
                        </w14:solidFill>
                      </w14:textFill>
                    </w:rPr>
                    <w:t>主要</w:t>
                  </w:r>
                  <w:r>
                    <w:rPr>
                      <w:b w:val="0"/>
                      <w:color w:val="000000" w:themeColor="text1"/>
                      <w14:textFill>
                        <w14:solidFill>
                          <w14:schemeClr w14:val="tx1"/>
                        </w14:solidFill>
                      </w14:textFill>
                    </w:rPr>
                    <w:t>使用电能，</w:t>
                  </w:r>
                  <w:r>
                    <w:rPr>
                      <w:rFonts w:hint="eastAsia"/>
                      <w:b w:val="0"/>
                      <w:color w:val="000000" w:themeColor="text1"/>
                      <w14:textFill>
                        <w14:solidFill>
                          <w14:schemeClr w14:val="tx1"/>
                        </w14:solidFill>
                      </w14:textFill>
                    </w:rPr>
                    <w:t>运输车辆使用燃油</w:t>
                  </w:r>
                  <w:r>
                    <w:rPr>
                      <w:b w:val="0"/>
                      <w:color w:val="000000" w:themeColor="text1"/>
                      <w14:textFill>
                        <w14:solidFill>
                          <w14:schemeClr w14:val="tx1"/>
                        </w14:solidFill>
                      </w14:textFill>
                    </w:rPr>
                    <w:t>。</w:t>
                  </w:r>
                </w:p>
              </w:tc>
              <w:tc>
                <w:tcPr>
                  <w:tcW w:w="444" w:type="pct"/>
                  <w:tcBorders>
                    <w:tl2br w:val="nil"/>
                    <w:tr2bl w:val="nil"/>
                  </w:tcBorders>
                  <w:vAlign w:val="center"/>
                </w:tcPr>
                <w:p w14:paraId="24526D1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00A7DDC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3" w:type="dxa"/>
                  <w:bottom w:w="0" w:type="dxa"/>
                  <w:right w:w="23" w:type="dxa"/>
                </w:tblCellMar>
              </w:tblPrEx>
              <w:trPr>
                <w:trHeight w:val="77" w:hRule="atLeast"/>
                <w:jc w:val="center"/>
              </w:trPr>
              <w:tc>
                <w:tcPr>
                  <w:tcW w:w="250" w:type="pct"/>
                  <w:vMerge w:val="continue"/>
                  <w:tcBorders>
                    <w:tl2br w:val="nil"/>
                    <w:tr2bl w:val="nil"/>
                  </w:tcBorders>
                  <w:vAlign w:val="center"/>
                </w:tcPr>
                <w:p w14:paraId="14A16706">
                  <w:pPr>
                    <w:pStyle w:val="74"/>
                    <w:rPr>
                      <w:b w:val="0"/>
                      <w:color w:val="000000" w:themeColor="text1"/>
                      <w14:textFill>
                        <w14:solidFill>
                          <w14:schemeClr w14:val="tx1"/>
                        </w14:solidFill>
                      </w14:textFill>
                    </w:rPr>
                  </w:pPr>
                </w:p>
              </w:tc>
              <w:tc>
                <w:tcPr>
                  <w:tcW w:w="436" w:type="pct"/>
                  <w:tcBorders>
                    <w:tl2br w:val="nil"/>
                    <w:tr2bl w:val="nil"/>
                  </w:tcBorders>
                  <w:vAlign w:val="center"/>
                </w:tcPr>
                <w:p w14:paraId="0807C050">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土地资源利用上线</w:t>
                  </w:r>
                </w:p>
              </w:tc>
              <w:tc>
                <w:tcPr>
                  <w:tcW w:w="2168" w:type="pct"/>
                  <w:gridSpan w:val="2"/>
                  <w:tcBorders>
                    <w:tl2br w:val="nil"/>
                    <w:tr2bl w:val="nil"/>
                  </w:tcBorders>
                  <w:vAlign w:val="center"/>
                </w:tcPr>
                <w:p w14:paraId="1EAAD3E7">
                  <w:pPr>
                    <w:pStyle w:val="74"/>
                    <w:rPr>
                      <w:b w:val="0"/>
                      <w:color w:val="000000" w:themeColor="text1"/>
                      <w14:textFill>
                        <w14:solidFill>
                          <w14:schemeClr w14:val="tx1"/>
                        </w14:solidFill>
                      </w14:textFill>
                    </w:rPr>
                  </w:pPr>
                  <w:r>
                    <w:rPr>
                      <w:b w:val="0"/>
                      <w:color w:val="000000" w:themeColor="text1"/>
                      <w:lang w:val="zh-CN"/>
                      <w14:textFill>
                        <w14:solidFill>
                          <w14:schemeClr w14:val="tx1"/>
                        </w14:solidFill>
                      </w14:textFill>
                    </w:rPr>
                    <w:t>按时完成耕地保有量、基本农田保护面积、建设用地总规模等土地资源利用上限控制指标；</w:t>
                  </w:r>
                </w:p>
              </w:tc>
              <w:tc>
                <w:tcPr>
                  <w:tcW w:w="1699" w:type="pct"/>
                  <w:tcBorders>
                    <w:tl2br w:val="nil"/>
                    <w:tr2bl w:val="nil"/>
                  </w:tcBorders>
                  <w:vAlign w:val="center"/>
                </w:tcPr>
                <w:p w14:paraId="0A8D2043">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项目不占用耕地及基本农田，用地类型为</w:t>
                  </w:r>
                  <w:r>
                    <w:rPr>
                      <w:rFonts w:hint="eastAsia"/>
                      <w:b w:val="0"/>
                      <w:color w:val="000000" w:themeColor="text1"/>
                      <w14:textFill>
                        <w14:solidFill>
                          <w14:schemeClr w14:val="tx1"/>
                        </w14:solidFill>
                      </w14:textFill>
                    </w:rPr>
                    <w:t>工业用地</w:t>
                  </w:r>
                  <w:r>
                    <w:rPr>
                      <w:b w:val="0"/>
                      <w:color w:val="000000" w:themeColor="text1"/>
                      <w14:textFill>
                        <w14:solidFill>
                          <w14:schemeClr w14:val="tx1"/>
                        </w14:solidFill>
                      </w14:textFill>
                    </w:rPr>
                    <w:t>，不会突破当地土地资源利用</w:t>
                  </w:r>
                  <w:r>
                    <w:rPr>
                      <w:rFonts w:hint="eastAsia"/>
                      <w:b w:val="0"/>
                      <w:color w:val="000000" w:themeColor="text1"/>
                      <w14:textFill>
                        <w14:solidFill>
                          <w14:schemeClr w14:val="tx1"/>
                        </w14:solidFill>
                      </w14:textFill>
                    </w:rPr>
                    <w:t>上限</w:t>
                  </w:r>
                  <w:r>
                    <w:rPr>
                      <w:b w:val="0"/>
                      <w:color w:val="000000" w:themeColor="text1"/>
                      <w14:textFill>
                        <w14:solidFill>
                          <w14:schemeClr w14:val="tx1"/>
                        </w14:solidFill>
                      </w14:textFill>
                    </w:rPr>
                    <w:t>。</w:t>
                  </w:r>
                </w:p>
              </w:tc>
              <w:tc>
                <w:tcPr>
                  <w:tcW w:w="444" w:type="pct"/>
                  <w:tcBorders>
                    <w:tl2br w:val="nil"/>
                    <w:tr2bl w:val="nil"/>
                  </w:tcBorders>
                  <w:vAlign w:val="center"/>
                </w:tcPr>
                <w:p w14:paraId="5C4CA6DF">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59F1DD7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3" w:type="dxa"/>
                  <w:bottom w:w="0" w:type="dxa"/>
                  <w:right w:w="23" w:type="dxa"/>
                </w:tblCellMar>
              </w:tblPrEx>
              <w:trPr>
                <w:jc w:val="center"/>
              </w:trPr>
              <w:tc>
                <w:tcPr>
                  <w:tcW w:w="250" w:type="pct"/>
                  <w:vMerge w:val="restart"/>
                  <w:tcBorders>
                    <w:tl2br w:val="nil"/>
                    <w:tr2bl w:val="nil"/>
                  </w:tcBorders>
                  <w:vAlign w:val="center"/>
                </w:tcPr>
                <w:p w14:paraId="0F34D803">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生态环境准入清单</w:t>
                  </w:r>
                </w:p>
              </w:tc>
              <w:tc>
                <w:tcPr>
                  <w:tcW w:w="436" w:type="pct"/>
                  <w:vMerge w:val="restart"/>
                  <w:tcBorders>
                    <w:tl2br w:val="nil"/>
                    <w:tr2bl w:val="nil"/>
                  </w:tcBorders>
                  <w:vAlign w:val="center"/>
                </w:tcPr>
                <w:p w14:paraId="7C695C83">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重点管控单元（云南寻甸产业园区重点管控单元）</w:t>
                  </w:r>
                </w:p>
              </w:tc>
              <w:tc>
                <w:tcPr>
                  <w:tcW w:w="267" w:type="pct"/>
                  <w:tcBorders>
                    <w:tl2br w:val="nil"/>
                    <w:tr2bl w:val="nil"/>
                  </w:tcBorders>
                  <w:vAlign w:val="center"/>
                </w:tcPr>
                <w:p w14:paraId="4CBA517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空间布局</w:t>
                  </w:r>
                </w:p>
                <w:p w14:paraId="24D2E4C4">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约束</w:t>
                  </w:r>
                </w:p>
              </w:tc>
              <w:tc>
                <w:tcPr>
                  <w:tcW w:w="1901" w:type="pct"/>
                  <w:tcBorders>
                    <w:tl2br w:val="nil"/>
                    <w:tr2bl w:val="nil"/>
                  </w:tcBorders>
                  <w:vAlign w:val="center"/>
                </w:tcPr>
                <w:p w14:paraId="2F155BFB">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1.入驻项目须符合国家及云南省相关产业政策、符合园区规划产业布局。</w:t>
                  </w:r>
                  <w:r>
                    <w:rPr>
                      <w:b w:val="0"/>
                      <w:color w:val="000000" w:themeColor="text1"/>
                      <w14:textFill>
                        <w14:solidFill>
                          <w14:schemeClr w14:val="tx1"/>
                        </w14:solidFill>
                      </w14:textFill>
                    </w:rPr>
                    <w:br w:type="textWrapping"/>
                  </w:r>
                  <w:r>
                    <w:rPr>
                      <w:b w:val="0"/>
                      <w:color w:val="000000" w:themeColor="text1"/>
                      <w14:textFill>
                        <w14:solidFill>
                          <w14:schemeClr w14:val="tx1"/>
                        </w14:solidFill>
                      </w14:textFill>
                    </w:rPr>
                    <w:t>2.严禁不符合要求的高风险高污染行业入驻。</w:t>
                  </w:r>
                  <w:r>
                    <w:rPr>
                      <w:b w:val="0"/>
                      <w:color w:val="000000" w:themeColor="text1"/>
                      <w14:textFill>
                        <w14:solidFill>
                          <w14:schemeClr w14:val="tx1"/>
                        </w14:solidFill>
                      </w14:textFill>
                    </w:rPr>
                    <w:br w:type="textWrapping"/>
                  </w:r>
                  <w:r>
                    <w:rPr>
                      <w:b w:val="0"/>
                      <w:color w:val="000000" w:themeColor="text1"/>
                      <w14:textFill>
                        <w14:solidFill>
                          <w14:schemeClr w14:val="tx1"/>
                        </w14:solidFill>
                      </w14:textFill>
                    </w:rPr>
                    <w:t>3.金所片区：禁止引入需水量大，生产废水不能实现循环回用不外排的企业。</w:t>
                  </w:r>
                  <w:r>
                    <w:rPr>
                      <w:b w:val="0"/>
                      <w:color w:val="000000" w:themeColor="text1"/>
                      <w14:textFill>
                        <w14:solidFill>
                          <w14:schemeClr w14:val="tx1"/>
                        </w14:solidFill>
                      </w14:textFill>
                    </w:rPr>
                    <w:br w:type="textWrapping"/>
                  </w:r>
                  <w:r>
                    <w:rPr>
                      <w:b w:val="0"/>
                      <w:color w:val="000000" w:themeColor="text1"/>
                      <w14:textFill>
                        <w14:solidFill>
                          <w14:schemeClr w14:val="tx1"/>
                        </w14:solidFill>
                      </w14:textFill>
                    </w:rPr>
                    <w:t>4.金所片区金所组团禁止新建、改建、扩建化工生产线项目。</w:t>
                  </w:r>
                </w:p>
              </w:tc>
              <w:tc>
                <w:tcPr>
                  <w:tcW w:w="1699" w:type="pct"/>
                  <w:tcBorders>
                    <w:tl2br w:val="nil"/>
                    <w:tr2bl w:val="nil"/>
                  </w:tcBorders>
                  <w:vAlign w:val="center"/>
                </w:tcPr>
                <w:p w14:paraId="0F58EE64">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1.本项目位于云南寻甸产业园区金所片区金所组团内，属于</w:t>
                  </w:r>
                  <w:r>
                    <w:rPr>
                      <w:rFonts w:hint="eastAsia"/>
                      <w:b w:val="0"/>
                      <w:color w:val="000000" w:themeColor="text1"/>
                      <w14:textFill>
                        <w14:solidFill>
                          <w14:schemeClr w14:val="tx1"/>
                        </w14:solidFill>
                      </w14:textFill>
                    </w:rPr>
                    <w:t>肥料制造项目</w:t>
                  </w:r>
                  <w:r>
                    <w:rPr>
                      <w:b w:val="0"/>
                      <w:color w:val="000000" w:themeColor="text1"/>
                      <w14:textFill>
                        <w14:solidFill>
                          <w14:schemeClr w14:val="tx1"/>
                        </w14:solidFill>
                      </w14:textFill>
                    </w:rPr>
                    <w:t>，与金所片区发展规划不冲突。</w:t>
                  </w:r>
                </w:p>
                <w:p w14:paraId="658742DB">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2.本项目不属于造纸、印染类高风险高污染企业</w:t>
                  </w:r>
                  <w:r>
                    <w:rPr>
                      <w:rFonts w:hint="eastAsia"/>
                      <w:b w:val="0"/>
                      <w:color w:val="000000" w:themeColor="text1"/>
                      <w14:textFill>
                        <w14:solidFill>
                          <w14:schemeClr w14:val="tx1"/>
                        </w14:solidFill>
                      </w14:textFill>
                    </w:rPr>
                    <w:t>。</w:t>
                  </w:r>
                </w:p>
                <w:p w14:paraId="74C0A522">
                  <w:pPr>
                    <w:pStyle w:val="74"/>
                    <w:jc w:val="both"/>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3.</w:t>
                  </w:r>
                  <w:r>
                    <w:rPr>
                      <w:b w:val="0"/>
                      <w:color w:val="000000" w:themeColor="text1"/>
                      <w14:textFill>
                        <w14:solidFill>
                          <w14:schemeClr w14:val="tx1"/>
                        </w14:solidFill>
                      </w14:textFill>
                    </w:rPr>
                    <w:t>项目</w:t>
                  </w:r>
                  <w:r>
                    <w:rPr>
                      <w:rFonts w:hint="eastAsia"/>
                      <w:b w:val="0"/>
                      <w:color w:val="000000" w:themeColor="text1"/>
                      <w14:textFill>
                        <w14:solidFill>
                          <w14:schemeClr w14:val="tx1"/>
                        </w14:solidFill>
                      </w14:textFill>
                    </w:rPr>
                    <w:t>生产废水不外排。</w:t>
                  </w:r>
                </w:p>
                <w:p w14:paraId="1542CA44">
                  <w:pPr>
                    <w:pStyle w:val="74"/>
                    <w:jc w:val="both"/>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4.本项目为肥料制造项目，生产有机肥料，根据寻甸县科学技术和工业信息化局情况说明（见附件10），不按照化工项目进行管理。</w:t>
                  </w:r>
                </w:p>
              </w:tc>
              <w:tc>
                <w:tcPr>
                  <w:tcW w:w="444" w:type="pct"/>
                  <w:tcBorders>
                    <w:tl2br w:val="nil"/>
                    <w:tr2bl w:val="nil"/>
                  </w:tcBorders>
                  <w:vAlign w:val="center"/>
                </w:tcPr>
                <w:p w14:paraId="673B9B3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1BB9B7C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3" w:type="dxa"/>
                  <w:bottom w:w="0" w:type="dxa"/>
                  <w:right w:w="23" w:type="dxa"/>
                </w:tblCellMar>
              </w:tblPrEx>
              <w:trPr>
                <w:jc w:val="center"/>
              </w:trPr>
              <w:tc>
                <w:tcPr>
                  <w:tcW w:w="250" w:type="pct"/>
                  <w:vMerge w:val="continue"/>
                  <w:tcBorders>
                    <w:tl2br w:val="nil"/>
                    <w:tr2bl w:val="nil"/>
                  </w:tcBorders>
                  <w:vAlign w:val="center"/>
                </w:tcPr>
                <w:p w14:paraId="2B3CD851">
                  <w:pPr>
                    <w:pStyle w:val="74"/>
                    <w:rPr>
                      <w:b w:val="0"/>
                      <w:color w:val="000000" w:themeColor="text1"/>
                      <w14:textFill>
                        <w14:solidFill>
                          <w14:schemeClr w14:val="tx1"/>
                        </w14:solidFill>
                      </w14:textFill>
                    </w:rPr>
                  </w:pPr>
                </w:p>
              </w:tc>
              <w:tc>
                <w:tcPr>
                  <w:tcW w:w="436" w:type="pct"/>
                  <w:vMerge w:val="continue"/>
                  <w:tcBorders>
                    <w:tl2br w:val="nil"/>
                    <w:tr2bl w:val="nil"/>
                  </w:tcBorders>
                  <w:vAlign w:val="center"/>
                </w:tcPr>
                <w:p w14:paraId="729F563E">
                  <w:pPr>
                    <w:pStyle w:val="74"/>
                    <w:rPr>
                      <w:b w:val="0"/>
                      <w:color w:val="000000" w:themeColor="text1"/>
                      <w14:textFill>
                        <w14:solidFill>
                          <w14:schemeClr w14:val="tx1"/>
                        </w14:solidFill>
                      </w14:textFill>
                    </w:rPr>
                  </w:pPr>
                </w:p>
              </w:tc>
              <w:tc>
                <w:tcPr>
                  <w:tcW w:w="267" w:type="pct"/>
                  <w:tcBorders>
                    <w:tl2br w:val="nil"/>
                    <w:tr2bl w:val="nil"/>
                  </w:tcBorders>
                  <w:vAlign w:val="center"/>
                </w:tcPr>
                <w:p w14:paraId="73E65A11">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污染物</w:t>
                  </w:r>
                </w:p>
                <w:p w14:paraId="702E5441">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排放管控</w:t>
                  </w:r>
                </w:p>
              </w:tc>
              <w:tc>
                <w:tcPr>
                  <w:tcW w:w="1901" w:type="pct"/>
                  <w:tcBorders>
                    <w:tl2br w:val="nil"/>
                    <w:tr2bl w:val="nil"/>
                  </w:tcBorders>
                  <w:vAlign w:val="center"/>
                </w:tcPr>
                <w:p w14:paraId="03053816">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1.主要指标二氧化硫、氮氧化物、挥发性有机废气达到《环境空气质量标准》（GB3095—2012）二级标准。</w:t>
                  </w:r>
                  <w:r>
                    <w:rPr>
                      <w:b w:val="0"/>
                      <w:color w:val="000000" w:themeColor="text1"/>
                      <w14:textFill>
                        <w14:solidFill>
                          <w14:schemeClr w14:val="tx1"/>
                        </w14:solidFill>
                      </w14:textFill>
                    </w:rPr>
                    <w:br w:type="textWrapping"/>
                  </w:r>
                  <w:r>
                    <w:rPr>
                      <w:b w:val="0"/>
                      <w:color w:val="000000" w:themeColor="text1"/>
                      <w14:textFill>
                        <w14:solidFill>
                          <w14:schemeClr w14:val="tx1"/>
                        </w14:solidFill>
                      </w14:textFill>
                    </w:rPr>
                    <w:t>2.现状已发展成熟的煤磷盐化工企业及目前做到零排放的企业按现状方式排水；金所片区：未来</w:t>
                  </w:r>
                  <w:r>
                    <w:rPr>
                      <w:rFonts w:hint="eastAsia"/>
                      <w:b w:val="0"/>
                      <w:color w:val="000000" w:themeColor="text1"/>
                      <w14:textFill>
                        <w14:solidFill>
                          <w14:schemeClr w14:val="tx1"/>
                        </w14:solidFill>
                      </w14:textFill>
                    </w:rPr>
                    <w:t>入驻</w:t>
                  </w:r>
                  <w:r>
                    <w:rPr>
                      <w:b w:val="0"/>
                      <w:color w:val="000000" w:themeColor="text1"/>
                      <w14:textFill>
                        <w14:solidFill>
                          <w14:schemeClr w14:val="tx1"/>
                        </w14:solidFill>
                      </w14:textFill>
                    </w:rPr>
                    <w:t>企业生产废水由企业自行处理达标后循环回用不外排。</w:t>
                  </w:r>
                  <w:r>
                    <w:rPr>
                      <w:b w:val="0"/>
                      <w:color w:val="000000" w:themeColor="text1"/>
                      <w14:textFill>
                        <w14:solidFill>
                          <w14:schemeClr w14:val="tx1"/>
                        </w14:solidFill>
                      </w14:textFill>
                    </w:rPr>
                    <w:br w:type="textWrapping"/>
                  </w:r>
                  <w:r>
                    <w:rPr>
                      <w:b w:val="0"/>
                      <w:color w:val="000000" w:themeColor="text1"/>
                      <w14:textFill>
                        <w14:solidFill>
                          <w14:schemeClr w14:val="tx1"/>
                        </w14:solidFill>
                      </w14:textFill>
                    </w:rPr>
                    <w:t>3.入驻企业生活废水须自行预处理达到相关行业标准及《污水排入城镇下水道水质标准》（GB/T1962—2015）（A）等级后方可排入园区污水处理厂。</w:t>
                  </w:r>
                  <w:r>
                    <w:rPr>
                      <w:b w:val="0"/>
                      <w:color w:val="000000" w:themeColor="text1"/>
                      <w14:textFill>
                        <w14:solidFill>
                          <w14:schemeClr w14:val="tx1"/>
                        </w14:solidFill>
                      </w14:textFill>
                    </w:rPr>
                    <w:br w:type="textWrapping"/>
                  </w:r>
                  <w:r>
                    <w:rPr>
                      <w:b w:val="0"/>
                      <w:color w:val="000000" w:themeColor="text1"/>
                      <w14:textFill>
                        <w14:solidFill>
                          <w14:schemeClr w14:val="tx1"/>
                        </w14:solidFill>
                      </w14:textFill>
                    </w:rPr>
                    <w:t>4.生活垃圾无害化处理率达90%以上，工业固废处置利用率不小于95%。</w:t>
                  </w:r>
                </w:p>
              </w:tc>
              <w:tc>
                <w:tcPr>
                  <w:tcW w:w="1699" w:type="pct"/>
                  <w:tcBorders>
                    <w:tl2br w:val="nil"/>
                    <w:tr2bl w:val="nil"/>
                  </w:tcBorders>
                  <w:vAlign w:val="center"/>
                </w:tcPr>
                <w:p w14:paraId="1B3608B8">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1.项目所在园区空气质量满足《环境空气质量标准》（GB3095－20</w:t>
                  </w:r>
                  <w:r>
                    <w:rPr>
                      <w:rFonts w:hint="eastAsia"/>
                      <w:b w:val="0"/>
                      <w:color w:val="000000" w:themeColor="text1"/>
                      <w14:textFill>
                        <w14:solidFill>
                          <w14:schemeClr w14:val="tx1"/>
                        </w14:solidFill>
                      </w14:textFill>
                    </w:rPr>
                    <w:t>26</w:t>
                  </w:r>
                  <w:r>
                    <w:rPr>
                      <w:b w:val="0"/>
                      <w:color w:val="000000" w:themeColor="text1"/>
                      <w14:textFill>
                        <w14:solidFill>
                          <w14:schemeClr w14:val="tx1"/>
                        </w14:solidFill>
                      </w14:textFill>
                    </w:rPr>
                    <w:t>）中二级标准要求。</w:t>
                  </w:r>
                </w:p>
                <w:p w14:paraId="1B1021DC">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2.本项目</w:t>
                  </w:r>
                  <w:r>
                    <w:rPr>
                      <w:rFonts w:hint="eastAsia"/>
                      <w:b w:val="0"/>
                      <w:color w:val="000000" w:themeColor="text1"/>
                      <w14:textFill>
                        <w14:solidFill>
                          <w14:schemeClr w14:val="tx1"/>
                        </w14:solidFill>
                      </w14:textFill>
                    </w:rPr>
                    <w:t>生产废水不外排</w:t>
                  </w:r>
                  <w:r>
                    <w:rPr>
                      <w:b w:val="0"/>
                      <w:color w:val="000000" w:themeColor="text1"/>
                      <w14:textFill>
                        <w14:solidFill>
                          <w14:schemeClr w14:val="tx1"/>
                        </w14:solidFill>
                      </w14:textFill>
                    </w:rPr>
                    <w:t>；</w:t>
                  </w:r>
                </w:p>
                <w:p w14:paraId="23EDA0B5">
                  <w:pPr>
                    <w:pStyle w:val="74"/>
                    <w:jc w:val="both"/>
                    <w:rPr>
                      <w:b w:val="0"/>
                      <w:color w:val="000000" w:themeColor="text1"/>
                      <w:highlight w:val="yellow"/>
                      <w14:textFill>
                        <w14:solidFill>
                          <w14:schemeClr w14:val="tx1"/>
                        </w14:solidFill>
                      </w14:textFill>
                    </w:rPr>
                  </w:pPr>
                  <w:r>
                    <w:rPr>
                      <w:rFonts w:hint="eastAsia"/>
                      <w:b w:val="0"/>
                      <w:color w:val="000000" w:themeColor="text1"/>
                      <w14:textFill>
                        <w14:solidFill>
                          <w14:schemeClr w14:val="tx1"/>
                        </w14:solidFill>
                      </w14:textFill>
                    </w:rPr>
                    <w:t>3.本项目</w:t>
                  </w:r>
                  <w:r>
                    <w:rPr>
                      <w:b w:val="0"/>
                      <w:color w:val="000000" w:themeColor="text1"/>
                      <w14:textFill>
                        <w14:solidFill>
                          <w14:schemeClr w14:val="tx1"/>
                        </w14:solidFill>
                      </w14:textFill>
                    </w:rPr>
                    <w:t>生活污水</w:t>
                  </w:r>
                  <w:r>
                    <w:rPr>
                      <w:rFonts w:hint="eastAsia"/>
                      <w:b w:val="0"/>
                      <w:color w:val="000000" w:themeColor="text1"/>
                      <w14:textFill>
                        <w14:solidFill>
                          <w14:schemeClr w14:val="tx1"/>
                        </w14:solidFill>
                      </w14:textFill>
                    </w:rPr>
                    <w:t>不外排</w:t>
                  </w:r>
                  <w:r>
                    <w:rPr>
                      <w:b w:val="0"/>
                      <w:color w:val="000000" w:themeColor="text1"/>
                      <w14:textFill>
                        <w14:solidFill>
                          <w14:schemeClr w14:val="tx1"/>
                        </w14:solidFill>
                      </w14:textFill>
                    </w:rPr>
                    <w:t>。</w:t>
                  </w:r>
                </w:p>
                <w:p w14:paraId="60A91FE6">
                  <w:pPr>
                    <w:pStyle w:val="74"/>
                    <w:jc w:val="both"/>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4</w:t>
                  </w:r>
                  <w:r>
                    <w:rPr>
                      <w:b w:val="0"/>
                      <w:color w:val="000000" w:themeColor="text1"/>
                      <w14:textFill>
                        <w14:solidFill>
                          <w14:schemeClr w14:val="tx1"/>
                        </w14:solidFill>
                      </w14:textFill>
                    </w:rPr>
                    <w:t>.本项目产生的生活垃圾委托工业园区环卫部门统一清运，固废处理率达到100%。</w:t>
                  </w:r>
                </w:p>
              </w:tc>
              <w:tc>
                <w:tcPr>
                  <w:tcW w:w="444" w:type="pct"/>
                  <w:tcBorders>
                    <w:tl2br w:val="nil"/>
                    <w:tr2bl w:val="nil"/>
                  </w:tcBorders>
                  <w:vAlign w:val="center"/>
                </w:tcPr>
                <w:p w14:paraId="1ED35E28">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138A5E8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3" w:type="dxa"/>
                  <w:bottom w:w="0" w:type="dxa"/>
                  <w:right w:w="23" w:type="dxa"/>
                </w:tblCellMar>
              </w:tblPrEx>
              <w:trPr>
                <w:jc w:val="center"/>
              </w:trPr>
              <w:tc>
                <w:tcPr>
                  <w:tcW w:w="250" w:type="pct"/>
                  <w:vMerge w:val="continue"/>
                  <w:tcBorders>
                    <w:tl2br w:val="nil"/>
                    <w:tr2bl w:val="nil"/>
                  </w:tcBorders>
                  <w:vAlign w:val="center"/>
                </w:tcPr>
                <w:p w14:paraId="13ABE4E9">
                  <w:pPr>
                    <w:pStyle w:val="74"/>
                    <w:rPr>
                      <w:b w:val="0"/>
                      <w:color w:val="000000" w:themeColor="text1"/>
                      <w14:textFill>
                        <w14:solidFill>
                          <w14:schemeClr w14:val="tx1"/>
                        </w14:solidFill>
                      </w14:textFill>
                    </w:rPr>
                  </w:pPr>
                </w:p>
              </w:tc>
              <w:tc>
                <w:tcPr>
                  <w:tcW w:w="436" w:type="pct"/>
                  <w:vMerge w:val="continue"/>
                  <w:tcBorders>
                    <w:tl2br w:val="nil"/>
                    <w:tr2bl w:val="nil"/>
                  </w:tcBorders>
                  <w:vAlign w:val="center"/>
                </w:tcPr>
                <w:p w14:paraId="4DD014D8">
                  <w:pPr>
                    <w:pStyle w:val="74"/>
                    <w:rPr>
                      <w:b w:val="0"/>
                      <w:color w:val="000000" w:themeColor="text1"/>
                      <w14:textFill>
                        <w14:solidFill>
                          <w14:schemeClr w14:val="tx1"/>
                        </w14:solidFill>
                      </w14:textFill>
                    </w:rPr>
                  </w:pPr>
                </w:p>
              </w:tc>
              <w:tc>
                <w:tcPr>
                  <w:tcW w:w="267" w:type="pct"/>
                  <w:tcBorders>
                    <w:tl2br w:val="nil"/>
                    <w:tr2bl w:val="nil"/>
                  </w:tcBorders>
                  <w:vAlign w:val="center"/>
                </w:tcPr>
                <w:p w14:paraId="3568E60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环境风险</w:t>
                  </w:r>
                </w:p>
                <w:p w14:paraId="7E639FE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防控</w:t>
                  </w:r>
                </w:p>
              </w:tc>
              <w:tc>
                <w:tcPr>
                  <w:tcW w:w="1901" w:type="pct"/>
                  <w:tcBorders>
                    <w:tl2br w:val="nil"/>
                    <w:tr2bl w:val="nil"/>
                  </w:tcBorders>
                  <w:vAlign w:val="center"/>
                </w:tcPr>
                <w:p w14:paraId="5C9D5458">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1.组织编制环境风险应急预案，通过风险源的识别，制定不同风险源的应急处理处置方案，形成应对突发事故应急处理处置能力。</w:t>
                  </w:r>
                  <w:r>
                    <w:rPr>
                      <w:b w:val="0"/>
                      <w:color w:val="000000" w:themeColor="text1"/>
                      <w14:textFill>
                        <w14:solidFill>
                          <w14:schemeClr w14:val="tx1"/>
                        </w14:solidFill>
                      </w14:textFill>
                    </w:rPr>
                    <w:br w:type="textWrapping"/>
                  </w:r>
                  <w:r>
                    <w:rPr>
                      <w:b w:val="0"/>
                      <w:color w:val="000000" w:themeColor="text1"/>
                      <w14:textFill>
                        <w14:solidFill>
                          <w14:schemeClr w14:val="tx1"/>
                        </w14:solidFill>
                      </w14:textFill>
                    </w:rPr>
                    <w:t>2.建设风险事故废水排放管道及处置池。</w:t>
                  </w:r>
                </w:p>
              </w:tc>
              <w:tc>
                <w:tcPr>
                  <w:tcW w:w="1699" w:type="pct"/>
                  <w:tcBorders>
                    <w:tl2br w:val="nil"/>
                    <w:tr2bl w:val="nil"/>
                  </w:tcBorders>
                  <w:vAlign w:val="center"/>
                </w:tcPr>
                <w:p w14:paraId="34564612">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1.本次环评提出企业建成后按照要求</w:t>
                  </w:r>
                  <w:r>
                    <w:rPr>
                      <w:rFonts w:hint="eastAsia"/>
                      <w:b w:val="0"/>
                      <w:color w:val="000000" w:themeColor="text1"/>
                      <w14:textFill>
                        <w14:solidFill>
                          <w14:schemeClr w14:val="tx1"/>
                        </w14:solidFill>
                      </w14:textFill>
                    </w:rPr>
                    <w:t>及时编制</w:t>
                  </w:r>
                  <w:r>
                    <w:rPr>
                      <w:b w:val="0"/>
                      <w:color w:val="000000" w:themeColor="text1"/>
                      <w14:textFill>
                        <w14:solidFill>
                          <w14:schemeClr w14:val="tx1"/>
                        </w14:solidFill>
                      </w14:textFill>
                    </w:rPr>
                    <w:t>环境风险应急预案，并报当地环保部门备案。</w:t>
                  </w:r>
                </w:p>
                <w:p w14:paraId="31DAC78F">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2.本项目</w:t>
                  </w:r>
                  <w:r>
                    <w:rPr>
                      <w:rFonts w:hint="eastAsia"/>
                      <w:b w:val="0"/>
                      <w:color w:val="000000" w:themeColor="text1"/>
                      <w14:textFill>
                        <w14:solidFill>
                          <w14:schemeClr w14:val="tx1"/>
                        </w14:solidFill>
                      </w14:textFill>
                    </w:rPr>
                    <w:t>渗滤液产生量较少，无需建设事故池</w:t>
                  </w:r>
                  <w:r>
                    <w:rPr>
                      <w:b w:val="0"/>
                      <w:color w:val="000000" w:themeColor="text1"/>
                      <w14:textFill>
                        <w14:solidFill>
                          <w14:schemeClr w14:val="tx1"/>
                        </w14:solidFill>
                      </w14:textFill>
                    </w:rPr>
                    <w:t>。</w:t>
                  </w:r>
                </w:p>
              </w:tc>
              <w:tc>
                <w:tcPr>
                  <w:tcW w:w="444" w:type="pct"/>
                  <w:tcBorders>
                    <w:tl2br w:val="nil"/>
                    <w:tr2bl w:val="nil"/>
                  </w:tcBorders>
                  <w:vAlign w:val="center"/>
                </w:tcPr>
                <w:p w14:paraId="6E15148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24D7772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23" w:type="dxa"/>
                  <w:bottom w:w="0" w:type="dxa"/>
                  <w:right w:w="23" w:type="dxa"/>
                </w:tblCellMar>
              </w:tblPrEx>
              <w:trPr>
                <w:jc w:val="center"/>
              </w:trPr>
              <w:tc>
                <w:tcPr>
                  <w:tcW w:w="250" w:type="pct"/>
                  <w:vMerge w:val="continue"/>
                  <w:tcBorders>
                    <w:tl2br w:val="nil"/>
                    <w:tr2bl w:val="nil"/>
                  </w:tcBorders>
                  <w:vAlign w:val="center"/>
                </w:tcPr>
                <w:p w14:paraId="1989596D">
                  <w:pPr>
                    <w:pStyle w:val="74"/>
                    <w:rPr>
                      <w:b w:val="0"/>
                      <w:color w:val="000000" w:themeColor="text1"/>
                      <w14:textFill>
                        <w14:solidFill>
                          <w14:schemeClr w14:val="tx1"/>
                        </w14:solidFill>
                      </w14:textFill>
                    </w:rPr>
                  </w:pPr>
                </w:p>
              </w:tc>
              <w:tc>
                <w:tcPr>
                  <w:tcW w:w="436" w:type="pct"/>
                  <w:vMerge w:val="continue"/>
                  <w:tcBorders>
                    <w:tl2br w:val="nil"/>
                    <w:tr2bl w:val="nil"/>
                  </w:tcBorders>
                  <w:vAlign w:val="center"/>
                </w:tcPr>
                <w:p w14:paraId="554C56D8">
                  <w:pPr>
                    <w:pStyle w:val="74"/>
                    <w:rPr>
                      <w:b w:val="0"/>
                      <w:color w:val="000000" w:themeColor="text1"/>
                      <w14:textFill>
                        <w14:solidFill>
                          <w14:schemeClr w14:val="tx1"/>
                        </w14:solidFill>
                      </w14:textFill>
                    </w:rPr>
                  </w:pPr>
                </w:p>
              </w:tc>
              <w:tc>
                <w:tcPr>
                  <w:tcW w:w="267" w:type="pct"/>
                  <w:tcBorders>
                    <w:tl2br w:val="nil"/>
                    <w:tr2bl w:val="nil"/>
                  </w:tcBorders>
                  <w:vAlign w:val="center"/>
                </w:tcPr>
                <w:p w14:paraId="15835AA8">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资源开发效率要求</w:t>
                  </w:r>
                </w:p>
              </w:tc>
              <w:tc>
                <w:tcPr>
                  <w:tcW w:w="1901" w:type="pct"/>
                  <w:tcBorders>
                    <w:tl2br w:val="nil"/>
                    <w:tr2bl w:val="nil"/>
                  </w:tcBorders>
                  <w:vAlign w:val="center"/>
                </w:tcPr>
                <w:p w14:paraId="5D6E0D2E">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1.清洁生产水平不低于国家清洁生产标准规定的国内先进水平。</w:t>
                  </w:r>
                  <w:r>
                    <w:rPr>
                      <w:b w:val="0"/>
                      <w:color w:val="000000" w:themeColor="text1"/>
                      <w14:textFill>
                        <w14:solidFill>
                          <w14:schemeClr w14:val="tx1"/>
                        </w14:solidFill>
                      </w14:textFill>
                    </w:rPr>
                    <w:br w:type="textWrapping"/>
                  </w:r>
                  <w:r>
                    <w:rPr>
                      <w:b w:val="0"/>
                      <w:color w:val="000000" w:themeColor="text1"/>
                      <w14:textFill>
                        <w14:solidFill>
                          <w14:schemeClr w14:val="tx1"/>
                        </w14:solidFill>
                      </w14:textFill>
                    </w:rPr>
                    <w:t>2.金所片区：工业固废综合利用率≥70%，再生水回用率100%，单位工业增加值综合耗能≤0.5吨标煤/万元。</w:t>
                  </w:r>
                </w:p>
              </w:tc>
              <w:tc>
                <w:tcPr>
                  <w:tcW w:w="1699" w:type="pct"/>
                  <w:tcBorders>
                    <w:tl2br w:val="nil"/>
                    <w:tr2bl w:val="nil"/>
                  </w:tcBorders>
                  <w:vAlign w:val="center"/>
                </w:tcPr>
                <w:p w14:paraId="2FD94B9D">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1.本项目清洁生产水平不低于国家清洁生产标准规定的国内先进水平。</w:t>
                  </w:r>
                </w:p>
                <w:p w14:paraId="179E4886">
                  <w:pPr>
                    <w:pStyle w:val="74"/>
                    <w:jc w:val="both"/>
                    <w:rPr>
                      <w:b w:val="0"/>
                      <w:color w:val="000000" w:themeColor="text1"/>
                      <w14:textFill>
                        <w14:solidFill>
                          <w14:schemeClr w14:val="tx1"/>
                        </w14:solidFill>
                      </w14:textFill>
                    </w:rPr>
                  </w:pPr>
                  <w:r>
                    <w:rPr>
                      <w:b w:val="0"/>
                      <w:color w:val="000000" w:themeColor="text1"/>
                      <w14:textFill>
                        <w14:solidFill>
                          <w14:schemeClr w14:val="tx1"/>
                        </w14:solidFill>
                      </w14:textFill>
                    </w:rPr>
                    <w:t>2.工业固体废物综合利用率≥70%。本项目</w:t>
                  </w:r>
                  <w:r>
                    <w:rPr>
                      <w:rFonts w:hint="eastAsia"/>
                      <w:b w:val="0"/>
                      <w:color w:val="000000" w:themeColor="text1"/>
                      <w14:textFill>
                        <w14:solidFill>
                          <w14:schemeClr w14:val="tx1"/>
                        </w14:solidFill>
                      </w14:textFill>
                    </w:rPr>
                    <w:t>生产废水回用不外排</w:t>
                  </w:r>
                  <w:r>
                    <w:rPr>
                      <w:b w:val="0"/>
                      <w:color w:val="000000" w:themeColor="text1"/>
                      <w14:textFill>
                        <w14:solidFill>
                          <w14:schemeClr w14:val="tx1"/>
                        </w14:solidFill>
                      </w14:textFill>
                    </w:rPr>
                    <w:t>。</w:t>
                  </w:r>
                </w:p>
              </w:tc>
              <w:tc>
                <w:tcPr>
                  <w:tcW w:w="444" w:type="pct"/>
                  <w:tcBorders>
                    <w:tl2br w:val="nil"/>
                    <w:tr2bl w:val="nil"/>
                  </w:tcBorders>
                  <w:vAlign w:val="center"/>
                </w:tcPr>
                <w:p w14:paraId="60BD603A">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bl>
          <w:p w14:paraId="197E01D2">
            <w:pPr>
              <w:spacing w:line="360" w:lineRule="auto"/>
              <w:ind w:firstLine="482"/>
              <w:rPr>
                <w:color w:val="000000" w:themeColor="text1"/>
                <w:sz w:val="24"/>
                <w14:textFill>
                  <w14:solidFill>
                    <w14:schemeClr w14:val="tx1"/>
                  </w14:solidFill>
                </w14:textFill>
              </w:rPr>
            </w:pPr>
            <w:r>
              <w:rPr>
                <w:color w:val="000000" w:themeColor="text1"/>
                <w:sz w:val="24"/>
                <w14:textFill>
                  <w14:solidFill>
                    <w14:schemeClr w14:val="tx1"/>
                  </w14:solidFill>
                </w14:textFill>
              </w:rPr>
              <w:t>因此，本项目建设符合《昆明市生态环境分区管控动态更新方案（2023年）》中的相关要求。</w:t>
            </w:r>
          </w:p>
          <w:bookmarkEnd w:id="5"/>
          <w:bookmarkEnd w:id="6"/>
          <w:bookmarkEnd w:id="7"/>
          <w:p w14:paraId="31AD7C69">
            <w:pPr>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3</w:t>
            </w:r>
            <w:r>
              <w:rPr>
                <w:b/>
                <w:color w:val="000000" w:themeColor="text1"/>
                <w:sz w:val="24"/>
                <w14:textFill>
                  <w14:solidFill>
                    <w14:schemeClr w14:val="tx1"/>
                  </w14:solidFill>
                </w14:textFill>
              </w:rPr>
              <w:t>、与《云南省牛栏江保护条例》符合性分析</w:t>
            </w:r>
          </w:p>
          <w:p w14:paraId="1E915B0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根据《云南省牛栏江保护条例</w:t>
            </w:r>
            <w:r>
              <w:rPr>
                <w:rFonts w:hint="eastAsia"/>
                <w:color w:val="000000" w:themeColor="text1"/>
                <w:sz w:val="24"/>
                <w14:textFill>
                  <w14:solidFill>
                    <w14:schemeClr w14:val="tx1"/>
                  </w14:solidFill>
                </w14:textFill>
              </w:rPr>
              <w:t>》将</w:t>
            </w:r>
            <w:r>
              <w:rPr>
                <w:color w:val="000000" w:themeColor="text1"/>
                <w:sz w:val="24"/>
                <w14:textFill>
                  <w14:solidFill>
                    <w14:schemeClr w14:val="tx1"/>
                  </w14:solidFill>
                </w14:textFill>
              </w:rPr>
              <w:t>牛栏江流域上游保护区划分为水源保护核心区、重点污染控制区和重点水源涵养区。</w:t>
            </w:r>
          </w:p>
          <w:p w14:paraId="115A075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一）水源保护核心区包括德泽水库库区和德泽水库以上牛栏江干流区。德泽水库库区为德泽水库正常蓄水位1790m水面及沿岸外延2000m的范围，区域范围超过一级山脊线的，按照一级山脊线划定；德泽水库以上牛栏江干流区指德泽水库以上干流（包括干流源头矣纳岔口至嘉丽泽对龙河河段）水域及两岸外延1000m的范围，区域范围超过一级山脊线的，按照一级山脊线划定。</w:t>
            </w:r>
          </w:p>
          <w:p w14:paraId="1FA23F1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二）重点污染控制区为水源保护核心区以外，流域范围内的坝区以及花庄河、果马河、普沙河、弥良河、对龙河、杨林河、匡郎河、前进河、马龙河水域及两岸外延3000m的区域，区域范围超过一级山脊线的，按照一级山脊线划定。</w:t>
            </w:r>
          </w:p>
          <w:p w14:paraId="3E87B28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（三）重点水源涵养区为流域范围内除水源保护核心区、重点污染控制区以外的集水区域。</w:t>
            </w:r>
          </w:p>
          <w:p w14:paraId="180BE8D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位于云南寻甸产业园区金所片区金所组团内，根据牛栏江水系功能规划图可知，项目区属于重点污染控制区，本项目与牛栏江流域的位置关系详见附图6。根据《云南省牛栏江保护条例》中第三十二、三十三条中规定的禁止行为分析项目选址符合性。</w:t>
            </w:r>
          </w:p>
          <w:p w14:paraId="160A29C5">
            <w:pPr>
              <w:pStyle w:val="58"/>
              <w:rPr>
                <w:color w:val="000000" w:themeColor="text1"/>
                <w14:textFill>
                  <w14:solidFill>
                    <w14:schemeClr w14:val="tx1"/>
                  </w14:solidFill>
                </w14:textFill>
              </w:rPr>
            </w:pPr>
            <w:r>
              <w:rPr>
                <w:color w:val="000000" w:themeColor="text1"/>
                <w14:textFill>
                  <w14:solidFill>
                    <w14:schemeClr w14:val="tx1"/>
                  </w14:solidFill>
                </w14:textFill>
              </w:rPr>
              <w:t>表1-6  建设内容与《云南省牛栏江保护条例》符合性分析</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847"/>
              <w:gridCol w:w="3260"/>
              <w:gridCol w:w="3333"/>
              <w:gridCol w:w="702"/>
            </w:tblGrid>
            <w:tr w14:paraId="0BB6F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jc w:val="center"/>
              </w:trPr>
              <w:tc>
                <w:tcPr>
                  <w:tcW w:w="520" w:type="pct"/>
                  <w:vAlign w:val="center"/>
                </w:tcPr>
                <w:p w14:paraId="666ABC8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保护区划分</w:t>
                  </w:r>
                </w:p>
              </w:tc>
              <w:tc>
                <w:tcPr>
                  <w:tcW w:w="2001" w:type="pct"/>
                  <w:vAlign w:val="center"/>
                </w:tcPr>
                <w:p w14:paraId="09EE59E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禁止行为</w:t>
                  </w:r>
                </w:p>
              </w:tc>
              <w:tc>
                <w:tcPr>
                  <w:tcW w:w="2046" w:type="pct"/>
                  <w:vAlign w:val="center"/>
                </w:tcPr>
                <w:p w14:paraId="476FB83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建设内容</w:t>
                  </w:r>
                </w:p>
              </w:tc>
              <w:tc>
                <w:tcPr>
                  <w:tcW w:w="431" w:type="pct"/>
                  <w:vAlign w:val="center"/>
                </w:tcPr>
                <w:p w14:paraId="7C93BB2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符合性</w:t>
                  </w:r>
                </w:p>
              </w:tc>
            </w:tr>
            <w:tr w14:paraId="28C85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839" w:hRule="atLeast"/>
                <w:jc w:val="center"/>
              </w:trPr>
              <w:tc>
                <w:tcPr>
                  <w:tcW w:w="520" w:type="pct"/>
                  <w:vMerge w:val="restart"/>
                  <w:vAlign w:val="center"/>
                </w:tcPr>
                <w:p w14:paraId="1680D2D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重点污染控制区</w:t>
                  </w:r>
                </w:p>
              </w:tc>
              <w:tc>
                <w:tcPr>
                  <w:tcW w:w="2001" w:type="pct"/>
                  <w:vAlign w:val="center"/>
                </w:tcPr>
                <w:p w14:paraId="75AF0FB2">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（一）盗伐、滥伐林木和破坏草地；</w:t>
                  </w:r>
                </w:p>
              </w:tc>
              <w:tc>
                <w:tcPr>
                  <w:tcW w:w="2046" w:type="pct"/>
                  <w:vAlign w:val="center"/>
                </w:tcPr>
                <w:p w14:paraId="448F73D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项目位于云南寻甸产业园区金所片区金所组团内，项目用地属于园区工业用地，不存在盗伐、滥伐林木和破坏草地行为。</w:t>
                  </w:r>
                </w:p>
              </w:tc>
              <w:tc>
                <w:tcPr>
                  <w:tcW w:w="431" w:type="pct"/>
                  <w:vAlign w:val="center"/>
                </w:tcPr>
                <w:p w14:paraId="38558651">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760F2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jc w:val="center"/>
              </w:trPr>
              <w:tc>
                <w:tcPr>
                  <w:tcW w:w="520" w:type="pct"/>
                  <w:vMerge w:val="continue"/>
                  <w:vAlign w:val="center"/>
                </w:tcPr>
                <w:p w14:paraId="736C1841">
                  <w:pPr>
                    <w:pStyle w:val="74"/>
                    <w:rPr>
                      <w:b w:val="0"/>
                      <w:color w:val="000000" w:themeColor="text1"/>
                      <w14:textFill>
                        <w14:solidFill>
                          <w14:schemeClr w14:val="tx1"/>
                        </w14:solidFill>
                      </w14:textFill>
                    </w:rPr>
                  </w:pPr>
                </w:p>
              </w:tc>
              <w:tc>
                <w:tcPr>
                  <w:tcW w:w="2001" w:type="pct"/>
                  <w:vAlign w:val="center"/>
                </w:tcPr>
                <w:p w14:paraId="6007D9C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（二）使用高毒、高残留农药；</w:t>
                  </w:r>
                </w:p>
              </w:tc>
              <w:tc>
                <w:tcPr>
                  <w:tcW w:w="2046" w:type="pct"/>
                  <w:vAlign w:val="center"/>
                </w:tcPr>
                <w:p w14:paraId="74C4B99F">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不涉及。</w:t>
                  </w:r>
                </w:p>
              </w:tc>
              <w:tc>
                <w:tcPr>
                  <w:tcW w:w="431" w:type="pct"/>
                  <w:vAlign w:val="center"/>
                </w:tcPr>
                <w:p w14:paraId="28192E45">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1B446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jc w:val="center"/>
              </w:trPr>
              <w:tc>
                <w:tcPr>
                  <w:tcW w:w="520" w:type="pct"/>
                  <w:vMerge w:val="continue"/>
                  <w:vAlign w:val="center"/>
                </w:tcPr>
                <w:p w14:paraId="593D90B0">
                  <w:pPr>
                    <w:pStyle w:val="74"/>
                    <w:rPr>
                      <w:b w:val="0"/>
                      <w:color w:val="000000" w:themeColor="text1"/>
                      <w14:textFill>
                        <w14:solidFill>
                          <w14:schemeClr w14:val="tx1"/>
                        </w14:solidFill>
                      </w14:textFill>
                    </w:rPr>
                  </w:pPr>
                </w:p>
              </w:tc>
              <w:tc>
                <w:tcPr>
                  <w:tcW w:w="2001" w:type="pct"/>
                  <w:vAlign w:val="center"/>
                </w:tcPr>
                <w:p w14:paraId="4DC77F1C">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（三）利用溶洞、渗井、渗坑、裂隙排放、倾倒含有毒有害物质的废水、废渣；</w:t>
                  </w:r>
                </w:p>
              </w:tc>
              <w:tc>
                <w:tcPr>
                  <w:tcW w:w="2046" w:type="pct"/>
                  <w:vMerge w:val="restart"/>
                  <w:vAlign w:val="center"/>
                </w:tcPr>
                <w:p w14:paraId="1433DCF9">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1.项目无废水</w:t>
                  </w:r>
                  <w:r>
                    <w:rPr>
                      <w:rFonts w:hint="eastAsia"/>
                      <w:b w:val="0"/>
                      <w:color w:val="000000" w:themeColor="text1"/>
                      <w14:textFill>
                        <w14:solidFill>
                          <w14:schemeClr w14:val="tx1"/>
                        </w14:solidFill>
                      </w14:textFill>
                    </w:rPr>
                    <w:t>排入水体</w:t>
                  </w:r>
                  <w:r>
                    <w:rPr>
                      <w:b w:val="0"/>
                      <w:color w:val="000000" w:themeColor="text1"/>
                      <w14:textFill>
                        <w14:solidFill>
                          <w14:schemeClr w14:val="tx1"/>
                        </w14:solidFill>
                      </w14:textFill>
                    </w:rPr>
                    <w:t>。</w:t>
                  </w:r>
                </w:p>
                <w:p w14:paraId="531211C3">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2.项目所有固体废弃物均得到合理有效的利用和处置，处置率为100%。</w:t>
                  </w:r>
                </w:p>
              </w:tc>
              <w:tc>
                <w:tcPr>
                  <w:tcW w:w="431" w:type="pct"/>
                  <w:vAlign w:val="center"/>
                </w:tcPr>
                <w:p w14:paraId="1351C63B">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1947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jc w:val="center"/>
              </w:trPr>
              <w:tc>
                <w:tcPr>
                  <w:tcW w:w="520" w:type="pct"/>
                  <w:vMerge w:val="continue"/>
                  <w:vAlign w:val="center"/>
                </w:tcPr>
                <w:p w14:paraId="27EC79A0">
                  <w:pPr>
                    <w:pStyle w:val="74"/>
                    <w:rPr>
                      <w:b w:val="0"/>
                      <w:color w:val="000000" w:themeColor="text1"/>
                      <w14:textFill>
                        <w14:solidFill>
                          <w14:schemeClr w14:val="tx1"/>
                        </w14:solidFill>
                      </w14:textFill>
                    </w:rPr>
                  </w:pPr>
                </w:p>
              </w:tc>
              <w:tc>
                <w:tcPr>
                  <w:tcW w:w="2001" w:type="pct"/>
                  <w:vAlign w:val="center"/>
                </w:tcPr>
                <w:p w14:paraId="093CF963">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（四）向水体排放废水、倾倒工业废渣、城镇垃圾或者其他废弃物；</w:t>
                  </w:r>
                </w:p>
              </w:tc>
              <w:tc>
                <w:tcPr>
                  <w:tcW w:w="2046" w:type="pct"/>
                  <w:vMerge w:val="continue"/>
                  <w:vAlign w:val="center"/>
                </w:tcPr>
                <w:p w14:paraId="1591BBC0">
                  <w:pPr>
                    <w:pStyle w:val="74"/>
                    <w:rPr>
                      <w:b w:val="0"/>
                      <w:color w:val="000000" w:themeColor="text1"/>
                      <w14:textFill>
                        <w14:solidFill>
                          <w14:schemeClr w14:val="tx1"/>
                        </w14:solidFill>
                      </w14:textFill>
                    </w:rPr>
                  </w:pPr>
                </w:p>
              </w:tc>
              <w:tc>
                <w:tcPr>
                  <w:tcW w:w="431" w:type="pct"/>
                  <w:vAlign w:val="center"/>
                </w:tcPr>
                <w:p w14:paraId="1E2176E8">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1CEB1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jc w:val="center"/>
              </w:trPr>
              <w:tc>
                <w:tcPr>
                  <w:tcW w:w="520" w:type="pct"/>
                  <w:vMerge w:val="continue"/>
                  <w:vAlign w:val="center"/>
                </w:tcPr>
                <w:p w14:paraId="749F6DC2">
                  <w:pPr>
                    <w:pStyle w:val="74"/>
                    <w:rPr>
                      <w:b w:val="0"/>
                      <w:color w:val="000000" w:themeColor="text1"/>
                      <w14:textFill>
                        <w14:solidFill>
                          <w14:schemeClr w14:val="tx1"/>
                        </w14:solidFill>
                      </w14:textFill>
                    </w:rPr>
                  </w:pPr>
                </w:p>
              </w:tc>
              <w:tc>
                <w:tcPr>
                  <w:tcW w:w="2001" w:type="pct"/>
                  <w:vAlign w:val="center"/>
                </w:tcPr>
                <w:p w14:paraId="4C7B6481">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（五）在江河、渠道、水库最高水位线以下的滩地、岸坡堆放、存贮固体废弃物或者其他污染物；</w:t>
                  </w:r>
                </w:p>
              </w:tc>
              <w:tc>
                <w:tcPr>
                  <w:tcW w:w="2046" w:type="pct"/>
                  <w:vAlign w:val="center"/>
                </w:tcPr>
                <w:p w14:paraId="3800950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项目危险废物暂存</w:t>
                  </w:r>
                  <w:r>
                    <w:rPr>
                      <w:rFonts w:hint="eastAsia"/>
                      <w:b w:val="0"/>
                      <w:color w:val="000000" w:themeColor="text1"/>
                      <w14:textFill>
                        <w14:solidFill>
                          <w14:schemeClr w14:val="tx1"/>
                        </w14:solidFill>
                      </w14:textFill>
                    </w:rPr>
                    <w:t>库</w:t>
                  </w:r>
                  <w:r>
                    <w:rPr>
                      <w:b w:val="0"/>
                      <w:color w:val="000000" w:themeColor="text1"/>
                      <w14:textFill>
                        <w14:solidFill>
                          <w14:schemeClr w14:val="tx1"/>
                        </w14:solidFill>
                      </w14:textFill>
                    </w:rPr>
                    <w:t>暂存危险废物，并委托资质单位进行处置，危险废物贮存设施的选址与设计、运行与管理、安全防护、环境监测及应急措施等</w:t>
                  </w:r>
                  <w:r>
                    <w:rPr>
                      <w:rFonts w:hint="eastAsia"/>
                      <w:b w:val="0"/>
                      <w:color w:val="000000" w:themeColor="text1"/>
                      <w14:textFill>
                        <w14:solidFill>
                          <w14:schemeClr w14:val="tx1"/>
                        </w14:solidFill>
                      </w14:textFill>
                    </w:rPr>
                    <w:t>符合</w:t>
                  </w:r>
                  <w:r>
                    <w:rPr>
                      <w:b w:val="0"/>
                      <w:color w:val="000000" w:themeColor="text1"/>
                      <w14:textFill>
                        <w14:solidFill>
                          <w14:schemeClr w14:val="tx1"/>
                        </w14:solidFill>
                      </w14:textFill>
                    </w:rPr>
                    <w:t>《危险废物贮存污染控制标准》（GB18597-2023）的规定。</w:t>
                  </w:r>
                </w:p>
              </w:tc>
              <w:tc>
                <w:tcPr>
                  <w:tcW w:w="431" w:type="pct"/>
                  <w:vAlign w:val="center"/>
                </w:tcPr>
                <w:p w14:paraId="12C7166D">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05E1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jc w:val="center"/>
              </w:trPr>
              <w:tc>
                <w:tcPr>
                  <w:tcW w:w="520" w:type="pct"/>
                  <w:vMerge w:val="continue"/>
                  <w:vAlign w:val="center"/>
                </w:tcPr>
                <w:p w14:paraId="34E2F820">
                  <w:pPr>
                    <w:pStyle w:val="74"/>
                    <w:rPr>
                      <w:b w:val="0"/>
                      <w:color w:val="000000" w:themeColor="text1"/>
                      <w14:textFill>
                        <w14:solidFill>
                          <w14:schemeClr w14:val="tx1"/>
                        </w14:solidFill>
                      </w14:textFill>
                    </w:rPr>
                  </w:pPr>
                </w:p>
              </w:tc>
              <w:tc>
                <w:tcPr>
                  <w:tcW w:w="2001" w:type="pct"/>
                  <w:vAlign w:val="center"/>
                </w:tcPr>
                <w:p w14:paraId="71DBB57A">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（六）利用无防渗漏措施的沟渠、坑塘等输送或者存贮含有毒污染物的废水、含病原体的污水或者其他废弃物。</w:t>
                  </w:r>
                </w:p>
              </w:tc>
              <w:tc>
                <w:tcPr>
                  <w:tcW w:w="2046" w:type="pct"/>
                  <w:vAlign w:val="center"/>
                </w:tcPr>
                <w:p w14:paraId="4C677AD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项目不产生含有毒、病原体的污水，项目各污染物均得到妥善处置，无此行为。</w:t>
                  </w:r>
                </w:p>
              </w:tc>
              <w:tc>
                <w:tcPr>
                  <w:tcW w:w="431" w:type="pct"/>
                  <w:vAlign w:val="center"/>
                </w:tcPr>
                <w:p w14:paraId="0762A189">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01F77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jc w:val="center"/>
              </w:trPr>
              <w:tc>
                <w:tcPr>
                  <w:tcW w:w="520" w:type="pct"/>
                  <w:vMerge w:val="continue"/>
                  <w:vAlign w:val="center"/>
                </w:tcPr>
                <w:p w14:paraId="16B3B32A">
                  <w:pPr>
                    <w:pStyle w:val="74"/>
                    <w:rPr>
                      <w:b w:val="0"/>
                      <w:color w:val="000000" w:themeColor="text1"/>
                      <w14:textFill>
                        <w14:solidFill>
                          <w14:schemeClr w14:val="tx1"/>
                        </w14:solidFill>
                      </w14:textFill>
                    </w:rPr>
                  </w:pPr>
                </w:p>
              </w:tc>
              <w:tc>
                <w:tcPr>
                  <w:tcW w:w="2001" w:type="pct"/>
                  <w:vAlign w:val="center"/>
                </w:tcPr>
                <w:p w14:paraId="791D16D5">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（七）新建、扩建工业园区；</w:t>
                  </w:r>
                </w:p>
              </w:tc>
              <w:tc>
                <w:tcPr>
                  <w:tcW w:w="2046" w:type="pct"/>
                  <w:vAlign w:val="center"/>
                </w:tcPr>
                <w:p w14:paraId="4E547CF4">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无此行为。</w:t>
                  </w:r>
                </w:p>
              </w:tc>
              <w:tc>
                <w:tcPr>
                  <w:tcW w:w="431" w:type="pct"/>
                  <w:vAlign w:val="center"/>
                </w:tcPr>
                <w:p w14:paraId="4E1114AD">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7AE32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jc w:val="center"/>
              </w:trPr>
              <w:tc>
                <w:tcPr>
                  <w:tcW w:w="520" w:type="pct"/>
                  <w:vMerge w:val="continue"/>
                  <w:vAlign w:val="center"/>
                </w:tcPr>
                <w:p w14:paraId="051C5DBD">
                  <w:pPr>
                    <w:pStyle w:val="74"/>
                    <w:rPr>
                      <w:b w:val="0"/>
                      <w:color w:val="000000" w:themeColor="text1"/>
                      <w14:textFill>
                        <w14:solidFill>
                          <w14:schemeClr w14:val="tx1"/>
                        </w14:solidFill>
                      </w14:textFill>
                    </w:rPr>
                  </w:pPr>
                </w:p>
              </w:tc>
              <w:tc>
                <w:tcPr>
                  <w:tcW w:w="2001" w:type="pct"/>
                  <w:vAlign w:val="center"/>
                </w:tcPr>
                <w:p w14:paraId="268E0761">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（八）新建、扩建重点水污染物排放的工业项目；</w:t>
                  </w:r>
                </w:p>
              </w:tc>
              <w:tc>
                <w:tcPr>
                  <w:tcW w:w="2046" w:type="pct"/>
                  <w:vAlign w:val="center"/>
                </w:tcPr>
                <w:p w14:paraId="0432619A">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项目不是重点水污染物排放的工业项目。</w:t>
                  </w:r>
                </w:p>
              </w:tc>
              <w:tc>
                <w:tcPr>
                  <w:tcW w:w="431" w:type="pct"/>
                  <w:vAlign w:val="center"/>
                </w:tcPr>
                <w:p w14:paraId="68A9EB6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06B9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jc w:val="center"/>
              </w:trPr>
              <w:tc>
                <w:tcPr>
                  <w:tcW w:w="520" w:type="pct"/>
                  <w:vMerge w:val="continue"/>
                  <w:vAlign w:val="center"/>
                </w:tcPr>
                <w:p w14:paraId="74CAB4A8">
                  <w:pPr>
                    <w:pStyle w:val="74"/>
                    <w:rPr>
                      <w:b w:val="0"/>
                      <w:color w:val="000000" w:themeColor="text1"/>
                      <w14:textFill>
                        <w14:solidFill>
                          <w14:schemeClr w14:val="tx1"/>
                        </w14:solidFill>
                      </w14:textFill>
                    </w:rPr>
                  </w:pPr>
                </w:p>
              </w:tc>
              <w:tc>
                <w:tcPr>
                  <w:tcW w:w="2001" w:type="pct"/>
                  <w:vAlign w:val="center"/>
                </w:tcPr>
                <w:p w14:paraId="1E3A3DFF">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（九）新建、改建、扩建经营性陵园、公墓。</w:t>
                  </w:r>
                </w:p>
              </w:tc>
              <w:tc>
                <w:tcPr>
                  <w:tcW w:w="2046" w:type="pct"/>
                  <w:vAlign w:val="center"/>
                </w:tcPr>
                <w:p w14:paraId="66C1240A">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与项目无关。</w:t>
                  </w:r>
                </w:p>
              </w:tc>
              <w:tc>
                <w:tcPr>
                  <w:tcW w:w="431" w:type="pct"/>
                  <w:vAlign w:val="center"/>
                </w:tcPr>
                <w:p w14:paraId="6664D0F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bl>
          <w:p w14:paraId="0360596E">
            <w:pPr>
              <w:spacing w:line="360" w:lineRule="auto"/>
              <w:ind w:firstLine="480" w:firstLineChars="200"/>
              <w:rPr>
                <w:b/>
                <w:color w:val="000000" w:themeColor="text1"/>
                <w:sz w:val="24"/>
                <w14:textFill>
                  <w14:solidFill>
                    <w14:schemeClr w14:val="tx1"/>
                  </w14:solidFill>
                </w14:textFill>
              </w:rPr>
            </w:pPr>
            <w:r>
              <w:rPr>
                <w:color w:val="000000" w:themeColor="text1"/>
                <w:sz w:val="24"/>
                <w14:textFill>
                  <w14:solidFill>
                    <w14:schemeClr w14:val="tx1"/>
                  </w14:solidFill>
                </w14:textFill>
              </w:rPr>
              <w:t>综上所述，本项目生产中不涉及高毒、高残留农药，项目废水不外排；固废均能得到有效处置，处置率达100%。项目建设和运营期不存在牛栏江污染控制区禁止的行为，故项目与《云南省牛栏江保护条例》相符。</w:t>
            </w:r>
          </w:p>
          <w:p w14:paraId="195D64AA">
            <w:pPr>
              <w:adjustRightInd w:val="0"/>
              <w:snapToGrid w:val="0"/>
              <w:spacing w:line="360" w:lineRule="auto"/>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4、与《牛栏江流域（云南部分）水环境保护规划（2009~2030）》的相符性分析</w:t>
            </w:r>
          </w:p>
          <w:p w14:paraId="6F07DB8B">
            <w:pPr>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根据《牛栏江流域（云南部分）水环境保护规划（2009~2030）》，牛栏江流域（云南段）水环境保护划分为两大控制区，即牛栏江上游（德泽水库坝址以上）重点保护区、牛栏江下游生态与环境保护区。其中牛栏江上游（德泽水库坝址以上）重点保护区包括水源保护核心区、重点污染控制区、水源涵养区。水源保护核心区包括牛栏江干流水面，河岸外围陆域1000米范围；德泽水库水面，库岸外围陆域2000m范围。涉及乡镇主要有牛栏江镇、塘子镇、河口乡、七星乡、德泽乡，面积为625.3km²，属于重点保护区。重点污染控制区主要是水源保护核心区边界外的坝区。涉及小哨乡、嵩阳镇、小街镇、杨桥乡、羊街镇、金所乡、月望乡、大坡乡、菱角乡、田坝乡十个乡镇，面积1892.</w:t>
            </w:r>
            <w:r>
              <w:rPr>
                <w:rFonts w:hint="eastAsia"/>
                <w:color w:val="000000" w:themeColor="text1"/>
                <w:kern w:val="0"/>
                <w:sz w:val="24"/>
                <w14:textFill>
                  <w14:solidFill>
                    <w14:schemeClr w14:val="tx1"/>
                  </w14:solidFill>
                </w14:textFill>
              </w:rPr>
              <w:t>5</w:t>
            </w:r>
            <w:r>
              <w:rPr>
                <w:color w:val="000000" w:themeColor="text1"/>
                <w:kern w:val="0"/>
                <w:sz w:val="24"/>
                <w14:textFill>
                  <w14:solidFill>
                    <w14:schemeClr w14:val="tx1"/>
                  </w14:solidFill>
                </w14:textFill>
              </w:rPr>
              <w:t>6km²，属于污染重点治理区。水源涵养区包括除水源保护核心区、重点污染控制区以外的山地。涉及杨林镇、仁德镇、通泉镇、王家庄镇、马过河镇、旧县镇六个乡镇，面积1764.16km²。</w:t>
            </w:r>
          </w:p>
          <w:p w14:paraId="2745B14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位于云南寻甸产业园区金所片区金所组团内，根据牛栏江水系功能规划图，项目属于重点污染控制区。根据《牛栏江流域（云南部分）水环境保护规划（2009~2030）》中的工业园区污染源控制规划，开展杨林工业园区、寻甸特色工业园区和马龙工业园区的综合环境执法检查，清查园区内现有工业企业，对违反国家法律法规、产业政策及入园规定的企业实行关停或限期整改，建设完善污水处理设施、有毒有害固体废弃物处置设施。</w:t>
            </w:r>
          </w:p>
          <w:p w14:paraId="5D1048DF">
            <w:pPr>
              <w:spacing w:line="360" w:lineRule="auto"/>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项目排水采用雨污分流的排水方式，生产过程中废水回用不外排；员工不在项目区食宿，办公生活和如厕依托云南建工云岭水泥有限公司已建的设施，生活污水依托已建的污水处理设施进行处理，不外排。</w:t>
            </w:r>
            <w:r>
              <w:rPr>
                <w:color w:val="000000" w:themeColor="text1"/>
                <w:kern w:val="0"/>
                <w:sz w:val="24"/>
                <w14:textFill>
                  <w14:solidFill>
                    <w14:schemeClr w14:val="tx1"/>
                  </w14:solidFill>
                </w14:textFill>
              </w:rPr>
              <w:t>项目内设有垃圾和危废收集设施，可保证固废合理收集处置，</w:t>
            </w:r>
            <w:r>
              <w:rPr>
                <w:rFonts w:hint="eastAsia"/>
                <w:color w:val="000000" w:themeColor="text1"/>
                <w:kern w:val="0"/>
                <w:sz w:val="24"/>
                <w14:textFill>
                  <w14:solidFill>
                    <w14:schemeClr w14:val="tx1"/>
                  </w14:solidFill>
                </w14:textFill>
              </w:rPr>
              <w:t>生活垃圾</w:t>
            </w:r>
            <w:r>
              <w:rPr>
                <w:color w:val="000000" w:themeColor="text1"/>
                <w:kern w:val="0"/>
                <w:sz w:val="24"/>
                <w14:textFill>
                  <w14:solidFill>
                    <w14:schemeClr w14:val="tx1"/>
                  </w14:solidFill>
                </w14:textFill>
              </w:rPr>
              <w:t>由环卫部门进行处置，危废收集后委托有资质单位处理。项目选址符合《云南省牛栏江保护条例》中的选址要求。</w:t>
            </w:r>
          </w:p>
          <w:p w14:paraId="53897F9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综上所述，项目选址符合《牛栏江流域（云南部分）水环境保护规划（2009~2030）》对重点污染控制区的水环境保护要求。</w:t>
            </w:r>
          </w:p>
          <w:p w14:paraId="39F6215A">
            <w:pPr>
              <w:spacing w:line="360" w:lineRule="auto"/>
              <w:ind w:firstLine="482" w:firstLineChars="200"/>
              <w:rPr>
                <w:rFonts w:hint="eastAsia"/>
                <w:b/>
                <w:color w:val="000000" w:themeColor="text1"/>
                <w:sz w:val="24"/>
                <w14:textFill>
                  <w14:solidFill>
                    <w14:schemeClr w14:val="tx1"/>
                  </w14:solidFill>
                </w14:textFill>
              </w:rPr>
            </w:pPr>
          </w:p>
          <w:p w14:paraId="1E784C68">
            <w:pPr>
              <w:spacing w:line="360" w:lineRule="auto"/>
              <w:ind w:firstLine="482" w:firstLineChars="200"/>
              <w:rPr>
                <w:color w:val="000000" w:themeColor="text1"/>
                <w:kern w:val="0"/>
                <w:sz w:val="24"/>
                <w14:textFill>
                  <w14:solidFill>
                    <w14:schemeClr w14:val="tx1"/>
                  </w14:solidFill>
                </w14:textFill>
              </w:rPr>
            </w:pPr>
            <w:r>
              <w:rPr>
                <w:rFonts w:hint="eastAsia"/>
                <w:b/>
                <w:color w:val="000000" w:themeColor="text1"/>
                <w:sz w:val="24"/>
                <w14:textFill>
                  <w14:solidFill>
                    <w14:schemeClr w14:val="tx1"/>
                  </w14:solidFill>
                </w14:textFill>
              </w:rPr>
              <w:t>5、</w:t>
            </w:r>
            <w:r>
              <w:rPr>
                <w:b/>
                <w:bCs/>
                <w:color w:val="000000" w:themeColor="text1"/>
                <w:kern w:val="0"/>
                <w:sz w:val="24"/>
                <w14:textFill>
                  <w14:solidFill>
                    <w14:schemeClr w14:val="tx1"/>
                  </w14:solidFill>
                </w14:textFill>
              </w:rPr>
              <w:t>与《牛栏江流域（寻甸段）水环境保护规划（20</w:t>
            </w:r>
            <w:r>
              <w:rPr>
                <w:rFonts w:hint="eastAsia"/>
                <w:b/>
                <w:bCs/>
                <w:color w:val="000000" w:themeColor="text1"/>
                <w:kern w:val="0"/>
                <w:sz w:val="24"/>
                <w14:textFill>
                  <w14:solidFill>
                    <w14:schemeClr w14:val="tx1"/>
                  </w14:solidFill>
                </w14:textFill>
              </w:rPr>
              <w:t>09</w:t>
            </w:r>
            <w:r>
              <w:rPr>
                <w:b/>
                <w:bCs/>
                <w:color w:val="000000" w:themeColor="text1"/>
                <w:kern w:val="0"/>
                <w:sz w:val="24"/>
                <w14:textFill>
                  <w14:solidFill>
                    <w14:schemeClr w14:val="tx1"/>
                  </w14:solidFill>
                </w14:textFill>
              </w:rPr>
              <w:t>~2030）》的相符性分析</w:t>
            </w:r>
          </w:p>
          <w:p w14:paraId="14AC499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根据《牛栏江流域（寻甸段）水环境保护规划》分区结果，牛栏江流域（寻甸段）共分为三个区进行保护，水源保护核心区、重点污染控制区、重点水源涵养区，各分区范围节点如下：</w:t>
            </w:r>
          </w:p>
          <w:p w14:paraId="4FAAA2F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水源保护核心区范围为牛栏江流域（寻甸段）干流1000m范围。水源保护核心区分为禁止建设区、限制建设区两个区，禁止建设区范围指干流河面水域及沿岸外延200m的区域，限制建设区范围指干流沿岸外200m—1000m之间的区域。</w:t>
            </w:r>
          </w:p>
          <w:p w14:paraId="0C85C9D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②重点污染控制区范围指水体保护核心区外，主要入江支流水域外延3000m的区域和流域范围内的坝区，若区域范围超过一级山脊，按一级山脊线划定。</w:t>
            </w:r>
          </w:p>
          <w:p w14:paraId="7C45DD46">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③重点水源涵养区范围指流域范围内除水源保护核心区、重点污染控制区以外的区域。</w:t>
            </w:r>
          </w:p>
          <w:p w14:paraId="79FB26A7">
            <w:pPr>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本项目位于</w:t>
            </w:r>
            <w:r>
              <w:rPr>
                <w:color w:val="000000" w:themeColor="text1"/>
                <w:sz w:val="24"/>
                <w14:textFill>
                  <w14:solidFill>
                    <w14:schemeClr w14:val="tx1"/>
                  </w14:solidFill>
                </w14:textFill>
              </w:rPr>
              <w:t>云南寻甸产业园区金所片区金所组团内</w:t>
            </w:r>
            <w:r>
              <w:rPr>
                <w:color w:val="000000" w:themeColor="text1"/>
                <w:kern w:val="0"/>
                <w:sz w:val="24"/>
                <w14:textFill>
                  <w14:solidFill>
                    <w14:schemeClr w14:val="tx1"/>
                  </w14:solidFill>
                </w14:textFill>
              </w:rPr>
              <w:t>，属重点污染控制区。对照《牛栏江（寻甸段）水环境保护规划（20</w:t>
            </w:r>
            <w:r>
              <w:rPr>
                <w:rFonts w:hint="eastAsia"/>
                <w:color w:val="000000" w:themeColor="text1"/>
                <w:kern w:val="0"/>
                <w:sz w:val="24"/>
                <w14:textFill>
                  <w14:solidFill>
                    <w14:schemeClr w14:val="tx1"/>
                  </w14:solidFill>
                </w14:textFill>
              </w:rPr>
              <w:t>09</w:t>
            </w:r>
            <w:r>
              <w:rPr>
                <w:color w:val="000000" w:themeColor="text1"/>
                <w:kern w:val="0"/>
                <w:sz w:val="24"/>
                <w14:textFill>
                  <w14:solidFill>
                    <w14:schemeClr w14:val="tx1"/>
                  </w14:solidFill>
                </w14:textFill>
              </w:rPr>
              <w:t>~2030）》对重点污染控制区的水环境保护策略，项目符合性分析见表1-</w:t>
            </w:r>
            <w:r>
              <w:rPr>
                <w:rFonts w:hint="eastAsia"/>
                <w:color w:val="000000" w:themeColor="text1"/>
                <w:kern w:val="0"/>
                <w:sz w:val="24"/>
                <w14:textFill>
                  <w14:solidFill>
                    <w14:schemeClr w14:val="tx1"/>
                  </w14:solidFill>
                </w14:textFill>
              </w:rPr>
              <w:t>7</w:t>
            </w:r>
            <w:r>
              <w:rPr>
                <w:color w:val="000000" w:themeColor="text1"/>
                <w:kern w:val="0"/>
                <w:sz w:val="24"/>
                <w14:textFill>
                  <w14:solidFill>
                    <w14:schemeClr w14:val="tx1"/>
                  </w14:solidFill>
                </w14:textFill>
              </w:rPr>
              <w:t>。</w:t>
            </w:r>
          </w:p>
          <w:p w14:paraId="01E5C28D">
            <w:pPr>
              <w:pStyle w:val="58"/>
              <w:rPr>
                <w:color w:val="000000" w:themeColor="text1"/>
                <w14:textFill>
                  <w14:solidFill>
                    <w14:schemeClr w14:val="tx1"/>
                  </w14:solidFill>
                </w14:textFill>
              </w:rPr>
            </w:pPr>
            <w:r>
              <w:rPr>
                <w:color w:val="000000" w:themeColor="text1"/>
                <w14:textFill>
                  <w14:solidFill>
                    <w14:schemeClr w14:val="tx1"/>
                  </w14:solidFill>
                </w14:textFill>
              </w:rPr>
              <w:t>表1-</w:t>
            </w:r>
            <w:r>
              <w:rPr>
                <w:rFonts w:hint="eastAsia"/>
                <w:color w:val="000000" w:themeColor="text1"/>
                <w14:textFill>
                  <w14:solidFill>
                    <w14:schemeClr w14:val="tx1"/>
                  </w14:solidFill>
                </w14:textFill>
              </w:rPr>
              <w:t>7</w:t>
            </w:r>
            <w:r>
              <w:rPr>
                <w:color w:val="000000" w:themeColor="text1"/>
                <w14:textFill>
                  <w14:solidFill>
                    <w14:schemeClr w14:val="tx1"/>
                  </w14:solidFill>
                </w14:textFill>
              </w:rPr>
              <w:t xml:space="preserve">  对照分析符合表</w:t>
            </w:r>
          </w:p>
          <w:tbl>
            <w:tblPr>
              <w:tblStyle w:val="25"/>
              <w:tblW w:w="79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3"/>
              <w:gridCol w:w="3829"/>
              <w:gridCol w:w="3033"/>
              <w:gridCol w:w="661"/>
            </w:tblGrid>
            <w:tr w14:paraId="79066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443" w:type="dxa"/>
                  <w:vAlign w:val="center"/>
                </w:tcPr>
                <w:p w14:paraId="278D0B11">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序号</w:t>
                  </w:r>
                </w:p>
              </w:tc>
              <w:tc>
                <w:tcPr>
                  <w:tcW w:w="3829" w:type="dxa"/>
                  <w:vAlign w:val="center"/>
                </w:tcPr>
                <w:p w14:paraId="3EA84719">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《牛栏江流域（寻甸段）水环境保护规划》水环境保护策略</w:t>
                  </w:r>
                </w:p>
              </w:tc>
              <w:tc>
                <w:tcPr>
                  <w:tcW w:w="3033" w:type="dxa"/>
                  <w:vAlign w:val="center"/>
                </w:tcPr>
                <w:p w14:paraId="01104F49">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该项目情况</w:t>
                  </w:r>
                </w:p>
              </w:tc>
              <w:tc>
                <w:tcPr>
                  <w:tcW w:w="661" w:type="dxa"/>
                  <w:vAlign w:val="center"/>
                </w:tcPr>
                <w:p w14:paraId="705BE15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相符性</w:t>
                  </w:r>
                </w:p>
              </w:tc>
            </w:tr>
            <w:tr w14:paraId="3AFDE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443" w:type="dxa"/>
                  <w:vAlign w:val="center"/>
                </w:tcPr>
                <w:p w14:paraId="7F8D50AA">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1</w:t>
                  </w:r>
                </w:p>
              </w:tc>
              <w:tc>
                <w:tcPr>
                  <w:tcW w:w="3829" w:type="dxa"/>
                  <w:vAlign w:val="center"/>
                </w:tcPr>
                <w:p w14:paraId="682BBD9D">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加强对重点工业污染源的监督，确保牛栏江流域（寻甸段）内重点企业污水稳定达标排放并实现“零排放”，固体废弃物最大程度重复利用和安全处置，消除工业企业的环境安全隐患，确保环保设施的正常运行，杜绝工业企业偷排、漏排污染物的现象。</w:t>
                  </w:r>
                </w:p>
              </w:tc>
              <w:tc>
                <w:tcPr>
                  <w:tcW w:w="3033" w:type="dxa"/>
                  <w:vAlign w:val="center"/>
                </w:tcPr>
                <w:p w14:paraId="00D02F1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本项目废水不外排。项目</w:t>
                  </w:r>
                  <w:r>
                    <w:rPr>
                      <w:rFonts w:hint="eastAsia"/>
                      <w:b w:val="0"/>
                      <w:color w:val="000000" w:themeColor="text1"/>
                      <w14:textFill>
                        <w14:solidFill>
                          <w14:schemeClr w14:val="tx1"/>
                        </w14:solidFill>
                      </w14:textFill>
                    </w:rPr>
                    <w:t>设置危废暂存库</w:t>
                  </w:r>
                  <w:r>
                    <w:rPr>
                      <w:b w:val="0"/>
                      <w:color w:val="000000" w:themeColor="text1"/>
                      <w14:textFill>
                        <w14:solidFill>
                          <w14:schemeClr w14:val="tx1"/>
                        </w14:solidFill>
                      </w14:textFill>
                    </w:rPr>
                    <w:t>，危废收集</w:t>
                  </w:r>
                  <w:r>
                    <w:rPr>
                      <w:rFonts w:hint="eastAsia"/>
                      <w:b w:val="0"/>
                      <w:color w:val="000000" w:themeColor="text1"/>
                      <w14:textFill>
                        <w14:solidFill>
                          <w14:schemeClr w14:val="tx1"/>
                        </w14:solidFill>
                      </w14:textFill>
                    </w:rPr>
                    <w:t>暂存</w:t>
                  </w:r>
                  <w:r>
                    <w:rPr>
                      <w:b w:val="0"/>
                      <w:color w:val="000000" w:themeColor="text1"/>
                      <w14:textFill>
                        <w14:solidFill>
                          <w14:schemeClr w14:val="tx1"/>
                        </w14:solidFill>
                      </w14:textFill>
                    </w:rPr>
                    <w:t>后委托有资质单位处理。</w:t>
                  </w:r>
                </w:p>
              </w:tc>
              <w:tc>
                <w:tcPr>
                  <w:tcW w:w="661" w:type="dxa"/>
                  <w:vAlign w:val="center"/>
                </w:tcPr>
                <w:p w14:paraId="548DDA8B">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2277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443" w:type="dxa"/>
                  <w:vAlign w:val="center"/>
                </w:tcPr>
                <w:p w14:paraId="25E88E7A">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2</w:t>
                  </w:r>
                </w:p>
              </w:tc>
              <w:tc>
                <w:tcPr>
                  <w:tcW w:w="3829" w:type="dxa"/>
                  <w:vAlign w:val="center"/>
                </w:tcPr>
                <w:p w14:paraId="775C671C">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建设再生水回用系统，不得建设不符合国家产业政策的工业项目及高污染工业项目；新建工业项目废水不得排放有毒有害物质，改扩建项目不得新增 COD、TN、TP排放量；新建、改建、扩建工业项目应采用先进的生产工艺和污染防治技术，其清洁生产水平达到国家清洁生产标准中的国内先进水平。</w:t>
                  </w:r>
                </w:p>
              </w:tc>
              <w:tc>
                <w:tcPr>
                  <w:tcW w:w="3033" w:type="dxa"/>
                  <w:vAlign w:val="center"/>
                </w:tcPr>
                <w:p w14:paraId="58661A85">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项目不属于高污染工业项目，本项目</w:t>
                  </w:r>
                  <w:r>
                    <w:rPr>
                      <w:rFonts w:hint="eastAsia"/>
                      <w:b w:val="0"/>
                      <w:color w:val="000000" w:themeColor="text1"/>
                      <w14:textFill>
                        <w14:solidFill>
                          <w14:schemeClr w14:val="tx1"/>
                        </w14:solidFill>
                      </w14:textFill>
                    </w:rPr>
                    <w:t>废水不外排，</w:t>
                  </w:r>
                  <w:r>
                    <w:rPr>
                      <w:b w:val="0"/>
                      <w:color w:val="000000" w:themeColor="text1"/>
                      <w14:textFill>
                        <w14:solidFill>
                          <w14:schemeClr w14:val="tx1"/>
                        </w14:solidFill>
                      </w14:textFill>
                    </w:rPr>
                    <w:t>不排放有毒有害物质。</w:t>
                  </w:r>
                </w:p>
              </w:tc>
              <w:tc>
                <w:tcPr>
                  <w:tcW w:w="661" w:type="dxa"/>
                  <w:vAlign w:val="center"/>
                </w:tcPr>
                <w:p w14:paraId="2F46E8A8">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bl>
          <w:p w14:paraId="38E1D3AF">
            <w:pPr>
              <w:spacing w:line="360" w:lineRule="auto"/>
              <w:ind w:firstLine="480" w:firstLineChars="200"/>
              <w:rPr>
                <w:b/>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由上表可知，项目不违反《牛栏江流域（寻甸段）水环境保护规划》对</w:t>
            </w:r>
            <w:r>
              <w:rPr>
                <w:color w:val="000000" w:themeColor="text1"/>
                <w:kern w:val="0"/>
                <w:sz w:val="24"/>
                <w14:textFill>
                  <w14:solidFill>
                    <w14:schemeClr w14:val="tx1"/>
                  </w14:solidFill>
                </w14:textFill>
              </w:rPr>
              <w:t>重点污染控制区</w:t>
            </w:r>
            <w:r>
              <w:rPr>
                <w:rFonts w:hint="eastAsia" w:ascii="宋体" w:hAnsi="宋体" w:cs="宋体"/>
                <w:color w:val="000000" w:themeColor="text1"/>
                <w:sz w:val="24"/>
                <w14:textFill>
                  <w14:solidFill>
                    <w14:schemeClr w14:val="tx1"/>
                  </w14:solidFill>
                </w14:textFill>
              </w:rPr>
              <w:t>的相关要求。项目的建设与《牛栏江流域（寻甸段）水环境保护规划》相符。</w:t>
            </w:r>
          </w:p>
          <w:p w14:paraId="1D821D81">
            <w:pPr>
              <w:adjustRightInd w:val="0"/>
              <w:snapToGrid w:val="0"/>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6</w:t>
            </w:r>
            <w:r>
              <w:rPr>
                <w:b/>
                <w:color w:val="000000" w:themeColor="text1"/>
                <w:sz w:val="24"/>
                <w14:textFill>
                  <w14:solidFill>
                    <w14:schemeClr w14:val="tx1"/>
                  </w14:solidFill>
                </w14:textFill>
              </w:rPr>
              <w:t>、《长江经济带发展负面清单指南》（试行，2022年版）的通知》的符合性分析</w:t>
            </w:r>
          </w:p>
          <w:p w14:paraId="115E701A">
            <w:pPr>
              <w:spacing w:line="360" w:lineRule="auto"/>
              <w:ind w:firstLine="480" w:firstLineChars="200"/>
              <w:rPr>
                <w:b/>
                <w:color w:val="000000" w:themeColor="text1"/>
                <w:sz w:val="24"/>
                <w14:textFill>
                  <w14:solidFill>
                    <w14:schemeClr w14:val="tx1"/>
                  </w14:solidFill>
                </w14:textFill>
              </w:rPr>
            </w:pPr>
            <w:r>
              <w:rPr>
                <w:color w:val="000000" w:themeColor="text1"/>
                <w:sz w:val="24"/>
                <w14:textFill>
                  <w14:solidFill>
                    <w14:schemeClr w14:val="tx1"/>
                  </w14:solidFill>
                </w14:textFill>
              </w:rPr>
              <w:t>项目与《长江经济带发展负面清单指南》（试行，2022年版）的通知》对比分析情况见下表1-</w:t>
            </w:r>
            <w:r>
              <w:rPr>
                <w:rFonts w:hint="eastAsia"/>
                <w:color w:val="000000" w:themeColor="text1"/>
                <w:sz w:val="24"/>
                <w14:textFill>
                  <w14:solidFill>
                    <w14:schemeClr w14:val="tx1"/>
                  </w14:solidFill>
                </w14:textFill>
              </w:rPr>
              <w:t>8</w:t>
            </w:r>
            <w:r>
              <w:rPr>
                <w:color w:val="000000" w:themeColor="text1"/>
                <w:sz w:val="24"/>
                <w14:textFill>
                  <w14:solidFill>
                    <w14:schemeClr w14:val="tx1"/>
                  </w14:solidFill>
                </w14:textFill>
              </w:rPr>
              <w:t>。</w:t>
            </w:r>
          </w:p>
          <w:p w14:paraId="1CEE5F2B">
            <w:pPr>
              <w:pStyle w:val="58"/>
              <w:rPr>
                <w:color w:val="000000" w:themeColor="text1"/>
                <w:szCs w:val="21"/>
                <w14:textFill>
                  <w14:solidFill>
                    <w14:schemeClr w14:val="tx1"/>
                  </w14:solidFill>
                </w14:textFill>
              </w:rPr>
            </w:pPr>
            <w:r>
              <w:rPr>
                <w:color w:val="000000" w:themeColor="text1"/>
                <w:szCs w:val="21"/>
                <w14:textFill>
                  <w14:solidFill>
                    <w14:schemeClr w14:val="tx1"/>
                  </w14:solidFill>
                </w14:textFill>
              </w:rPr>
              <w:t>表1-</w:t>
            </w:r>
            <w:r>
              <w:rPr>
                <w:rFonts w:hint="eastAsia"/>
                <w:color w:val="000000" w:themeColor="text1"/>
                <w:szCs w:val="21"/>
                <w14:textFill>
                  <w14:solidFill>
                    <w14:schemeClr w14:val="tx1"/>
                  </w14:solidFill>
                </w14:textFill>
              </w:rPr>
              <w:t>8</w:t>
            </w:r>
            <w:r>
              <w:rPr>
                <w:color w:val="000000" w:themeColor="text1"/>
                <w:szCs w:val="21"/>
                <w14:textFill>
                  <w14:solidFill>
                    <w14:schemeClr w14:val="tx1"/>
                  </w14:solidFill>
                </w14:textFill>
              </w:rPr>
              <w:t xml:space="preserve"> 与《长江经济带发展负面清单指南》的通知》相符性分析</w:t>
            </w:r>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4"/>
              <w:gridCol w:w="2731"/>
              <w:gridCol w:w="917"/>
            </w:tblGrid>
            <w:tr w14:paraId="0634C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759" w:type="pct"/>
                  <w:vAlign w:val="center"/>
                </w:tcPr>
                <w:p w14:paraId="532B50B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《指南》要求</w:t>
                  </w:r>
                </w:p>
              </w:tc>
              <w:tc>
                <w:tcPr>
                  <w:tcW w:w="1677" w:type="pct"/>
                  <w:vAlign w:val="center"/>
                </w:tcPr>
                <w:p w14:paraId="7539549D">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本项目</w:t>
                  </w:r>
                </w:p>
              </w:tc>
              <w:tc>
                <w:tcPr>
                  <w:tcW w:w="563" w:type="pct"/>
                  <w:vAlign w:val="center"/>
                </w:tcPr>
                <w:p w14:paraId="6825EA8B">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相符性</w:t>
                  </w:r>
                </w:p>
              </w:tc>
            </w:tr>
            <w:tr w14:paraId="491B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2759" w:type="pct"/>
                  <w:vAlign w:val="center"/>
                </w:tcPr>
                <w:p w14:paraId="55E9EEA5">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（一）</w:t>
                  </w:r>
                  <w:r>
                    <w:rPr>
                      <w:b w:val="0"/>
                      <w:color w:val="000000" w:themeColor="text1"/>
                      <w:lang w:val="zh-CN"/>
                      <w14:textFill>
                        <w14:solidFill>
                          <w14:schemeClr w14:val="tx1"/>
                        </w14:solidFill>
                      </w14:textFill>
                    </w:rPr>
                    <w:t>禁止建设不符合全国和省级港口布局规划以及港口</w:t>
                  </w:r>
                  <w:r>
                    <w:rPr>
                      <w:rFonts w:hint="eastAsia"/>
                      <w:b w:val="0"/>
                      <w:color w:val="000000" w:themeColor="text1"/>
                      <w:lang w:val="zh-CN"/>
                      <w14:textFill>
                        <w14:solidFill>
                          <w14:schemeClr w14:val="tx1"/>
                        </w14:solidFill>
                      </w14:textFill>
                    </w:rPr>
                    <w:t>总体规划</w:t>
                  </w:r>
                  <w:r>
                    <w:rPr>
                      <w:b w:val="0"/>
                      <w:color w:val="000000" w:themeColor="text1"/>
                      <w:lang w:val="zh-CN"/>
                      <w14:textFill>
                        <w14:solidFill>
                          <w14:schemeClr w14:val="tx1"/>
                        </w14:solidFill>
                      </w14:textFill>
                    </w:rPr>
                    <w:t>的码头项目，禁止建设不符合《长江</w:t>
                  </w:r>
                  <w:r>
                    <w:rPr>
                      <w:rFonts w:hint="eastAsia"/>
                      <w:b w:val="0"/>
                      <w:color w:val="000000" w:themeColor="text1"/>
                      <w:lang w:val="zh-CN"/>
                      <w14:textFill>
                        <w14:solidFill>
                          <w14:schemeClr w14:val="tx1"/>
                        </w14:solidFill>
                      </w14:textFill>
                    </w:rPr>
                    <w:t>干线</w:t>
                  </w:r>
                  <w:r>
                    <w:rPr>
                      <w:b w:val="0"/>
                      <w:color w:val="000000" w:themeColor="text1"/>
                      <w:lang w:val="zh-CN"/>
                      <w14:textFill>
                        <w14:solidFill>
                          <w14:schemeClr w14:val="tx1"/>
                        </w14:solidFill>
                      </w14:textFill>
                    </w:rPr>
                    <w:t>过江通道布局规划》的过长江通道项目。</w:t>
                  </w:r>
                </w:p>
              </w:tc>
              <w:tc>
                <w:tcPr>
                  <w:tcW w:w="1677" w:type="pct"/>
                  <w:vAlign w:val="center"/>
                </w:tcPr>
                <w:p w14:paraId="07D12B22">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项目位于云南寻甸产业园区金所片区金所组团内，不属于码头或过长江通道项目。</w:t>
                  </w:r>
                </w:p>
              </w:tc>
              <w:tc>
                <w:tcPr>
                  <w:tcW w:w="563" w:type="pct"/>
                  <w:vAlign w:val="center"/>
                </w:tcPr>
                <w:p w14:paraId="7BA3BE44">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5FB73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2759" w:type="pct"/>
                  <w:vAlign w:val="center"/>
                </w:tcPr>
                <w:p w14:paraId="734A50EC">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（二）</w:t>
                  </w:r>
                  <w:r>
                    <w:rPr>
                      <w:b w:val="0"/>
                      <w:color w:val="000000" w:themeColor="text1"/>
                      <w:lang w:val="zh-CN"/>
                      <w14:textFill>
                        <w14:solidFill>
                          <w14:schemeClr w14:val="tx1"/>
                        </w14:solidFill>
                      </w14:textFill>
                    </w:rPr>
                    <w:t>禁止在自然保护区核心区、缓冲区的岸线和河段范围内投资建设旅游和生产经营项目。禁止在风景名胜区核心景区的岸线和河段范围内投资建设与风景名胜资源保护无关的项目。</w:t>
                  </w:r>
                </w:p>
              </w:tc>
              <w:tc>
                <w:tcPr>
                  <w:tcW w:w="1677" w:type="pct"/>
                  <w:vAlign w:val="center"/>
                </w:tcPr>
                <w:p w14:paraId="3770DE48">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项目位于云南寻甸产业园区金所片区金所组团内，项目选址区域不涉及自然保护区、风景名胜区等，不涉及条款禁止行为。</w:t>
                  </w:r>
                </w:p>
              </w:tc>
              <w:tc>
                <w:tcPr>
                  <w:tcW w:w="563" w:type="pct"/>
                  <w:vAlign w:val="center"/>
                </w:tcPr>
                <w:p w14:paraId="5E93A0B3">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6173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2759" w:type="pct"/>
                  <w:vAlign w:val="center"/>
                </w:tcPr>
                <w:p w14:paraId="304CF94B">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（三）</w:t>
                  </w:r>
                  <w:r>
                    <w:rPr>
                      <w:b w:val="0"/>
                      <w:color w:val="000000" w:themeColor="text1"/>
                      <w:lang w:val="zh-CN"/>
                      <w14:textFill>
                        <w14:solidFill>
                          <w14:schemeClr w14:val="tx1"/>
                        </w14:solidFill>
                      </w14:textFill>
                    </w:rPr>
                    <w:t>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w:t>
                  </w:r>
                </w:p>
              </w:tc>
              <w:tc>
                <w:tcPr>
                  <w:tcW w:w="1677" w:type="pct"/>
                  <w:vAlign w:val="center"/>
                </w:tcPr>
                <w:p w14:paraId="2DEB3D4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项目位于云南寻甸产业园区金所片区金所组团内，项目选址区域不涉及</w:t>
                  </w:r>
                  <w:r>
                    <w:rPr>
                      <w:b w:val="0"/>
                      <w:color w:val="000000" w:themeColor="text1"/>
                      <w:lang w:val="zh-CN"/>
                      <w14:textFill>
                        <w14:solidFill>
                          <w14:schemeClr w14:val="tx1"/>
                        </w14:solidFill>
                      </w14:textFill>
                    </w:rPr>
                    <w:t>饮用水水源一、二级保护区，</w:t>
                  </w:r>
                  <w:r>
                    <w:rPr>
                      <w:b w:val="0"/>
                      <w:color w:val="000000" w:themeColor="text1"/>
                      <w14:textFill>
                        <w14:solidFill>
                          <w14:schemeClr w14:val="tx1"/>
                        </w14:solidFill>
                      </w14:textFill>
                    </w:rPr>
                    <w:t>不涉及条款禁止行为。</w:t>
                  </w:r>
                </w:p>
              </w:tc>
              <w:tc>
                <w:tcPr>
                  <w:tcW w:w="563" w:type="pct"/>
                  <w:vAlign w:val="center"/>
                </w:tcPr>
                <w:p w14:paraId="55F88C70">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7E792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2759" w:type="pct"/>
                  <w:vAlign w:val="center"/>
                </w:tcPr>
                <w:p w14:paraId="1822159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（四）</w:t>
                  </w:r>
                  <w:r>
                    <w:rPr>
                      <w:b w:val="0"/>
                      <w:color w:val="000000" w:themeColor="text1"/>
                      <w:lang w:val="zh-CN"/>
                      <w14:textFill>
                        <w14:solidFill>
                          <w14:schemeClr w14:val="tx1"/>
                        </w14:solidFill>
                      </w14:textFill>
                    </w:rPr>
                    <w:t>禁止在水产种质资源保护区的岸线和河段范围内新建围湖造田、围海造地或围填海等投资建设项目。禁止在国家湿地公园的岸线和河段范围内挖沙、采矿，以及任何不符合主体功能定位的投资建设项目。</w:t>
                  </w:r>
                </w:p>
              </w:tc>
              <w:tc>
                <w:tcPr>
                  <w:tcW w:w="1677" w:type="pct"/>
                  <w:vAlign w:val="center"/>
                </w:tcPr>
                <w:p w14:paraId="36BFFF49">
                  <w:pPr>
                    <w:pStyle w:val="74"/>
                    <w:rPr>
                      <w:b w:val="0"/>
                      <w:color w:val="000000" w:themeColor="text1"/>
                      <w14:textFill>
                        <w14:solidFill>
                          <w14:schemeClr w14:val="tx1"/>
                        </w14:solidFill>
                      </w14:textFill>
                    </w:rPr>
                  </w:pPr>
                  <w:r>
                    <w:rPr>
                      <w:b w:val="0"/>
                      <w:color w:val="000000" w:themeColor="text1"/>
                      <w:lang w:val="zh-CN"/>
                      <w14:textFill>
                        <w14:solidFill>
                          <w14:schemeClr w14:val="tx1"/>
                        </w14:solidFill>
                      </w14:textFill>
                    </w:rPr>
                    <w:t>项目不属于在水产种质资源保护区的岸线和河段范围内新建围湖造田、围海造地或围填海等投资建设项目，项目符合主体功能定位的投资建设项目。</w:t>
                  </w:r>
                </w:p>
              </w:tc>
              <w:tc>
                <w:tcPr>
                  <w:tcW w:w="563" w:type="pct"/>
                  <w:vAlign w:val="center"/>
                </w:tcPr>
                <w:p w14:paraId="3397AC6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4625C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2759" w:type="pct"/>
                  <w:vAlign w:val="center"/>
                </w:tcPr>
                <w:p w14:paraId="4491E3A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（五）</w:t>
                  </w:r>
                  <w:r>
                    <w:rPr>
                      <w:b w:val="0"/>
                      <w:color w:val="000000" w:themeColor="text1"/>
                      <w:lang w:val="zh-CN"/>
                      <w14:textFill>
                        <w14:solidFill>
                          <w14:schemeClr w14:val="tx1"/>
                        </w14:solidFill>
                      </w14:textFill>
                    </w:rPr>
                    <w:t>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禁止在《全国重要江河湖泊水功能区划》划定的河段及湖泊保护区、保留区内投资建设不利于水资源及自然生态保护的项目。</w:t>
                  </w:r>
                </w:p>
              </w:tc>
              <w:tc>
                <w:tcPr>
                  <w:tcW w:w="1677" w:type="pct"/>
                  <w:vAlign w:val="center"/>
                </w:tcPr>
                <w:p w14:paraId="611A689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项目在工业园区内，不属于</w:t>
                  </w:r>
                  <w:r>
                    <w:rPr>
                      <w:b w:val="0"/>
                      <w:color w:val="000000" w:themeColor="text1"/>
                      <w:lang w:val="zh-CN"/>
                      <w14:textFill>
                        <w14:solidFill>
                          <w14:schemeClr w14:val="tx1"/>
                        </w14:solidFill>
                      </w14:textFill>
                    </w:rPr>
                    <w:t>违法利用、占用长江流域河湖岸线和投资建设不利于水资源及自然生态保护的项目</w:t>
                  </w:r>
                  <w:r>
                    <w:rPr>
                      <w:b w:val="0"/>
                      <w:color w:val="000000" w:themeColor="text1"/>
                      <w14:textFill>
                        <w14:solidFill>
                          <w14:schemeClr w14:val="tx1"/>
                        </w14:solidFill>
                      </w14:textFill>
                    </w:rPr>
                    <w:t>。</w:t>
                  </w:r>
                </w:p>
              </w:tc>
              <w:tc>
                <w:tcPr>
                  <w:tcW w:w="563" w:type="pct"/>
                  <w:vAlign w:val="center"/>
                </w:tcPr>
                <w:p w14:paraId="714D2CAD">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7F011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59" w:type="pct"/>
                  <w:vAlign w:val="center"/>
                </w:tcPr>
                <w:p w14:paraId="7353219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（六）</w:t>
                  </w:r>
                  <w:r>
                    <w:rPr>
                      <w:b w:val="0"/>
                      <w:color w:val="000000" w:themeColor="text1"/>
                      <w:lang w:val="zh-CN"/>
                      <w14:textFill>
                        <w14:solidFill>
                          <w14:schemeClr w14:val="tx1"/>
                        </w14:solidFill>
                      </w14:textFill>
                    </w:rPr>
                    <w:t>禁止未经许可在长江干支流及湖泊新设、改设或扩大排污口。</w:t>
                  </w:r>
                </w:p>
              </w:tc>
              <w:tc>
                <w:tcPr>
                  <w:tcW w:w="1677" w:type="pct"/>
                  <w:vAlign w:val="center"/>
                </w:tcPr>
                <w:p w14:paraId="579A8A20">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项目废水不外排。</w:t>
                  </w:r>
                </w:p>
              </w:tc>
              <w:tc>
                <w:tcPr>
                  <w:tcW w:w="563" w:type="pct"/>
                  <w:vAlign w:val="center"/>
                </w:tcPr>
                <w:p w14:paraId="74CB100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3573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59" w:type="pct"/>
                  <w:vAlign w:val="center"/>
                </w:tcPr>
                <w:p w14:paraId="079B43D5">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（七）</w:t>
                  </w:r>
                  <w:r>
                    <w:rPr>
                      <w:b w:val="0"/>
                      <w:color w:val="000000" w:themeColor="text1"/>
                      <w:lang w:val="zh-CN"/>
                      <w14:textFill>
                        <w14:solidFill>
                          <w14:schemeClr w14:val="tx1"/>
                        </w14:solidFill>
                      </w14:textFill>
                    </w:rPr>
                    <w:t>禁止在“一江一口两湖七河”和332个水生生物保护区开展生产性捕捞。</w:t>
                  </w:r>
                </w:p>
              </w:tc>
              <w:tc>
                <w:tcPr>
                  <w:tcW w:w="1677" w:type="pct"/>
                  <w:vAlign w:val="center"/>
                </w:tcPr>
                <w:p w14:paraId="1EC7114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项目不涉及捕捞。</w:t>
                  </w:r>
                </w:p>
              </w:tc>
              <w:tc>
                <w:tcPr>
                  <w:tcW w:w="563" w:type="pct"/>
                  <w:vAlign w:val="center"/>
                </w:tcPr>
                <w:p w14:paraId="1AC50CE9">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1C14A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trPr>
              <w:tc>
                <w:tcPr>
                  <w:tcW w:w="2759" w:type="pct"/>
                  <w:vAlign w:val="center"/>
                </w:tcPr>
                <w:p w14:paraId="6F60CA10">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（八）</w:t>
                  </w:r>
                  <w:r>
                    <w:rPr>
                      <w:b w:val="0"/>
                      <w:color w:val="000000" w:themeColor="text1"/>
                      <w:lang w:val="zh-CN"/>
                      <w14:textFill>
                        <w14:solidFill>
                          <w14:schemeClr w14:val="tx1"/>
                        </w14:solidFill>
                      </w14:textFill>
                    </w:rPr>
                    <w:t>禁止在长江干支流、重要湖泊岸线一公里范围内新建、扩建化工园区和化工项目。禁止在长江干流岸线三公里范围内和重要支流岸线一公里范围内新建、改建、扩建尾矿库、冶炼渣库和磷石膏库，以提升安全、生态环境保护水平为目的的改建除外。</w:t>
                  </w:r>
                </w:p>
              </w:tc>
              <w:tc>
                <w:tcPr>
                  <w:tcW w:w="1677" w:type="pct"/>
                  <w:vAlign w:val="center"/>
                </w:tcPr>
                <w:p w14:paraId="796D5B58">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项目位于云南寻甸产业园区金所片区金所组团内，位于合规园区内，</w:t>
                  </w:r>
                  <w:r>
                    <w:rPr>
                      <w:rFonts w:hint="eastAsia"/>
                      <w:b w:val="0"/>
                      <w:color w:val="000000" w:themeColor="text1"/>
                      <w14:textFill>
                        <w14:solidFill>
                          <w14:schemeClr w14:val="tx1"/>
                        </w14:solidFill>
                      </w14:textFill>
                    </w:rPr>
                    <w:t>距离最近的谓所河1200m，</w:t>
                  </w:r>
                  <w:r>
                    <w:rPr>
                      <w:b w:val="0"/>
                      <w:color w:val="000000" w:themeColor="text1"/>
                      <w14:textFill>
                        <w14:solidFill>
                          <w14:schemeClr w14:val="tx1"/>
                        </w14:solidFill>
                      </w14:textFill>
                    </w:rPr>
                    <w:t>项目不属于</w:t>
                  </w:r>
                  <w:r>
                    <w:rPr>
                      <w:b w:val="0"/>
                      <w:color w:val="000000" w:themeColor="text1"/>
                      <w:lang w:val="zh-CN"/>
                      <w14:textFill>
                        <w14:solidFill>
                          <w14:schemeClr w14:val="tx1"/>
                        </w14:solidFill>
                      </w14:textFill>
                    </w:rPr>
                    <w:t>尾矿库、冶炼渣库和磷石膏库的项目</w:t>
                  </w:r>
                  <w:r>
                    <w:rPr>
                      <w:b w:val="0"/>
                      <w:color w:val="000000" w:themeColor="text1"/>
                      <w14:textFill>
                        <w14:solidFill>
                          <w14:schemeClr w14:val="tx1"/>
                        </w14:solidFill>
                      </w14:textFill>
                    </w:rPr>
                    <w:t>。</w:t>
                  </w:r>
                </w:p>
              </w:tc>
              <w:tc>
                <w:tcPr>
                  <w:tcW w:w="563" w:type="pct"/>
                  <w:vAlign w:val="center"/>
                </w:tcPr>
                <w:p w14:paraId="5061FA79">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7D447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2759" w:type="pct"/>
                  <w:vAlign w:val="center"/>
                </w:tcPr>
                <w:p w14:paraId="46A7ABEC">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（九）</w:t>
                  </w:r>
                  <w:r>
                    <w:rPr>
                      <w:b w:val="0"/>
                      <w:color w:val="000000" w:themeColor="text1"/>
                      <w:lang w:val="zh-CN"/>
                      <w14:textFill>
                        <w14:solidFill>
                          <w14:schemeClr w14:val="tx1"/>
                        </w14:solidFill>
                      </w14:textFill>
                    </w:rPr>
                    <w:t>禁止在合规园区外新建、扩建钢铁、石化、化工、焦化、建材、有色、制浆造纸等高污染项目。</w:t>
                  </w:r>
                </w:p>
              </w:tc>
              <w:tc>
                <w:tcPr>
                  <w:tcW w:w="1677" w:type="pct"/>
                  <w:vAlign w:val="center"/>
                </w:tcPr>
                <w:p w14:paraId="7B030C9F">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项目位于</w:t>
                  </w:r>
                  <w:r>
                    <w:rPr>
                      <w:b w:val="0"/>
                      <w:color w:val="000000" w:themeColor="text1"/>
                      <w:lang w:val="zh-CN"/>
                      <w14:textFill>
                        <w14:solidFill>
                          <w14:schemeClr w14:val="tx1"/>
                        </w14:solidFill>
                      </w14:textFill>
                    </w:rPr>
                    <w:t>合规园区内</w:t>
                  </w:r>
                  <w:r>
                    <w:rPr>
                      <w:b w:val="0"/>
                      <w:color w:val="000000" w:themeColor="text1"/>
                      <w14:textFill>
                        <w14:solidFill>
                          <w14:schemeClr w14:val="tx1"/>
                        </w14:solidFill>
                      </w14:textFill>
                    </w:rPr>
                    <w:t>。</w:t>
                  </w:r>
                </w:p>
              </w:tc>
              <w:tc>
                <w:tcPr>
                  <w:tcW w:w="563" w:type="pct"/>
                  <w:vAlign w:val="center"/>
                </w:tcPr>
                <w:p w14:paraId="67C95A32">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774B8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5" w:hRule="atLeast"/>
              </w:trPr>
              <w:tc>
                <w:tcPr>
                  <w:tcW w:w="2759" w:type="pct"/>
                  <w:vAlign w:val="center"/>
                </w:tcPr>
                <w:p w14:paraId="0B21632B">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（十）</w:t>
                  </w:r>
                  <w:r>
                    <w:rPr>
                      <w:b w:val="0"/>
                      <w:color w:val="000000" w:themeColor="text1"/>
                      <w:lang w:val="zh-CN"/>
                      <w14:textFill>
                        <w14:solidFill>
                          <w14:schemeClr w14:val="tx1"/>
                        </w14:solidFill>
                      </w14:textFill>
                    </w:rPr>
                    <w:t>禁止新建、扩建法律法规和相关政策明令禁止的落后产能项目。禁止新建、扩建不符合国家产能置换要求的严重过剩产能行业的项目。禁止新建、扩建不符合要求的高耗能高排放项目。</w:t>
                  </w:r>
                </w:p>
              </w:tc>
              <w:tc>
                <w:tcPr>
                  <w:tcW w:w="1677" w:type="pct"/>
                  <w:vAlign w:val="center"/>
                </w:tcPr>
                <w:p w14:paraId="7FD71F35">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项目不属于</w:t>
                  </w:r>
                  <w:r>
                    <w:rPr>
                      <w:b w:val="0"/>
                      <w:color w:val="000000" w:themeColor="text1"/>
                      <w:lang w:val="zh-CN"/>
                      <w14:textFill>
                        <w14:solidFill>
                          <w14:schemeClr w14:val="tx1"/>
                        </w14:solidFill>
                      </w14:textFill>
                    </w:rPr>
                    <w:t>新建、扩建法律法规和相关政策明令禁止的落后产能项目，不属于禁止新建、扩建不符合国家产能置换要求的严重过剩产能行业的项目，不属于禁止新建、扩建不符合要求的高耗能高排放项目</w:t>
                  </w:r>
                  <w:r>
                    <w:rPr>
                      <w:b w:val="0"/>
                      <w:color w:val="000000" w:themeColor="text1"/>
                      <w14:textFill>
                        <w14:solidFill>
                          <w14:schemeClr w14:val="tx1"/>
                        </w14:solidFill>
                      </w14:textFill>
                    </w:rPr>
                    <w:t>。</w:t>
                  </w:r>
                </w:p>
              </w:tc>
              <w:tc>
                <w:tcPr>
                  <w:tcW w:w="563" w:type="pct"/>
                  <w:vAlign w:val="center"/>
                </w:tcPr>
                <w:p w14:paraId="1EF423E9">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bl>
          <w:p w14:paraId="2EBBD0A6">
            <w:pPr>
              <w:spacing w:line="360" w:lineRule="auto"/>
              <w:ind w:firstLine="420" w:firstLineChars="200"/>
              <w:rPr>
                <w:color w:val="000000" w:themeColor="text1"/>
                <w14:textFill>
                  <w14:solidFill>
                    <w14:schemeClr w14:val="tx1"/>
                  </w14:solidFill>
                </w14:textFill>
              </w:rPr>
            </w:pPr>
            <w:bookmarkStart w:id="9" w:name="_Toc15006"/>
            <w:r>
              <w:rPr>
                <w:rFonts w:hint="eastAsia"/>
                <w:color w:val="000000" w:themeColor="text1"/>
                <w14:textFill>
                  <w14:solidFill>
                    <w14:schemeClr w14:val="tx1"/>
                  </w14:solidFill>
                </w14:textFill>
              </w:rPr>
              <w:t>综上分析，</w:t>
            </w:r>
            <w:r>
              <w:rPr>
                <w:color w:val="000000" w:themeColor="text1"/>
                <w:sz w:val="24"/>
                <w14:textFill>
                  <w14:solidFill>
                    <w14:schemeClr w14:val="tx1"/>
                  </w14:solidFill>
                </w14:textFill>
              </w:rPr>
              <w:t>项目</w:t>
            </w:r>
            <w:r>
              <w:rPr>
                <w:rFonts w:hint="eastAsia"/>
                <w:color w:val="000000" w:themeColor="text1"/>
                <w:sz w:val="24"/>
                <w14:textFill>
                  <w14:solidFill>
                    <w14:schemeClr w14:val="tx1"/>
                  </w14:solidFill>
                </w14:textFill>
              </w:rPr>
              <w:t>符合</w:t>
            </w:r>
            <w:r>
              <w:rPr>
                <w:color w:val="000000" w:themeColor="text1"/>
                <w:sz w:val="24"/>
                <w14:textFill>
                  <w14:solidFill>
                    <w14:schemeClr w14:val="tx1"/>
                  </w14:solidFill>
                </w14:textFill>
              </w:rPr>
              <w:t>《长江经济带发展负面清单指南》（试行，2022年版）的通知》</w:t>
            </w:r>
            <w:r>
              <w:rPr>
                <w:rFonts w:hint="eastAsia"/>
                <w:color w:val="000000" w:themeColor="text1"/>
                <w:sz w:val="24"/>
                <w14:textFill>
                  <w14:solidFill>
                    <w14:schemeClr w14:val="tx1"/>
                  </w14:solidFill>
                </w14:textFill>
              </w:rPr>
              <w:t>的相关要求。</w:t>
            </w:r>
          </w:p>
          <w:p w14:paraId="08C4B4BC">
            <w:pPr>
              <w:spacing w:line="360" w:lineRule="auto"/>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7</w:t>
            </w:r>
            <w:r>
              <w:rPr>
                <w:b/>
                <w:bCs/>
                <w:color w:val="000000" w:themeColor="text1"/>
                <w:kern w:val="0"/>
                <w:sz w:val="24"/>
                <w14:textFill>
                  <w14:solidFill>
                    <w14:schemeClr w14:val="tx1"/>
                  </w14:solidFill>
                </w14:textFill>
              </w:rPr>
              <w:t>、与《云南省长江经济带发展负面清单指南实施细则（试行，2022年版）》的符合性分析</w:t>
            </w:r>
            <w:bookmarkEnd w:id="9"/>
          </w:p>
          <w:p w14:paraId="13590E49">
            <w:pPr>
              <w:pStyle w:val="58"/>
              <w:rPr>
                <w:color w:val="000000" w:themeColor="text1"/>
                <w14:textFill>
                  <w14:solidFill>
                    <w14:schemeClr w14:val="tx1"/>
                  </w14:solidFill>
                </w14:textFill>
              </w:rPr>
            </w:pPr>
            <w:r>
              <w:rPr>
                <w:color w:val="000000" w:themeColor="text1"/>
                <w14:textFill>
                  <w14:solidFill>
                    <w14:schemeClr w14:val="tx1"/>
                  </w14:solidFill>
                </w14:textFill>
              </w:rPr>
              <w:t>表1-</w:t>
            </w:r>
            <w:r>
              <w:rPr>
                <w:rFonts w:hint="eastAsia"/>
                <w:color w:val="000000" w:themeColor="text1"/>
                <w14:textFill>
                  <w14:solidFill>
                    <w14:schemeClr w14:val="tx1"/>
                  </w14:solidFill>
                </w14:textFill>
              </w:rPr>
              <w:t>9</w:t>
            </w:r>
            <w:r>
              <w:rPr>
                <w:color w:val="000000" w:themeColor="text1"/>
                <w14:textFill>
                  <w14:solidFill>
                    <w14:schemeClr w14:val="tx1"/>
                  </w14:solidFill>
                </w14:textFill>
              </w:rPr>
              <w:t xml:space="preserve"> 《云南省长江经济带发展负面清单指南实施细则》符合性分析</w:t>
            </w:r>
          </w:p>
          <w:tbl>
            <w:tblPr>
              <w:tblStyle w:val="25"/>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3" w:type="dxa"/>
                <w:bottom w:w="0" w:type="dxa"/>
                <w:right w:w="23" w:type="dxa"/>
              </w:tblCellMar>
            </w:tblPr>
            <w:tblGrid>
              <w:gridCol w:w="5135"/>
              <w:gridCol w:w="2351"/>
              <w:gridCol w:w="656"/>
            </w:tblGrid>
            <w:tr w14:paraId="6A8C1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jc w:val="center"/>
              </w:trPr>
              <w:tc>
                <w:tcPr>
                  <w:tcW w:w="3152" w:type="pct"/>
                  <w:vAlign w:val="center"/>
                </w:tcPr>
                <w:p w14:paraId="33548900">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规范要求</w:t>
                  </w:r>
                </w:p>
              </w:tc>
              <w:tc>
                <w:tcPr>
                  <w:tcW w:w="1444" w:type="pct"/>
                  <w:vAlign w:val="center"/>
                </w:tcPr>
                <w:p w14:paraId="6641AC11">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项目实际情况</w:t>
                  </w:r>
                </w:p>
              </w:tc>
              <w:tc>
                <w:tcPr>
                  <w:tcW w:w="403" w:type="pct"/>
                  <w:vAlign w:val="center"/>
                </w:tcPr>
                <w:p w14:paraId="399E39D5">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相符性</w:t>
                  </w:r>
                </w:p>
              </w:tc>
            </w:tr>
            <w:tr w14:paraId="4A35A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jc w:val="center"/>
              </w:trPr>
              <w:tc>
                <w:tcPr>
                  <w:tcW w:w="3152" w:type="pct"/>
                  <w:vAlign w:val="center"/>
                </w:tcPr>
                <w:p w14:paraId="6443209C">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禁止新建、改建和扩建不符合《全国内河航道与港</w:t>
                  </w:r>
                </w:p>
                <w:p w14:paraId="2AA03A42">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口布局规划》等全国港口规划和《昭通市港口码头岸线规划（金沙江段 2019 年—2035年）》、《景洪港总体规划（2019—2035年）》等州（市）级以上港口布局规划以及港口总体规划的码头项目。</w:t>
                  </w:r>
                </w:p>
              </w:tc>
              <w:tc>
                <w:tcPr>
                  <w:tcW w:w="1444" w:type="pct"/>
                  <w:vAlign w:val="center"/>
                </w:tcPr>
                <w:p w14:paraId="62795913">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本项目不属于港口布局规划以及港口总体规划的码头项目。</w:t>
                  </w:r>
                </w:p>
              </w:tc>
              <w:tc>
                <w:tcPr>
                  <w:tcW w:w="403" w:type="pct"/>
                  <w:vAlign w:val="center"/>
                </w:tcPr>
                <w:p w14:paraId="215119F2">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47A18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jc w:val="center"/>
              </w:trPr>
              <w:tc>
                <w:tcPr>
                  <w:tcW w:w="3152" w:type="pct"/>
                  <w:vAlign w:val="center"/>
                </w:tcPr>
                <w:p w14:paraId="5DF93A92">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禁止在自然保护区核心区、缓冲区的岸线和河段范</w:t>
                  </w:r>
                </w:p>
                <w:p w14:paraId="3AD4755C">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围内投资建设旅游和生产经营项目。禁止建设与自然保护区保护方向不一致的旅游项目。禁止在自然保护区内进行开矿、采石、挖沙等活动。禁止在自然保护区的核心区和缓冲区内建设任何生产设施，禁止在自然保护区的实验区内建设污染环境、破坏资源或者景观的生产设施。</w:t>
                  </w:r>
                </w:p>
              </w:tc>
              <w:tc>
                <w:tcPr>
                  <w:tcW w:w="1444" w:type="pct"/>
                  <w:vAlign w:val="center"/>
                </w:tcPr>
                <w:p w14:paraId="1D31B945">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本项目不涉及《长江岸线保护和开发利用总体规划》划定的岸线保护区、《全国重要江河湖泊水功能区划》划定的河段保护区、保留区。本项目不属于旅游项目，不进行开矿、采石、挖沙等活动；本项目不属于自然保护区的核心区、缓冲区和试验区内。</w:t>
                  </w:r>
                </w:p>
              </w:tc>
              <w:tc>
                <w:tcPr>
                  <w:tcW w:w="403" w:type="pct"/>
                  <w:vAlign w:val="center"/>
                </w:tcPr>
                <w:p w14:paraId="037C9AF1">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4D529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jc w:val="center"/>
              </w:trPr>
              <w:tc>
                <w:tcPr>
                  <w:tcW w:w="3152" w:type="pct"/>
                  <w:vAlign w:val="center"/>
                </w:tcPr>
                <w:p w14:paraId="26A585E3">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禁止在风景名胜区核心景区的岸线和河段范围内</w:t>
                  </w:r>
                </w:p>
                <w:p w14:paraId="43DB2444">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投资建设与风景名胜资源保护无关的项目。禁止在风景名胜区内进行开山、采石、开矿、开荒、修坟立碑等破坏景观、植被和地形地貌的活动以及修建储存爆炸性、易燃性、放射性、毒害性、腐蚀性物品的设施；禁止在风景名胜区内设立开发区和在核心景区内建设宾馆、会所、培训中心、疗养院以及与风景名胜资源保护无关的投资建设项目。</w:t>
                  </w:r>
                </w:p>
              </w:tc>
              <w:tc>
                <w:tcPr>
                  <w:tcW w:w="1444" w:type="pct"/>
                  <w:vAlign w:val="center"/>
                </w:tcPr>
                <w:p w14:paraId="4C6A5EB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项目用地不涉及风景名胜区。</w:t>
                  </w:r>
                </w:p>
              </w:tc>
              <w:tc>
                <w:tcPr>
                  <w:tcW w:w="403" w:type="pct"/>
                  <w:vAlign w:val="center"/>
                </w:tcPr>
                <w:p w14:paraId="548ECEC2">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50267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jc w:val="center"/>
              </w:trPr>
              <w:tc>
                <w:tcPr>
                  <w:tcW w:w="3152" w:type="pct"/>
                  <w:vAlign w:val="center"/>
                </w:tcPr>
                <w:p w14:paraId="6744D590">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禁止在饮用水水源一级保护区的岸线和河段范围</w:t>
                  </w:r>
                </w:p>
                <w:p w14:paraId="45CDAE2A">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内新建、改建、扩建与供水设施和保护水源无关的投资建设项目，以及网箱养殖、畜禽养殖、旅游等可能污染饮用水水体的投资建设项目。禁止在饮用水水源二级保护区的岸线和河段范围内新建、改建、扩建排放污染物的投资建设项目</w:t>
                  </w:r>
                </w:p>
              </w:tc>
              <w:tc>
                <w:tcPr>
                  <w:tcW w:w="1444" w:type="pct"/>
                  <w:vAlign w:val="center"/>
                </w:tcPr>
                <w:p w14:paraId="43A23CCB">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本项目不涉及饮用水水源一级保护区、饮用水水源二级保护区。</w:t>
                  </w:r>
                </w:p>
              </w:tc>
              <w:tc>
                <w:tcPr>
                  <w:tcW w:w="403" w:type="pct"/>
                  <w:vAlign w:val="center"/>
                </w:tcPr>
                <w:p w14:paraId="08D557E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636F1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jc w:val="center"/>
              </w:trPr>
              <w:tc>
                <w:tcPr>
                  <w:tcW w:w="3152" w:type="pct"/>
                  <w:vAlign w:val="center"/>
                </w:tcPr>
                <w:p w14:paraId="622A781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禁止在水产种质资源保护区的岸线和河段范围内</w:t>
                  </w:r>
                </w:p>
                <w:p w14:paraId="57A78AAD">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新建围湖造田、围湖造地或围填海等投资建设项目。禁止擅自征收、占用国家湿地公园的土地；禁止在国家湿地公园内挖沙、采矿，以及建设度假村、高尔夫球场等任何不符合主体功能定位的投资建设项目。</w:t>
                  </w:r>
                </w:p>
              </w:tc>
              <w:tc>
                <w:tcPr>
                  <w:tcW w:w="1444" w:type="pct"/>
                  <w:vAlign w:val="center"/>
                </w:tcPr>
                <w:p w14:paraId="177FBB83">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本项目不涉及水产种质资源保护区的岸线或河段范围；本项目不涉及国家湿地公园的土地。</w:t>
                  </w:r>
                </w:p>
              </w:tc>
              <w:tc>
                <w:tcPr>
                  <w:tcW w:w="403" w:type="pct"/>
                  <w:vAlign w:val="center"/>
                </w:tcPr>
                <w:p w14:paraId="06B336C0">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080914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jc w:val="center"/>
              </w:trPr>
              <w:tc>
                <w:tcPr>
                  <w:tcW w:w="3152" w:type="pct"/>
                  <w:vAlign w:val="center"/>
                </w:tcPr>
                <w:p w14:paraId="44442390">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禁止违法利用、占用长江流域河湖岸线。禁止在金</w:t>
                  </w:r>
                </w:p>
                <w:p w14:paraId="28C4F922">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沙江岸线保护区和保留区内投资建设除事关公共安全及公众利益的防洪护岸、河道治理、供水、生态环境保护、航道整治、国家重要基础设施以外的项目。禁止在金沙江干流、九大高原湖泊保护区、保留区内投资建设不利于水资源及自然生态保护的项目。</w:t>
                  </w:r>
                </w:p>
              </w:tc>
              <w:tc>
                <w:tcPr>
                  <w:tcW w:w="1444" w:type="pct"/>
                  <w:vAlign w:val="center"/>
                </w:tcPr>
                <w:p w14:paraId="0FC2072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本项目不涉及占用长江流域河湖岸线项目。</w:t>
                  </w:r>
                </w:p>
              </w:tc>
              <w:tc>
                <w:tcPr>
                  <w:tcW w:w="403" w:type="pct"/>
                  <w:vAlign w:val="center"/>
                </w:tcPr>
                <w:p w14:paraId="57C5022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6C0EA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jc w:val="center"/>
              </w:trPr>
              <w:tc>
                <w:tcPr>
                  <w:tcW w:w="3152" w:type="pct"/>
                  <w:vAlign w:val="center"/>
                </w:tcPr>
                <w:p w14:paraId="1EBFF441">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禁止在金沙江干流、长江一级支流建设除党中央、国务院、国家投资主管部门、省级有关部门批复同意以外的过江基础设施项目；禁止未经许可在金沙江干流、长江一级支流、九大高原湖泊流域新设、改设或扩大排污口。</w:t>
                  </w:r>
                </w:p>
              </w:tc>
              <w:tc>
                <w:tcPr>
                  <w:tcW w:w="1444" w:type="pct"/>
                  <w:vAlign w:val="center"/>
                </w:tcPr>
                <w:p w14:paraId="223504D1">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项目不属于过江基础设施项目，项目不涉及新设、改设或扩大排污口。</w:t>
                  </w:r>
                </w:p>
              </w:tc>
              <w:tc>
                <w:tcPr>
                  <w:tcW w:w="403" w:type="pct"/>
                  <w:vAlign w:val="center"/>
                </w:tcPr>
                <w:p w14:paraId="20034CF9">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4398F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jc w:val="center"/>
              </w:trPr>
              <w:tc>
                <w:tcPr>
                  <w:tcW w:w="3152" w:type="pct"/>
                  <w:vAlign w:val="center"/>
                </w:tcPr>
                <w:p w14:paraId="502AD234">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禁止在金沙江干流、长江一级支流、水生生物保护区和长江流域禁捕水域开展天然渔业资源生产性捕捞。</w:t>
                  </w:r>
                </w:p>
              </w:tc>
              <w:tc>
                <w:tcPr>
                  <w:tcW w:w="1444" w:type="pct"/>
                  <w:vAlign w:val="center"/>
                </w:tcPr>
                <w:p w14:paraId="436E73F9">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本项目不涉及天然渔业资源生产性捕捞。</w:t>
                  </w:r>
                </w:p>
              </w:tc>
              <w:tc>
                <w:tcPr>
                  <w:tcW w:w="403" w:type="pct"/>
                  <w:vAlign w:val="center"/>
                </w:tcPr>
                <w:p w14:paraId="43CFA6AB">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267344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jc w:val="center"/>
              </w:trPr>
              <w:tc>
                <w:tcPr>
                  <w:tcW w:w="3152" w:type="pct"/>
                  <w:vAlign w:val="center"/>
                </w:tcPr>
                <w:p w14:paraId="1AF53279">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禁止在金沙江干流，长江一级支流和九大高原湖泊岸线一公里范围内新建、扩建化工园区和化工项目。禁止在金沙江干流岸线三公里范围内和长江一级支流岸线一公里范围内新建、改建、扩建尾矿库、冶炼渣库和磷石膏库，以提升安全、生态环境保护水平为目的的改建除外。</w:t>
                  </w:r>
                </w:p>
              </w:tc>
              <w:tc>
                <w:tcPr>
                  <w:tcW w:w="1444" w:type="pct"/>
                  <w:vAlign w:val="center"/>
                </w:tcPr>
                <w:p w14:paraId="7D4E53F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本项目所在区域不属于金沙江干流、长江一级支流、水生生物保护区、九大高原湖泊岸线一公里范围</w:t>
                  </w:r>
                  <w:r>
                    <w:rPr>
                      <w:rFonts w:hint="eastAsia"/>
                      <w:b w:val="0"/>
                      <w:color w:val="000000" w:themeColor="text1"/>
                      <w14:textFill>
                        <w14:solidFill>
                          <w14:schemeClr w14:val="tx1"/>
                        </w14:solidFill>
                      </w14:textFill>
                    </w:rPr>
                    <w:t>，距离最近的谓所河1200m</w:t>
                  </w:r>
                  <w:r>
                    <w:rPr>
                      <w:b w:val="0"/>
                      <w:color w:val="000000" w:themeColor="text1"/>
                      <w14:textFill>
                        <w14:solidFill>
                          <w14:schemeClr w14:val="tx1"/>
                        </w14:solidFill>
                      </w14:textFill>
                    </w:rPr>
                    <w:t>。</w:t>
                  </w:r>
                </w:p>
              </w:tc>
              <w:tc>
                <w:tcPr>
                  <w:tcW w:w="403" w:type="pct"/>
                  <w:vAlign w:val="center"/>
                </w:tcPr>
                <w:p w14:paraId="0809EFDC">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3C876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jc w:val="center"/>
              </w:trPr>
              <w:tc>
                <w:tcPr>
                  <w:tcW w:w="3152" w:type="pct"/>
                  <w:vAlign w:val="center"/>
                </w:tcPr>
                <w:p w14:paraId="4F2AF290">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禁止在合规园区外新建、扩建钢铁、石化、化工、焦化、建材、有色、制浆造纸行业中的高污染项目。</w:t>
                  </w:r>
                </w:p>
              </w:tc>
              <w:tc>
                <w:tcPr>
                  <w:tcW w:w="1444" w:type="pct"/>
                  <w:vAlign w:val="center"/>
                </w:tcPr>
                <w:p w14:paraId="2002660B">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本项目建设地址为合规园区。</w:t>
                  </w:r>
                </w:p>
              </w:tc>
              <w:tc>
                <w:tcPr>
                  <w:tcW w:w="403" w:type="pct"/>
                  <w:vAlign w:val="center"/>
                </w:tcPr>
                <w:p w14:paraId="29099003">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6ABA0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jc w:val="center"/>
              </w:trPr>
              <w:tc>
                <w:tcPr>
                  <w:tcW w:w="3152" w:type="pct"/>
                  <w:vAlign w:val="center"/>
                </w:tcPr>
                <w:p w14:paraId="48DB588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禁止新建、扩建不符合国家石化、现代煤化工等产业布局规划的项目。禁止列入《云南省城镇人口密集区危险化学品生产企业搬迁改造名单》的搬迁改造企业在原址新建、扩建危险化学品生产项目。</w:t>
                  </w:r>
                </w:p>
              </w:tc>
              <w:tc>
                <w:tcPr>
                  <w:tcW w:w="1444" w:type="pct"/>
                  <w:vAlign w:val="center"/>
                </w:tcPr>
                <w:p w14:paraId="20C3FF3D">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本项目</w:t>
                  </w:r>
                  <w:r>
                    <w:rPr>
                      <w:rFonts w:hint="eastAsia"/>
                      <w:b w:val="0"/>
                      <w:color w:val="000000" w:themeColor="text1"/>
                      <w14:textFill>
                        <w14:solidFill>
                          <w14:schemeClr w14:val="tx1"/>
                        </w14:solidFill>
                      </w14:textFill>
                    </w:rPr>
                    <w:t>为肥料制造项目，</w:t>
                  </w:r>
                  <w:r>
                    <w:rPr>
                      <w:b w:val="0"/>
                      <w:color w:val="000000" w:themeColor="text1"/>
                      <w14:textFill>
                        <w14:solidFill>
                          <w14:schemeClr w14:val="tx1"/>
                        </w14:solidFill>
                      </w14:textFill>
                    </w:rPr>
                    <w:t>不属于不符合国家石化、现代煤化工等产业布局规划的项目；本项目不属于危险化学品生产项目。</w:t>
                  </w:r>
                </w:p>
              </w:tc>
              <w:tc>
                <w:tcPr>
                  <w:tcW w:w="403" w:type="pct"/>
                  <w:vAlign w:val="center"/>
                </w:tcPr>
                <w:p w14:paraId="2FF27A1D">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r w14:paraId="2A80B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3" w:type="dxa"/>
                  <w:bottom w:w="0" w:type="dxa"/>
                  <w:right w:w="23" w:type="dxa"/>
                </w:tblCellMar>
              </w:tblPrEx>
              <w:trPr>
                <w:jc w:val="center"/>
              </w:trPr>
              <w:tc>
                <w:tcPr>
                  <w:tcW w:w="3152" w:type="pct"/>
                  <w:vAlign w:val="center"/>
                </w:tcPr>
                <w:p w14:paraId="1192BF58">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禁止新建、扩建法律法规和相关政策明令禁止的落后产能项目，依法依规关停退出能耗、环保、质量、安全不达标产能和技术落后产能。禁止新建、扩建不符合国家产能置换要求的过剩产能行业的项目。禁止新建、扩建不符合要求的高耗能、高排放项目，推动退出重点高耗能行业“限制类”产能。禁止建设高毒高残留以及对环境影响大的农药原药生产装置，严控尿素、磷铵、电石、焦炭、黄磷、烧碱、纯碱、聚氯乙烯等行业新增产能。</w:t>
                  </w:r>
                </w:p>
              </w:tc>
              <w:tc>
                <w:tcPr>
                  <w:tcW w:w="1444" w:type="pct"/>
                  <w:vAlign w:val="center"/>
                </w:tcPr>
                <w:p w14:paraId="3BBD16C4">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本项目不属于落后产能项目、过剩产能行业的项目、高能耗、高排放项目。本项目不涉及建设高毒高残留以及对环境影响大的农药原药生产装置，不属于尿素、磷铵、电石、焦炭、黄磷、烧碱、纯碱、聚氯乙烯等行业。</w:t>
                  </w:r>
                </w:p>
              </w:tc>
              <w:tc>
                <w:tcPr>
                  <w:tcW w:w="403" w:type="pct"/>
                  <w:vAlign w:val="center"/>
                </w:tcPr>
                <w:p w14:paraId="69920D5B">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相符</w:t>
                  </w:r>
                </w:p>
              </w:tc>
            </w:tr>
          </w:tbl>
          <w:p w14:paraId="2F128A31">
            <w:pPr>
              <w:adjustRightInd w:val="0"/>
              <w:snapToGrid w:val="0"/>
              <w:spacing w:line="360" w:lineRule="auto"/>
              <w:ind w:firstLine="480" w:firstLineChars="200"/>
              <w:rPr>
                <w:b/>
                <w:color w:val="000000" w:themeColor="text1"/>
                <w:sz w:val="24"/>
                <w14:textFill>
                  <w14:solidFill>
                    <w14:schemeClr w14:val="tx1"/>
                  </w14:solidFill>
                </w14:textFill>
              </w:rPr>
            </w:pPr>
            <w:r>
              <w:rPr>
                <w:color w:val="000000" w:themeColor="text1"/>
                <w:sz w:val="24"/>
                <w14:textFill>
                  <w14:solidFill>
                    <w14:schemeClr w14:val="tx1"/>
                  </w14:solidFill>
                </w14:textFill>
              </w:rPr>
              <w:t>综上，本项目与《云南省长江经济带发展负面清单指南实施细则（试行，2022年版）》规定的内容相符合。</w:t>
            </w:r>
          </w:p>
          <w:p w14:paraId="774D1018">
            <w:pPr>
              <w:spacing w:line="360" w:lineRule="auto"/>
              <w:ind w:firstLine="482" w:firstLineChars="200"/>
              <w:rPr>
                <w:b/>
                <w:color w:val="000000" w:themeColor="text1"/>
                <w:spacing w:val="4"/>
                <w:kern w:val="24"/>
                <w:szCs w:val="21"/>
                <w:lang w:bidi="ar"/>
                <w14:textFill>
                  <w14:solidFill>
                    <w14:schemeClr w14:val="tx1"/>
                  </w14:solidFill>
                </w14:textFill>
              </w:rPr>
            </w:pPr>
            <w:bookmarkStart w:id="10" w:name="_Toc26297"/>
            <w:r>
              <w:rPr>
                <w:rFonts w:hint="eastAsia"/>
                <w:b/>
                <w:color w:val="000000" w:themeColor="text1"/>
                <w:sz w:val="24"/>
                <w14:textFill>
                  <w14:solidFill>
                    <w14:schemeClr w14:val="tx1"/>
                  </w14:solidFill>
                </w14:textFill>
              </w:rPr>
              <w:t>8</w:t>
            </w:r>
            <w:r>
              <w:rPr>
                <w:b/>
                <w:color w:val="000000" w:themeColor="text1"/>
                <w:sz w:val="24"/>
                <w14:textFill>
                  <w14:solidFill>
                    <w14:schemeClr w14:val="tx1"/>
                  </w14:solidFill>
                </w14:textFill>
              </w:rPr>
              <w:t>、</w:t>
            </w:r>
            <w:bookmarkEnd w:id="10"/>
            <w:r>
              <w:rPr>
                <w:b/>
                <w:color w:val="000000" w:themeColor="text1"/>
                <w:spacing w:val="4"/>
                <w:kern w:val="24"/>
                <w:sz w:val="24"/>
                <w:lang w:bidi="ar"/>
                <w14:textFill>
                  <w14:solidFill>
                    <w14:schemeClr w14:val="tx1"/>
                  </w14:solidFill>
                </w14:textFill>
              </w:rPr>
              <w:t>与《昆明市大气污染防治条例》相符性分析</w:t>
            </w:r>
          </w:p>
          <w:p w14:paraId="3289C938">
            <w:pPr>
              <w:pStyle w:val="58"/>
              <w:rPr>
                <w:rFonts w:hint="eastAsia"/>
                <w:color w:val="000000" w:themeColor="text1"/>
                <w:spacing w:val="4"/>
                <w:kern w:val="24"/>
                <w:szCs w:val="21"/>
                <w:lang w:bidi="ar"/>
                <w14:textFill>
                  <w14:solidFill>
                    <w14:schemeClr w14:val="tx1"/>
                  </w14:solidFill>
                </w14:textFill>
              </w:rPr>
            </w:pPr>
          </w:p>
          <w:p w14:paraId="2AC1E8EF">
            <w:pPr>
              <w:pStyle w:val="58"/>
              <w:rPr>
                <w:color w:val="000000" w:themeColor="text1"/>
                <w:spacing w:val="4"/>
                <w:kern w:val="24"/>
                <w:szCs w:val="21"/>
                <w:lang w:bidi="ar"/>
                <w14:textFill>
                  <w14:solidFill>
                    <w14:schemeClr w14:val="tx1"/>
                  </w14:solidFill>
                </w14:textFill>
              </w:rPr>
            </w:pPr>
            <w:r>
              <w:rPr>
                <w:color w:val="000000" w:themeColor="text1"/>
                <w:spacing w:val="4"/>
                <w:kern w:val="24"/>
                <w:szCs w:val="21"/>
                <w:lang w:bidi="ar"/>
                <w14:textFill>
                  <w14:solidFill>
                    <w14:schemeClr w14:val="tx1"/>
                  </w14:solidFill>
                </w14:textFill>
              </w:rPr>
              <w:t>表1-</w:t>
            </w:r>
            <w:r>
              <w:rPr>
                <w:rFonts w:hint="eastAsia"/>
                <w:color w:val="000000" w:themeColor="text1"/>
                <w:spacing w:val="4"/>
                <w:kern w:val="24"/>
                <w:szCs w:val="21"/>
                <w:lang w:bidi="ar"/>
                <w14:textFill>
                  <w14:solidFill>
                    <w14:schemeClr w14:val="tx1"/>
                  </w14:solidFill>
                </w14:textFill>
              </w:rPr>
              <w:t>10</w:t>
            </w:r>
            <w:r>
              <w:rPr>
                <w:color w:val="000000" w:themeColor="text1"/>
                <w:spacing w:val="4"/>
                <w:kern w:val="24"/>
                <w:szCs w:val="21"/>
                <w:lang w:bidi="ar"/>
                <w14:textFill>
                  <w14:solidFill>
                    <w14:schemeClr w14:val="tx1"/>
                  </w14:solidFill>
                </w14:textFill>
              </w:rPr>
              <w:t xml:space="preserve">  与《昆明市大气污染防治条例》符合性分析</w:t>
            </w:r>
          </w:p>
          <w:tbl>
            <w:tblPr>
              <w:tblStyle w:val="25"/>
              <w:tblW w:w="78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7"/>
              <w:gridCol w:w="3547"/>
              <w:gridCol w:w="949"/>
            </w:tblGrid>
            <w:tr w14:paraId="548D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3387" w:type="dxa"/>
                  <w:vAlign w:val="center"/>
                </w:tcPr>
                <w:p w14:paraId="57D68B9E">
                  <w:pPr>
                    <w:pStyle w:val="74"/>
                    <w:rPr>
                      <w:b w:val="0"/>
                      <w:bCs/>
                      <w:color w:val="000000" w:themeColor="text1"/>
                      <w14:textFill>
                        <w14:solidFill>
                          <w14:schemeClr w14:val="tx1"/>
                        </w14:solidFill>
                      </w14:textFill>
                    </w:rPr>
                  </w:pPr>
                  <w:r>
                    <w:rPr>
                      <w:b w:val="0"/>
                      <w:bCs/>
                      <w:color w:val="000000" w:themeColor="text1"/>
                      <w14:textFill>
                        <w14:solidFill>
                          <w14:schemeClr w14:val="tx1"/>
                        </w14:solidFill>
                      </w14:textFill>
                    </w:rPr>
                    <w:t>相关要求</w:t>
                  </w:r>
                </w:p>
              </w:tc>
              <w:tc>
                <w:tcPr>
                  <w:tcW w:w="3547" w:type="dxa"/>
                  <w:vAlign w:val="center"/>
                </w:tcPr>
                <w:p w14:paraId="43ABEEEF">
                  <w:pPr>
                    <w:pStyle w:val="74"/>
                    <w:rPr>
                      <w:b w:val="0"/>
                      <w:bCs/>
                      <w:color w:val="000000" w:themeColor="text1"/>
                      <w14:textFill>
                        <w14:solidFill>
                          <w14:schemeClr w14:val="tx1"/>
                        </w14:solidFill>
                      </w14:textFill>
                    </w:rPr>
                  </w:pPr>
                  <w:r>
                    <w:rPr>
                      <w:b w:val="0"/>
                      <w:bCs/>
                      <w:color w:val="000000" w:themeColor="text1"/>
                      <w14:textFill>
                        <w14:solidFill>
                          <w14:schemeClr w14:val="tx1"/>
                        </w14:solidFill>
                      </w14:textFill>
                    </w:rPr>
                    <w:t>项目情况</w:t>
                  </w:r>
                </w:p>
              </w:tc>
              <w:tc>
                <w:tcPr>
                  <w:tcW w:w="949" w:type="dxa"/>
                  <w:vAlign w:val="center"/>
                </w:tcPr>
                <w:p w14:paraId="6C5A4A9D">
                  <w:pPr>
                    <w:pStyle w:val="74"/>
                    <w:rPr>
                      <w:b w:val="0"/>
                      <w:bCs/>
                      <w:color w:val="000000" w:themeColor="text1"/>
                      <w14:textFill>
                        <w14:solidFill>
                          <w14:schemeClr w14:val="tx1"/>
                        </w14:solidFill>
                      </w14:textFill>
                    </w:rPr>
                  </w:pPr>
                  <w:r>
                    <w:rPr>
                      <w:b w:val="0"/>
                      <w:bCs/>
                      <w:color w:val="000000" w:themeColor="text1"/>
                      <w14:textFill>
                        <w14:solidFill>
                          <w14:schemeClr w14:val="tx1"/>
                        </w14:solidFill>
                      </w14:textFill>
                    </w:rPr>
                    <w:t>符合性</w:t>
                  </w:r>
                </w:p>
              </w:tc>
            </w:tr>
            <w:tr w14:paraId="6C113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87" w:type="dxa"/>
                  <w:vAlign w:val="center"/>
                </w:tcPr>
                <w:p w14:paraId="5B1CC0BA">
                  <w:pPr>
                    <w:pStyle w:val="74"/>
                    <w:rPr>
                      <w:b w:val="0"/>
                      <w:bCs/>
                      <w:color w:val="000000" w:themeColor="text1"/>
                      <w14:textFill>
                        <w14:solidFill>
                          <w14:schemeClr w14:val="tx1"/>
                        </w14:solidFill>
                      </w14:textFill>
                    </w:rPr>
                  </w:pPr>
                  <w:r>
                    <w:rPr>
                      <w:b w:val="0"/>
                      <w:bCs/>
                      <w:color w:val="000000" w:themeColor="text1"/>
                      <w14:textFill>
                        <w14:solidFill>
                          <w14:schemeClr w14:val="tx1"/>
                        </w14:solidFill>
                      </w14:textFill>
                    </w:rPr>
                    <w:t>禁止排放超过排放标准或者超过重点大气污染物排放总量控制指标的大气污染物。排放大气污染物的企业事业单位和其他生产经营者应当加强精细化管理，严格按照有关规定，配套建设、使用和维护大气污染防治装备。大气排放污染物的企业事业单位和其他生产经营者，应当按照有关规定设置大气污染物排放口。禁止通过偷排、篡改或者伪造监测数据、以逃避现场检查为目的的临时停产、非紧急情况下开启应急排放通道、擅自拆除或者不正常运行大气污染防治设施等逃避监管的方式排放大气污染物。</w:t>
                  </w:r>
                </w:p>
              </w:tc>
              <w:tc>
                <w:tcPr>
                  <w:tcW w:w="3547" w:type="dxa"/>
                  <w:vMerge w:val="restart"/>
                  <w:vAlign w:val="center"/>
                </w:tcPr>
                <w:p w14:paraId="6F91DAFF">
                  <w:pPr>
                    <w:pStyle w:val="74"/>
                    <w:rPr>
                      <w:b w:val="0"/>
                      <w:bCs/>
                      <w:color w:val="000000" w:themeColor="text1"/>
                      <w14:textFill>
                        <w14:solidFill>
                          <w14:schemeClr w14:val="tx1"/>
                        </w14:solidFill>
                      </w14:textFill>
                    </w:rPr>
                  </w:pPr>
                  <w:r>
                    <w:rPr>
                      <w:b w:val="0"/>
                      <w:bCs/>
                      <w:color w:val="000000" w:themeColor="text1"/>
                      <w14:textFill>
                        <w14:solidFill>
                          <w14:schemeClr w14:val="tx1"/>
                        </w14:solidFill>
                      </w14:textFill>
                    </w:rPr>
                    <w:t>本项目</w:t>
                  </w:r>
                  <w:r>
                    <w:rPr>
                      <w:rFonts w:hint="eastAsia"/>
                      <w:b w:val="0"/>
                      <w:bCs/>
                      <w:color w:val="000000" w:themeColor="text1"/>
                      <w14:textFill>
                        <w14:solidFill>
                          <w14:schemeClr w14:val="tx1"/>
                        </w14:solidFill>
                      </w14:textFill>
                    </w:rPr>
                    <w:t>为肥料制造项目，生产过程中通过严格控制原料的含水率减少粉尘的产生，并设置雾炮机，所有生产工序均位于密闭的车间内，少量粉尘经雾炮机洒水降尘和车间阻隔后无组织排放；发酵过程中产生的异味通过厂房密闭+喷洒生物除臭剂进行控制。</w:t>
                  </w:r>
                  <w:r>
                    <w:rPr>
                      <w:b w:val="0"/>
                      <w:bCs/>
                      <w:color w:val="000000" w:themeColor="text1"/>
                      <w14:textFill>
                        <w14:solidFill>
                          <w14:schemeClr w14:val="tx1"/>
                        </w14:solidFill>
                      </w14:textFill>
                    </w:rPr>
                    <w:t>废气均经过有效的治理措施处理后</w:t>
                  </w:r>
                  <w:r>
                    <w:rPr>
                      <w:rFonts w:hint="eastAsia"/>
                      <w:b w:val="0"/>
                      <w:bCs/>
                      <w:color w:val="000000" w:themeColor="text1"/>
                      <w14:textFill>
                        <w14:solidFill>
                          <w14:schemeClr w14:val="tx1"/>
                        </w14:solidFill>
                      </w14:textFill>
                    </w:rPr>
                    <w:t>对周围环境影响不大。</w:t>
                  </w:r>
                </w:p>
              </w:tc>
              <w:tc>
                <w:tcPr>
                  <w:tcW w:w="949" w:type="dxa"/>
                  <w:vAlign w:val="center"/>
                </w:tcPr>
                <w:p w14:paraId="71B6D905">
                  <w:pPr>
                    <w:pStyle w:val="74"/>
                    <w:rPr>
                      <w:b w:val="0"/>
                      <w:bCs/>
                      <w:color w:val="000000" w:themeColor="text1"/>
                      <w14:textFill>
                        <w14:solidFill>
                          <w14:schemeClr w14:val="tx1"/>
                        </w14:solidFill>
                      </w14:textFill>
                    </w:rPr>
                  </w:pPr>
                  <w:r>
                    <w:rPr>
                      <w:b w:val="0"/>
                      <w:bCs/>
                      <w:color w:val="000000" w:themeColor="text1"/>
                      <w14:textFill>
                        <w14:solidFill>
                          <w14:schemeClr w14:val="tx1"/>
                        </w14:solidFill>
                      </w14:textFill>
                    </w:rPr>
                    <w:t>符合</w:t>
                  </w:r>
                </w:p>
              </w:tc>
            </w:tr>
            <w:tr w14:paraId="5B3F6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87" w:type="dxa"/>
                  <w:vAlign w:val="center"/>
                </w:tcPr>
                <w:p w14:paraId="76770579">
                  <w:pPr>
                    <w:pStyle w:val="74"/>
                    <w:rPr>
                      <w:b w:val="0"/>
                      <w:bCs/>
                      <w:color w:val="000000" w:themeColor="text1"/>
                      <w14:textFill>
                        <w14:solidFill>
                          <w14:schemeClr w14:val="tx1"/>
                        </w14:solidFill>
                      </w14:textFill>
                    </w:rPr>
                  </w:pPr>
                  <w:r>
                    <w:rPr>
                      <w:b w:val="0"/>
                      <w:bCs/>
                      <w:color w:val="000000" w:themeColor="text1"/>
                      <w14:textFill>
                        <w14:solidFill>
                          <w14:schemeClr w14:val="tx1"/>
                        </w14:solidFill>
                      </w14:textFill>
                    </w:rPr>
                    <w:t>下列产生含挥发性有机物废气的生产和服务活动，应当在密闭空间或者设备中进行，并按照规定安装、使用污染防治设施；无法密闭的，应当采取高效处理措施减少废气排放：（一）石油炼制及有机化学品、合成树脂、合成纤维、合成橡胶等行业；（二）制药、农药、涂料、油墨、胶粘剂、橡胶和塑料加工等行业；（三）汽车、家具、集装箱、电子产品、工程机械等行业；（四）塑料软包装印刷、印铁制罐等行业；（五）其他产生挥发性有机物的生产和服务活动。</w:t>
                  </w:r>
                </w:p>
              </w:tc>
              <w:tc>
                <w:tcPr>
                  <w:tcW w:w="3547" w:type="dxa"/>
                  <w:vMerge w:val="continue"/>
                  <w:vAlign w:val="center"/>
                </w:tcPr>
                <w:p w14:paraId="50C2B1AC">
                  <w:pPr>
                    <w:pStyle w:val="74"/>
                    <w:rPr>
                      <w:b w:val="0"/>
                      <w:bCs/>
                      <w:color w:val="000000" w:themeColor="text1"/>
                      <w14:textFill>
                        <w14:solidFill>
                          <w14:schemeClr w14:val="tx1"/>
                        </w14:solidFill>
                      </w14:textFill>
                    </w:rPr>
                  </w:pPr>
                </w:p>
              </w:tc>
              <w:tc>
                <w:tcPr>
                  <w:tcW w:w="949" w:type="dxa"/>
                  <w:vAlign w:val="center"/>
                </w:tcPr>
                <w:p w14:paraId="48E6CFE5">
                  <w:pPr>
                    <w:pStyle w:val="74"/>
                    <w:rPr>
                      <w:b w:val="0"/>
                      <w:bCs/>
                      <w:color w:val="000000" w:themeColor="text1"/>
                      <w14:textFill>
                        <w14:solidFill>
                          <w14:schemeClr w14:val="tx1"/>
                        </w14:solidFill>
                      </w14:textFill>
                    </w:rPr>
                  </w:pPr>
                  <w:r>
                    <w:rPr>
                      <w:b w:val="0"/>
                      <w:bCs/>
                      <w:color w:val="000000" w:themeColor="text1"/>
                      <w14:textFill>
                        <w14:solidFill>
                          <w14:schemeClr w14:val="tx1"/>
                        </w14:solidFill>
                      </w14:textFill>
                    </w:rPr>
                    <w:t>符合</w:t>
                  </w:r>
                </w:p>
              </w:tc>
            </w:tr>
            <w:tr w14:paraId="33BA7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87" w:type="dxa"/>
                  <w:vAlign w:val="center"/>
                </w:tcPr>
                <w:p w14:paraId="7C7DEEC1">
                  <w:pPr>
                    <w:pStyle w:val="74"/>
                    <w:rPr>
                      <w:b w:val="0"/>
                      <w:bCs/>
                      <w:color w:val="000000" w:themeColor="text1"/>
                      <w14:textFill>
                        <w14:solidFill>
                          <w14:schemeClr w14:val="tx1"/>
                        </w14:solidFill>
                      </w14:textFill>
                    </w:rPr>
                  </w:pPr>
                  <w:r>
                    <w:rPr>
                      <w:b w:val="0"/>
                      <w:bCs/>
                      <w:color w:val="000000" w:themeColor="text1"/>
                      <w14:textFill>
                        <w14:solidFill>
                          <w14:schemeClr w14:val="tx1"/>
                        </w14:solidFill>
                      </w14:textFill>
                    </w:rPr>
                    <w:t>生产、进口、销售和使用含挥发性有机物原材料和产品的，其挥发性有机物含量应当符合质量标准或者要求。工业涂装企业应当使用低挥发性有机物含量的涂料，并建立台账，记录生产原料、辅料的使用量、废弃量、去向以及挥发性有机物含量。台账保存期限不得少于3年。</w:t>
                  </w:r>
                </w:p>
              </w:tc>
              <w:tc>
                <w:tcPr>
                  <w:tcW w:w="3547" w:type="dxa"/>
                  <w:vAlign w:val="center"/>
                </w:tcPr>
                <w:p w14:paraId="4DBA5795">
                  <w:pPr>
                    <w:pStyle w:val="74"/>
                    <w:rPr>
                      <w:b w:val="0"/>
                      <w:bCs/>
                      <w:color w:val="000000" w:themeColor="text1"/>
                      <w14:textFill>
                        <w14:solidFill>
                          <w14:schemeClr w14:val="tx1"/>
                        </w14:solidFill>
                      </w14:textFill>
                    </w:rPr>
                  </w:pPr>
                  <w:r>
                    <w:rPr>
                      <w:b w:val="0"/>
                      <w:bCs/>
                      <w:color w:val="000000" w:themeColor="text1"/>
                      <w14:textFill>
                        <w14:solidFill>
                          <w14:schemeClr w14:val="tx1"/>
                        </w14:solidFill>
                      </w14:textFill>
                    </w:rPr>
                    <w:t>本项目生产的产品</w:t>
                  </w:r>
                  <w:r>
                    <w:rPr>
                      <w:rFonts w:hint="eastAsia"/>
                      <w:b w:val="0"/>
                      <w:bCs/>
                      <w:color w:val="000000" w:themeColor="text1"/>
                      <w14:textFill>
                        <w14:solidFill>
                          <w14:schemeClr w14:val="tx1"/>
                        </w14:solidFill>
                      </w14:textFill>
                    </w:rPr>
                    <w:t>不</w:t>
                  </w:r>
                  <w:r>
                    <w:rPr>
                      <w:b w:val="0"/>
                      <w:bCs/>
                      <w:color w:val="000000" w:themeColor="text1"/>
                      <w14:textFill>
                        <w14:solidFill>
                          <w14:schemeClr w14:val="tx1"/>
                        </w14:solidFill>
                      </w14:textFill>
                    </w:rPr>
                    <w:t>含挥发性有机物。</w:t>
                  </w:r>
                </w:p>
              </w:tc>
              <w:tc>
                <w:tcPr>
                  <w:tcW w:w="949" w:type="dxa"/>
                  <w:vAlign w:val="center"/>
                </w:tcPr>
                <w:p w14:paraId="216EF0DE">
                  <w:pPr>
                    <w:pStyle w:val="74"/>
                    <w:rPr>
                      <w:b w:val="0"/>
                      <w:bCs/>
                      <w:color w:val="000000" w:themeColor="text1"/>
                      <w14:textFill>
                        <w14:solidFill>
                          <w14:schemeClr w14:val="tx1"/>
                        </w14:solidFill>
                      </w14:textFill>
                    </w:rPr>
                  </w:pPr>
                  <w:r>
                    <w:rPr>
                      <w:b w:val="0"/>
                      <w:bCs/>
                      <w:color w:val="000000" w:themeColor="text1"/>
                      <w14:textFill>
                        <w14:solidFill>
                          <w14:schemeClr w14:val="tx1"/>
                        </w14:solidFill>
                      </w14:textFill>
                    </w:rPr>
                    <w:t>符合</w:t>
                  </w:r>
                </w:p>
              </w:tc>
            </w:tr>
          </w:tbl>
          <w:p w14:paraId="57049941">
            <w:pPr>
              <w:adjustRightInd w:val="0"/>
              <w:snapToGrid w:val="0"/>
              <w:spacing w:line="360" w:lineRule="auto"/>
              <w:ind w:firstLine="496" w:firstLineChars="200"/>
              <w:rPr>
                <w:b/>
                <w:color w:val="000000" w:themeColor="text1"/>
                <w:sz w:val="24"/>
                <w14:textFill>
                  <w14:solidFill>
                    <w14:schemeClr w14:val="tx1"/>
                  </w14:solidFill>
                </w14:textFill>
              </w:rPr>
            </w:pPr>
            <w:r>
              <w:rPr>
                <w:bCs/>
                <w:color w:val="000000" w:themeColor="text1"/>
                <w:spacing w:val="4"/>
                <w:kern w:val="24"/>
                <w:sz w:val="24"/>
                <w:lang w:bidi="ar"/>
                <w14:textFill>
                  <w14:solidFill>
                    <w14:schemeClr w14:val="tx1"/>
                  </w14:solidFill>
                </w14:textFill>
              </w:rPr>
              <w:t>综上，</w:t>
            </w:r>
            <w:r>
              <w:rPr>
                <w:color w:val="000000" w:themeColor="text1"/>
                <w:kern w:val="0"/>
                <w:sz w:val="24"/>
                <w14:textFill>
                  <w14:solidFill>
                    <w14:schemeClr w14:val="tx1"/>
                  </w14:solidFill>
                </w14:textFill>
              </w:rPr>
              <w:t>项目符合</w:t>
            </w:r>
            <w:r>
              <w:rPr>
                <w:color w:val="000000" w:themeColor="text1"/>
                <w:sz w:val="24"/>
                <w14:textFill>
                  <w14:solidFill>
                    <w14:schemeClr w14:val="tx1"/>
                  </w14:solidFill>
                </w14:textFill>
              </w:rPr>
              <w:t>《昆明市大气污染防治条例》要求。</w:t>
            </w:r>
          </w:p>
          <w:p w14:paraId="7A8FB8E8">
            <w:pPr>
              <w:spacing w:line="360" w:lineRule="auto"/>
              <w:ind w:firstLine="482" w:firstLineChars="200"/>
              <w:rPr>
                <w:b/>
                <w:color w:val="000000" w:themeColor="text1"/>
                <w:spacing w:val="4"/>
                <w:kern w:val="24"/>
                <w:sz w:val="24"/>
                <w:lang w:bidi="ar"/>
                <w14:textFill>
                  <w14:solidFill>
                    <w14:schemeClr w14:val="tx1"/>
                  </w14:solidFill>
                </w14:textFill>
              </w:rPr>
            </w:pPr>
            <w:r>
              <w:rPr>
                <w:rFonts w:hint="eastAsia"/>
                <w:b/>
                <w:color w:val="000000" w:themeColor="text1"/>
                <w:sz w:val="24"/>
                <w14:textFill>
                  <w14:solidFill>
                    <w14:schemeClr w14:val="tx1"/>
                  </w14:solidFill>
                </w14:textFill>
              </w:rPr>
              <w:t>9、与</w:t>
            </w:r>
            <w:r>
              <w:rPr>
                <w:b/>
                <w:color w:val="000000" w:themeColor="text1"/>
                <w:spacing w:val="4"/>
                <w:kern w:val="24"/>
                <w:sz w:val="24"/>
                <w:lang w:bidi="ar"/>
                <w14:textFill>
                  <w14:solidFill>
                    <w14:schemeClr w14:val="tx1"/>
                  </w14:solidFill>
                </w14:textFill>
              </w:rPr>
              <w:t>《</w:t>
            </w:r>
            <w:r>
              <w:rPr>
                <w:rFonts w:hint="eastAsia"/>
                <w:b/>
                <w:color w:val="000000" w:themeColor="text1"/>
                <w:spacing w:val="4"/>
                <w:kern w:val="24"/>
                <w:sz w:val="24"/>
                <w:lang w:bidi="ar"/>
                <w14:textFill>
                  <w14:solidFill>
                    <w14:schemeClr w14:val="tx1"/>
                  </w14:solidFill>
                </w14:textFill>
              </w:rPr>
              <w:t>固体废物综合治理行动计划</w:t>
            </w:r>
            <w:r>
              <w:rPr>
                <w:b/>
                <w:color w:val="000000" w:themeColor="text1"/>
                <w:spacing w:val="4"/>
                <w:kern w:val="24"/>
                <w:sz w:val="24"/>
                <w:lang w:bidi="ar"/>
                <w14:textFill>
                  <w14:solidFill>
                    <w14:schemeClr w14:val="tx1"/>
                  </w14:solidFill>
                </w14:textFill>
              </w:rPr>
              <w:t>》相符性分析</w:t>
            </w:r>
          </w:p>
          <w:p w14:paraId="6B76A286">
            <w:pPr>
              <w:pStyle w:val="58"/>
              <w:rPr>
                <w:color w:val="000000" w:themeColor="text1"/>
                <w14:textFill>
                  <w14:solidFill>
                    <w14:schemeClr w14:val="tx1"/>
                  </w14:solidFill>
                </w14:textFill>
              </w:rPr>
            </w:pPr>
            <w:r>
              <w:rPr>
                <w:color w:val="000000" w:themeColor="text1"/>
                <w14:textFill>
                  <w14:solidFill>
                    <w14:schemeClr w14:val="tx1"/>
                  </w14:solidFill>
                </w14:textFill>
              </w:rPr>
              <w:t>表1-</w:t>
            </w:r>
            <w:r>
              <w:rPr>
                <w:rFonts w:hint="eastAsia"/>
                <w:color w:val="000000" w:themeColor="text1"/>
                <w14:textFill>
                  <w14:solidFill>
                    <w14:schemeClr w14:val="tx1"/>
                  </w14:solidFill>
                </w14:textFill>
              </w:rPr>
              <w:t xml:space="preserve">11 </w:t>
            </w:r>
            <w:r>
              <w:rPr>
                <w:color w:val="000000" w:themeColor="text1"/>
                <w14:textFill>
                  <w14:solidFill>
                    <w14:schemeClr w14:val="tx1"/>
                  </w14:solidFill>
                </w14:textFill>
              </w:rPr>
              <w:t>与《</w:t>
            </w:r>
            <w:r>
              <w:rPr>
                <w:rFonts w:hint="eastAsia"/>
                <w:color w:val="000000" w:themeColor="text1"/>
                <w14:textFill>
                  <w14:solidFill>
                    <w14:schemeClr w14:val="tx1"/>
                  </w14:solidFill>
                </w14:textFill>
              </w:rPr>
              <w:t>固体废物综合治理行动计划</w:t>
            </w:r>
            <w:r>
              <w:rPr>
                <w:color w:val="000000" w:themeColor="text1"/>
                <w14:textFill>
                  <w14:solidFill>
                    <w14:schemeClr w14:val="tx1"/>
                  </w14:solidFill>
                </w14:textFill>
              </w:rPr>
              <w:t>》符合性分析</w:t>
            </w:r>
          </w:p>
          <w:tbl>
            <w:tblPr>
              <w:tblStyle w:val="25"/>
              <w:tblpPr w:leftFromText="180" w:rightFromText="180" w:vertAnchor="text" w:horzAnchor="page" w:tblpX="213" w:tblpY="258"/>
              <w:tblOverlap w:val="never"/>
              <w:tblW w:w="78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7"/>
              <w:gridCol w:w="3547"/>
              <w:gridCol w:w="949"/>
            </w:tblGrid>
            <w:tr w14:paraId="27279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3387" w:type="dxa"/>
                  <w:vAlign w:val="center"/>
                </w:tcPr>
                <w:p w14:paraId="120E9F0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相关要求</w:t>
                  </w:r>
                </w:p>
              </w:tc>
              <w:tc>
                <w:tcPr>
                  <w:tcW w:w="3547" w:type="dxa"/>
                  <w:vAlign w:val="center"/>
                </w:tcPr>
                <w:p w14:paraId="7E7299C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项目情况</w:t>
                  </w:r>
                </w:p>
              </w:tc>
              <w:tc>
                <w:tcPr>
                  <w:tcW w:w="949" w:type="dxa"/>
                  <w:vAlign w:val="center"/>
                </w:tcPr>
                <w:p w14:paraId="61EEA539">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符合性</w:t>
                  </w:r>
                </w:p>
              </w:tc>
            </w:tr>
            <w:tr w14:paraId="6B4A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7" w:type="dxa"/>
                  <w:vAlign w:val="center"/>
                </w:tcPr>
                <w:p w14:paraId="3C15FBDD">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加强大宗固体废弃物综合利用。提升冶炼渣、尾矿、共伴生矿、赤泥、建筑垃圾综合利用能力，加强有价组分高效提取及整体利用，因地制宜推动煤矸石多元化利用。拓宽秸秆综合利用途径，提高秸秆还田科学化、规范化水平。推进畜禽养殖废弃物资源化利用。</w:t>
                  </w:r>
                </w:p>
              </w:tc>
              <w:tc>
                <w:tcPr>
                  <w:tcW w:w="3547" w:type="dxa"/>
                  <w:vAlign w:val="center"/>
                </w:tcPr>
                <w:p w14:paraId="4F19260D">
                  <w:pPr>
                    <w:pStyle w:val="74"/>
                    <w:jc w:val="both"/>
                    <w:rPr>
                      <w:b w:val="0"/>
                      <w:color w:val="000000" w:themeColor="text1"/>
                      <w14:textFill>
                        <w14:solidFill>
                          <w14:schemeClr w14:val="tx1"/>
                        </w14:solidFill>
                      </w14:textFill>
                    </w:rPr>
                  </w:pPr>
                  <w:r>
                    <w:rPr>
                      <w:b w:val="0"/>
                      <w:bCs/>
                      <w:color w:val="000000" w:themeColor="text1"/>
                      <w14:textFill>
                        <w14:solidFill>
                          <w14:schemeClr w14:val="tx1"/>
                        </w14:solidFill>
                      </w14:textFill>
                    </w:rPr>
                    <w:t>本项目</w:t>
                  </w:r>
                  <w:r>
                    <w:rPr>
                      <w:rFonts w:hint="eastAsia"/>
                      <w:b w:val="0"/>
                      <w:bCs/>
                      <w:color w:val="000000" w:themeColor="text1"/>
                      <w14:textFill>
                        <w14:solidFill>
                          <w14:schemeClr w14:val="tx1"/>
                        </w14:solidFill>
                      </w14:textFill>
                    </w:rPr>
                    <w:t>为肥料制造项目，项目采用煤炭开采过程中产生的低变质褐煤为原料生产有机肥，能有效的利用固废中的腐殖酸、有机质等，使之变废为宝，提高固废的综合利用。</w:t>
                  </w:r>
                </w:p>
              </w:tc>
              <w:tc>
                <w:tcPr>
                  <w:tcW w:w="949" w:type="dxa"/>
                  <w:vAlign w:val="center"/>
                </w:tcPr>
                <w:p w14:paraId="2FC3ED31">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4A7E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7" w:type="dxa"/>
                  <w:vAlign w:val="center"/>
                </w:tcPr>
                <w:p w14:paraId="114723D7">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稳妥有序探索规模化消纳利用渠道。在符合环境质量标准、污染风险管控要求和安全生产要求前提下，探索通过井下充填、矿坑回填、生态修复等方式规模化消纳利用大宗工业固体废物。</w:t>
                  </w:r>
                </w:p>
              </w:tc>
              <w:tc>
                <w:tcPr>
                  <w:tcW w:w="3547" w:type="dxa"/>
                  <w:vAlign w:val="center"/>
                </w:tcPr>
                <w:p w14:paraId="5AA703A6">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本项目原料为低变质褐煤、锯木屑和尿素等，无化学品等安全隐患较大的原料使用，生产过程中采取各污染防控措施后，污染物产排量较小，污染物均达标排放，对区域环境质量影响较小，可以满足环境质量标准、污染风险管控要求和安全生产要求。</w:t>
                  </w:r>
                </w:p>
              </w:tc>
              <w:tc>
                <w:tcPr>
                  <w:tcW w:w="949" w:type="dxa"/>
                  <w:vAlign w:val="center"/>
                </w:tcPr>
                <w:p w14:paraId="4E66261A">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bl>
          <w:p w14:paraId="39E0B67E">
            <w:pPr>
              <w:spacing w:line="360" w:lineRule="auto"/>
              <w:ind w:firstLine="496" w:firstLineChars="200"/>
              <w:rPr>
                <w:b/>
                <w:color w:val="000000" w:themeColor="text1"/>
                <w:sz w:val="24"/>
                <w14:textFill>
                  <w14:solidFill>
                    <w14:schemeClr w14:val="tx1"/>
                  </w14:solidFill>
                </w14:textFill>
              </w:rPr>
            </w:pPr>
            <w:r>
              <w:rPr>
                <w:bCs/>
                <w:color w:val="000000" w:themeColor="text1"/>
                <w:spacing w:val="4"/>
                <w:kern w:val="24"/>
                <w:sz w:val="24"/>
                <w:lang w:bidi="ar"/>
                <w14:textFill>
                  <w14:solidFill>
                    <w14:schemeClr w14:val="tx1"/>
                  </w14:solidFill>
                </w14:textFill>
              </w:rPr>
              <w:t>综上，</w:t>
            </w:r>
            <w:r>
              <w:rPr>
                <w:color w:val="000000" w:themeColor="text1"/>
                <w:kern w:val="0"/>
                <w:sz w:val="24"/>
                <w14:textFill>
                  <w14:solidFill>
                    <w14:schemeClr w14:val="tx1"/>
                  </w14:solidFill>
                </w14:textFill>
              </w:rPr>
              <w:t>项目符合</w:t>
            </w:r>
            <w:r>
              <w:rPr>
                <w:bCs/>
                <w:color w:val="000000" w:themeColor="text1"/>
                <w:spacing w:val="4"/>
                <w:kern w:val="24"/>
                <w:sz w:val="24"/>
                <w:lang w:bidi="ar"/>
                <w14:textFill>
                  <w14:solidFill>
                    <w14:schemeClr w14:val="tx1"/>
                  </w14:solidFill>
                </w14:textFill>
              </w:rPr>
              <w:t>《</w:t>
            </w:r>
            <w:r>
              <w:rPr>
                <w:rFonts w:hint="eastAsia"/>
                <w:bCs/>
                <w:color w:val="000000" w:themeColor="text1"/>
                <w:spacing w:val="4"/>
                <w:kern w:val="24"/>
                <w:sz w:val="24"/>
                <w:lang w:bidi="ar"/>
                <w14:textFill>
                  <w14:solidFill>
                    <w14:schemeClr w14:val="tx1"/>
                  </w14:solidFill>
                </w14:textFill>
              </w:rPr>
              <w:t>固体废物综合治理行动计划</w:t>
            </w:r>
            <w:r>
              <w:rPr>
                <w:bCs/>
                <w:color w:val="000000" w:themeColor="text1"/>
                <w:spacing w:val="4"/>
                <w:kern w:val="24"/>
                <w:sz w:val="24"/>
                <w:lang w:bidi="ar"/>
                <w14:textFill>
                  <w14:solidFill>
                    <w14:schemeClr w14:val="tx1"/>
                  </w14:solidFill>
                </w14:textFill>
              </w:rPr>
              <w:t>》</w:t>
            </w:r>
            <w:r>
              <w:rPr>
                <w:color w:val="000000" w:themeColor="text1"/>
                <w:sz w:val="24"/>
                <w14:textFill>
                  <w14:solidFill>
                    <w14:schemeClr w14:val="tx1"/>
                  </w14:solidFill>
                </w14:textFill>
              </w:rPr>
              <w:t>要求。</w:t>
            </w:r>
          </w:p>
          <w:p w14:paraId="4DDFA6F2">
            <w:pPr>
              <w:spacing w:line="360" w:lineRule="auto"/>
              <w:ind w:firstLine="482" w:firstLineChars="200"/>
              <w:rPr>
                <w:b/>
                <w:color w:val="000000" w:themeColor="text1"/>
                <w:spacing w:val="4"/>
                <w:kern w:val="24"/>
                <w:sz w:val="24"/>
                <w:lang w:bidi="ar"/>
                <w14:textFill>
                  <w14:solidFill>
                    <w14:schemeClr w14:val="tx1"/>
                  </w14:solidFill>
                </w14:textFill>
              </w:rPr>
            </w:pPr>
            <w:r>
              <w:rPr>
                <w:rFonts w:hint="eastAsia"/>
                <w:b/>
                <w:color w:val="000000" w:themeColor="text1"/>
                <w:sz w:val="24"/>
                <w14:textFill>
                  <w14:solidFill>
                    <w14:schemeClr w14:val="tx1"/>
                  </w14:solidFill>
                </w14:textFill>
              </w:rPr>
              <w:t>10、与</w:t>
            </w:r>
            <w:r>
              <w:rPr>
                <w:b/>
                <w:color w:val="000000" w:themeColor="text1"/>
                <w:spacing w:val="4"/>
                <w:kern w:val="24"/>
                <w:sz w:val="24"/>
                <w:lang w:bidi="ar"/>
                <w14:textFill>
                  <w14:solidFill>
                    <w14:schemeClr w14:val="tx1"/>
                  </w14:solidFill>
                </w14:textFill>
              </w:rPr>
              <w:t>《</w:t>
            </w:r>
            <w:r>
              <w:rPr>
                <w:rFonts w:hint="eastAsia"/>
                <w:b/>
                <w:color w:val="000000" w:themeColor="text1"/>
                <w:spacing w:val="4"/>
                <w:kern w:val="24"/>
                <w:sz w:val="24"/>
                <w:lang w:bidi="ar"/>
                <w14:textFill>
                  <w14:solidFill>
                    <w14:schemeClr w14:val="tx1"/>
                  </w14:solidFill>
                </w14:textFill>
              </w:rPr>
              <w:t>空气质量持续改善行动计划</w:t>
            </w:r>
            <w:r>
              <w:rPr>
                <w:b/>
                <w:color w:val="000000" w:themeColor="text1"/>
                <w:spacing w:val="4"/>
                <w:kern w:val="24"/>
                <w:sz w:val="24"/>
                <w:lang w:bidi="ar"/>
                <w14:textFill>
                  <w14:solidFill>
                    <w14:schemeClr w14:val="tx1"/>
                  </w14:solidFill>
                </w14:textFill>
              </w:rPr>
              <w:t>》相符性分析</w:t>
            </w:r>
          </w:p>
          <w:p w14:paraId="422FFB62">
            <w:pPr>
              <w:pStyle w:val="58"/>
              <w:rPr>
                <w:color w:val="000000" w:themeColor="text1"/>
                <w14:textFill>
                  <w14:solidFill>
                    <w14:schemeClr w14:val="tx1"/>
                  </w14:solidFill>
                </w14:textFill>
              </w:rPr>
            </w:pPr>
            <w:r>
              <w:rPr>
                <w:color w:val="000000" w:themeColor="text1"/>
                <w14:textFill>
                  <w14:solidFill>
                    <w14:schemeClr w14:val="tx1"/>
                  </w14:solidFill>
                </w14:textFill>
              </w:rPr>
              <w:t>表1-</w:t>
            </w:r>
            <w:r>
              <w:rPr>
                <w:rFonts w:hint="eastAsia"/>
                <w:color w:val="000000" w:themeColor="text1"/>
                <w14:textFill>
                  <w14:solidFill>
                    <w14:schemeClr w14:val="tx1"/>
                  </w14:solidFill>
                </w14:textFill>
              </w:rPr>
              <w:t xml:space="preserve">12 </w:t>
            </w:r>
            <w:r>
              <w:rPr>
                <w:color w:val="000000" w:themeColor="text1"/>
                <w14:textFill>
                  <w14:solidFill>
                    <w14:schemeClr w14:val="tx1"/>
                  </w14:solidFill>
                </w14:textFill>
              </w:rPr>
              <w:t>与《</w:t>
            </w:r>
            <w:r>
              <w:rPr>
                <w:rFonts w:hint="eastAsia"/>
                <w:color w:val="000000" w:themeColor="text1"/>
                <w14:textFill>
                  <w14:solidFill>
                    <w14:schemeClr w14:val="tx1"/>
                  </w14:solidFill>
                </w14:textFill>
              </w:rPr>
              <w:t>空气质量持续改善行动计划</w:t>
            </w:r>
            <w:r>
              <w:rPr>
                <w:color w:val="000000" w:themeColor="text1"/>
                <w14:textFill>
                  <w14:solidFill>
                    <w14:schemeClr w14:val="tx1"/>
                  </w14:solidFill>
                </w14:textFill>
              </w:rPr>
              <w:t>》符合性分析</w:t>
            </w:r>
          </w:p>
          <w:tbl>
            <w:tblPr>
              <w:tblStyle w:val="25"/>
              <w:tblpPr w:leftFromText="180" w:rightFromText="180" w:vertAnchor="text" w:horzAnchor="page" w:tblpX="213" w:tblpY="258"/>
              <w:tblOverlap w:val="never"/>
              <w:tblW w:w="80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36"/>
              <w:gridCol w:w="3333"/>
              <w:gridCol w:w="917"/>
            </w:tblGrid>
            <w:tr w14:paraId="5B3C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3836" w:type="dxa"/>
                  <w:vAlign w:val="center"/>
                </w:tcPr>
                <w:p w14:paraId="6DCF39A1">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相关要求</w:t>
                  </w:r>
                </w:p>
              </w:tc>
              <w:tc>
                <w:tcPr>
                  <w:tcW w:w="3333" w:type="dxa"/>
                  <w:vAlign w:val="center"/>
                </w:tcPr>
                <w:p w14:paraId="743172B8">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项目情况</w:t>
                  </w:r>
                </w:p>
              </w:tc>
              <w:tc>
                <w:tcPr>
                  <w:tcW w:w="917" w:type="dxa"/>
                  <w:vAlign w:val="center"/>
                </w:tcPr>
                <w:p w14:paraId="200FCED8">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符合性</w:t>
                  </w:r>
                </w:p>
              </w:tc>
            </w:tr>
            <w:tr w14:paraId="10AC2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6" w:type="dxa"/>
                  <w:vAlign w:val="center"/>
                </w:tcPr>
                <w:p w14:paraId="43A9D37D">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w:t>
                  </w:r>
                </w:p>
                <w:p w14:paraId="2F5E8B93">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涉及产能置换的项目，被置换产能及其配套设施关停后，新建项目方可投产。严禁新增钢铁产能。推行钢铁、焦化、烧结一体化布局，大幅减少独立焦化、烧结、球团和热轧企业及工序，淘汰落后煤炭洗选产能；有序引导高炉—转炉长流程炼钢转型为电炉短流程炼钢。</w:t>
                  </w:r>
                </w:p>
              </w:tc>
              <w:tc>
                <w:tcPr>
                  <w:tcW w:w="3333" w:type="dxa"/>
                  <w:vAlign w:val="center"/>
                </w:tcPr>
                <w:p w14:paraId="73BEDDC1">
                  <w:pPr>
                    <w:pStyle w:val="74"/>
                    <w:jc w:val="both"/>
                    <w:rPr>
                      <w:b w:val="0"/>
                      <w:color w:val="000000" w:themeColor="text1"/>
                      <w14:textFill>
                        <w14:solidFill>
                          <w14:schemeClr w14:val="tx1"/>
                        </w14:solidFill>
                      </w14:textFill>
                    </w:rPr>
                  </w:pPr>
                  <w:r>
                    <w:rPr>
                      <w:b w:val="0"/>
                      <w:bCs/>
                      <w:color w:val="000000" w:themeColor="text1"/>
                      <w14:textFill>
                        <w14:solidFill>
                          <w14:schemeClr w14:val="tx1"/>
                        </w14:solidFill>
                      </w14:textFill>
                    </w:rPr>
                    <w:t>本项目</w:t>
                  </w:r>
                  <w:r>
                    <w:rPr>
                      <w:rFonts w:hint="eastAsia"/>
                      <w:b w:val="0"/>
                      <w:bCs/>
                      <w:color w:val="000000" w:themeColor="text1"/>
                      <w14:textFill>
                        <w14:solidFill>
                          <w14:schemeClr w14:val="tx1"/>
                        </w14:solidFill>
                      </w14:textFill>
                    </w:rPr>
                    <w:t>为肥料制造项目，项目采用煤炭开采过程中产生的低变质褐煤为原料生产有机肥，能有效的利用固废中的腐殖酸、有机质等，使之变废为宝，提高固废的综合利用。</w:t>
                  </w:r>
                  <w:r>
                    <w:rPr>
                      <w:rFonts w:hint="eastAsia"/>
                      <w:b w:val="0"/>
                      <w:color w:val="000000" w:themeColor="text1"/>
                      <w14:textFill>
                        <w14:solidFill>
                          <w14:schemeClr w14:val="tx1"/>
                        </w14:solidFill>
                      </w14:textFill>
                    </w:rPr>
                    <w:t>生产过程中采取各污染防控措施后，污染物产排量较小，污染物均达标排放，对区域环境质量影响较小。</w:t>
                  </w:r>
                  <w:r>
                    <w:rPr>
                      <w:rFonts w:hint="eastAsia"/>
                      <w:b w:val="0"/>
                      <w:bCs/>
                      <w:color w:val="000000" w:themeColor="text1"/>
                      <w14:textFill>
                        <w14:solidFill>
                          <w14:schemeClr w14:val="tx1"/>
                        </w14:solidFill>
                      </w14:textFill>
                    </w:rPr>
                    <w:t>排放污染物不涉及重点污染物；不使用锅炉，不使用高污染燃料不属于高耗能、高排放、低水平。</w:t>
                  </w:r>
                </w:p>
              </w:tc>
              <w:tc>
                <w:tcPr>
                  <w:tcW w:w="917" w:type="dxa"/>
                  <w:vAlign w:val="center"/>
                </w:tcPr>
                <w:p w14:paraId="4256DCC8">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5CF61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6" w:type="dxa"/>
                  <w:vAlign w:val="center"/>
                </w:tcPr>
                <w:p w14:paraId="029E0C11">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加快退出重点行业落后产能。修订《产业结构调整指导目录》，研究将污染物或温室气体排放明显高出行业平均水平、能效和清洁生产水平低的工艺和装备纳入淘汰类和限制类名单。重点区域进一步提高落后产能能耗、环保、质量、安全、技术等要求，逐步退出限制类涉气行业工艺和装备；逐步淘汰步进式烧结机和球团竖炉以及半封闭式硅锰合金、镍铁、高碳铬铁、高碳锰铁电炉。引导重点区域钢铁、焦化、电解铝等产业有序调整优化。</w:t>
                  </w:r>
                </w:p>
              </w:tc>
              <w:tc>
                <w:tcPr>
                  <w:tcW w:w="3333" w:type="dxa"/>
                  <w:vAlign w:val="center"/>
                </w:tcPr>
                <w:p w14:paraId="1C61D907">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对照《产业结构调整指导目录（2024 年本)》，本项目属于鼓励类。</w:t>
                  </w:r>
                </w:p>
              </w:tc>
              <w:tc>
                <w:tcPr>
                  <w:tcW w:w="917" w:type="dxa"/>
                  <w:vAlign w:val="center"/>
                </w:tcPr>
                <w:p w14:paraId="37802DC0">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166C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6" w:type="dxa"/>
                  <w:vAlign w:val="center"/>
                </w:tcPr>
                <w:p w14:paraId="3562A89A">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深化扬尘污染综合治理。鼓励经济发达地区 5000平方米及以上建筑工地安装视频监控并接入当地监管平台；重点区域道路、水务等长距离线性工程实行分段施工。将防治扬尘污染费用纳入工程造价。到 2025 年，装配式建筑占新建建筑面积比例达 30%；地级及以上城市</w:t>
                  </w:r>
                </w:p>
                <w:p w14:paraId="7CA47F0D">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建成区道路机械化清扫率达 80%左右，县城达 70%左右。对城市公共裸地进行排查建档并采取防尘措施。城市大型煤炭、矿石等干散货码头物料堆场基本完成抑尘设施建设和物料输送系统封闭改造。</w:t>
                  </w:r>
                </w:p>
              </w:tc>
              <w:tc>
                <w:tcPr>
                  <w:tcW w:w="3333" w:type="dxa"/>
                  <w:vAlign w:val="center"/>
                </w:tcPr>
                <w:p w14:paraId="565E409E">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本项目生产过程中在密闭的生产厂房内进行，生产过程中严格控制原料的含水率，并在厂房内设置移动式雾炮机进行喷雾降尘。</w:t>
                  </w:r>
                </w:p>
              </w:tc>
              <w:tc>
                <w:tcPr>
                  <w:tcW w:w="917" w:type="dxa"/>
                  <w:vAlign w:val="center"/>
                </w:tcPr>
                <w:p w14:paraId="7EAFDFEB">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6CB67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36" w:type="dxa"/>
                  <w:vAlign w:val="center"/>
                </w:tcPr>
                <w:p w14:paraId="3B7AA70E">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开展餐饮油烟、恶臭异味专项治理。严格居民楼附近餐饮服务单位布局管理。拟开设餐饮服务单位的建筑应设计建设专用烟道。推动有条件的地区实施治理</w:t>
                  </w:r>
                </w:p>
                <w:p w14:paraId="777F94E1">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设施第三方运维管理及在线监控。对群众反映强烈的恶臭异味扰民问题加强排查整治，投诉集中的工业园区、重点企业要安装运行在线监测系统。各地要加强部门联动，因地制宜解决人民群众反映集中的油烟及恶臭异味扰民问题。</w:t>
                  </w:r>
                </w:p>
              </w:tc>
              <w:tc>
                <w:tcPr>
                  <w:tcW w:w="3333" w:type="dxa"/>
                  <w:vAlign w:val="center"/>
                </w:tcPr>
                <w:p w14:paraId="44E23533">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本项目员工不在项目区食宿，不设置食堂，无油烟产生。</w:t>
                  </w:r>
                </w:p>
              </w:tc>
              <w:tc>
                <w:tcPr>
                  <w:tcW w:w="917" w:type="dxa"/>
                  <w:vAlign w:val="center"/>
                </w:tcPr>
                <w:p w14:paraId="5E86F63D">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bl>
          <w:p w14:paraId="50F1E6E5">
            <w:pPr>
              <w:ind w:firstLine="496" w:firstLineChars="200"/>
              <w:rPr>
                <w:b/>
                <w:color w:val="000000" w:themeColor="text1"/>
                <w:sz w:val="24"/>
                <w14:textFill>
                  <w14:solidFill>
                    <w14:schemeClr w14:val="tx1"/>
                  </w14:solidFill>
                </w14:textFill>
              </w:rPr>
            </w:pPr>
            <w:r>
              <w:rPr>
                <w:bCs/>
                <w:color w:val="000000" w:themeColor="text1"/>
                <w:spacing w:val="4"/>
                <w:kern w:val="24"/>
                <w:sz w:val="24"/>
                <w:lang w:bidi="ar"/>
                <w14:textFill>
                  <w14:solidFill>
                    <w14:schemeClr w14:val="tx1"/>
                  </w14:solidFill>
                </w14:textFill>
              </w:rPr>
              <w:t>综上，</w:t>
            </w:r>
            <w:r>
              <w:rPr>
                <w:color w:val="000000" w:themeColor="text1"/>
                <w:kern w:val="0"/>
                <w:sz w:val="24"/>
                <w14:textFill>
                  <w14:solidFill>
                    <w14:schemeClr w14:val="tx1"/>
                  </w14:solidFill>
                </w14:textFill>
              </w:rPr>
              <w:t>项目符合</w:t>
            </w:r>
            <w:r>
              <w:rPr>
                <w:bCs/>
                <w:color w:val="000000" w:themeColor="text1"/>
                <w:spacing w:val="4"/>
                <w:kern w:val="24"/>
                <w:sz w:val="24"/>
                <w:lang w:bidi="ar"/>
                <w14:textFill>
                  <w14:solidFill>
                    <w14:schemeClr w14:val="tx1"/>
                  </w14:solidFill>
                </w14:textFill>
              </w:rPr>
              <w:t>《</w:t>
            </w:r>
            <w:r>
              <w:rPr>
                <w:rFonts w:hint="eastAsia"/>
                <w:bCs/>
                <w:color w:val="000000" w:themeColor="text1"/>
                <w:spacing w:val="4"/>
                <w:kern w:val="24"/>
                <w:sz w:val="24"/>
                <w:lang w:bidi="ar"/>
                <w14:textFill>
                  <w14:solidFill>
                    <w14:schemeClr w14:val="tx1"/>
                  </w14:solidFill>
                </w14:textFill>
              </w:rPr>
              <w:t>空气质量持续改善行动计划</w:t>
            </w:r>
            <w:r>
              <w:rPr>
                <w:bCs/>
                <w:color w:val="000000" w:themeColor="text1"/>
                <w:spacing w:val="4"/>
                <w:kern w:val="24"/>
                <w:sz w:val="24"/>
                <w:lang w:bidi="ar"/>
                <w14:textFill>
                  <w14:solidFill>
                    <w14:schemeClr w14:val="tx1"/>
                  </w14:solidFill>
                </w14:textFill>
              </w:rPr>
              <w:t>》</w:t>
            </w:r>
            <w:r>
              <w:rPr>
                <w:color w:val="000000" w:themeColor="text1"/>
                <w:sz w:val="24"/>
                <w14:textFill>
                  <w14:solidFill>
                    <w14:schemeClr w14:val="tx1"/>
                  </w14:solidFill>
                </w14:textFill>
              </w:rPr>
              <w:t>要求。</w:t>
            </w:r>
          </w:p>
          <w:p w14:paraId="576DA048">
            <w:pPr>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11、与《云南省固体废物污染环境防治条例》符合性分析</w:t>
            </w:r>
          </w:p>
          <w:p w14:paraId="7943A2FF">
            <w:pPr>
              <w:pStyle w:val="58"/>
              <w:rPr>
                <w:color w:val="000000" w:themeColor="text1"/>
                <w14:textFill>
                  <w14:solidFill>
                    <w14:schemeClr w14:val="tx1"/>
                  </w14:solidFill>
                </w14:textFill>
              </w:rPr>
            </w:pPr>
            <w:r>
              <w:rPr>
                <w:color w:val="000000" w:themeColor="text1"/>
                <w14:textFill>
                  <w14:solidFill>
                    <w14:schemeClr w14:val="tx1"/>
                  </w14:solidFill>
                </w14:textFill>
              </w:rPr>
              <w:t>表1-</w:t>
            </w:r>
            <w:r>
              <w:rPr>
                <w:rFonts w:hint="eastAsia"/>
                <w:color w:val="000000" w:themeColor="text1"/>
                <w14:textFill>
                  <w14:solidFill>
                    <w14:schemeClr w14:val="tx1"/>
                  </w14:solidFill>
                </w14:textFill>
              </w:rPr>
              <w:t xml:space="preserve">13 </w:t>
            </w:r>
            <w:r>
              <w:rPr>
                <w:color w:val="000000" w:themeColor="text1"/>
                <w14:textFill>
                  <w14:solidFill>
                    <w14:schemeClr w14:val="tx1"/>
                  </w14:solidFill>
                </w14:textFill>
              </w:rPr>
              <w:t>与《</w:t>
            </w:r>
            <w:r>
              <w:rPr>
                <w:rFonts w:hint="eastAsia"/>
                <w:color w:val="000000" w:themeColor="text1"/>
                <w14:textFill>
                  <w14:solidFill>
                    <w14:schemeClr w14:val="tx1"/>
                  </w14:solidFill>
                </w14:textFill>
              </w:rPr>
              <w:t>云南省固体废物污染环境防治条例</w:t>
            </w:r>
            <w:r>
              <w:rPr>
                <w:color w:val="000000" w:themeColor="text1"/>
                <w14:textFill>
                  <w14:solidFill>
                    <w14:schemeClr w14:val="tx1"/>
                  </w14:solidFill>
                </w14:textFill>
              </w:rPr>
              <w:t>》符合性分析</w:t>
            </w:r>
          </w:p>
          <w:tbl>
            <w:tblPr>
              <w:tblStyle w:val="25"/>
              <w:tblpPr w:leftFromText="180" w:rightFromText="180" w:vertAnchor="text" w:horzAnchor="page" w:tblpX="213" w:tblpY="258"/>
              <w:tblOverlap w:val="never"/>
              <w:tblW w:w="80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36"/>
              <w:gridCol w:w="3333"/>
              <w:gridCol w:w="917"/>
            </w:tblGrid>
            <w:tr w14:paraId="1B0D1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3836" w:type="dxa"/>
                  <w:vAlign w:val="center"/>
                </w:tcPr>
                <w:p w14:paraId="282C6332">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相关要求</w:t>
                  </w:r>
                </w:p>
              </w:tc>
              <w:tc>
                <w:tcPr>
                  <w:tcW w:w="3333" w:type="dxa"/>
                  <w:vAlign w:val="center"/>
                </w:tcPr>
                <w:p w14:paraId="2F5719AD">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项目情况</w:t>
                  </w:r>
                </w:p>
              </w:tc>
              <w:tc>
                <w:tcPr>
                  <w:tcW w:w="917" w:type="dxa"/>
                  <w:vAlign w:val="center"/>
                </w:tcPr>
                <w:p w14:paraId="16EA1CEA">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符合性</w:t>
                  </w:r>
                </w:p>
              </w:tc>
            </w:tr>
            <w:tr w14:paraId="45252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3836" w:type="dxa"/>
                  <w:vAlign w:val="center"/>
                </w:tcPr>
                <w:p w14:paraId="6B1A06FA">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建设产生、贮存、利用、处置固体废物的项目，应当依法进行环境影响评价，并遵守国家有关建设项目环境保护管理的规定。</w:t>
                  </w:r>
                </w:p>
              </w:tc>
              <w:tc>
                <w:tcPr>
                  <w:tcW w:w="3333" w:type="dxa"/>
                  <w:vAlign w:val="center"/>
                </w:tcPr>
                <w:p w14:paraId="3696CA5D">
                  <w:pPr>
                    <w:pStyle w:val="74"/>
                    <w:rPr>
                      <w:b w:val="0"/>
                      <w:color w:val="000000" w:themeColor="text1"/>
                      <w14:textFill>
                        <w14:solidFill>
                          <w14:schemeClr w14:val="tx1"/>
                        </w14:solidFill>
                      </w14:textFill>
                    </w:rPr>
                  </w:pPr>
                  <w:r>
                    <w:rPr>
                      <w:b w:val="0"/>
                      <w:bCs/>
                      <w:color w:val="000000" w:themeColor="text1"/>
                      <w14:textFill>
                        <w14:solidFill>
                          <w14:schemeClr w14:val="tx1"/>
                        </w14:solidFill>
                      </w14:textFill>
                    </w:rPr>
                    <w:t>本项目</w:t>
                  </w:r>
                  <w:r>
                    <w:rPr>
                      <w:rFonts w:hint="eastAsia"/>
                      <w:b w:val="0"/>
                      <w:bCs/>
                      <w:color w:val="000000" w:themeColor="text1"/>
                      <w14:textFill>
                        <w14:solidFill>
                          <w14:schemeClr w14:val="tx1"/>
                        </w14:solidFill>
                      </w14:textFill>
                    </w:rPr>
                    <w:t>为肥料制造项目，正在办理环境影响评价手续。</w:t>
                  </w:r>
                </w:p>
              </w:tc>
              <w:tc>
                <w:tcPr>
                  <w:tcW w:w="917" w:type="dxa"/>
                  <w:vAlign w:val="center"/>
                </w:tcPr>
                <w:p w14:paraId="6898C27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4A32A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3836" w:type="dxa"/>
                  <w:vAlign w:val="center"/>
                </w:tcPr>
                <w:p w14:paraId="6BF06CFF">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产生、收集、贮存、运输、利用、处置固体废物的单位和其他生产经营者，应当采取防扬散、防流失、防渗漏或者其他防止污染环境的措施，不得擅自倾倒、堆放、丢弃、遗撒固体废物。</w:t>
                  </w:r>
                </w:p>
              </w:tc>
              <w:tc>
                <w:tcPr>
                  <w:tcW w:w="3333" w:type="dxa"/>
                  <w:vAlign w:val="center"/>
                </w:tcPr>
                <w:p w14:paraId="2850EC69">
                  <w:pPr>
                    <w:pStyle w:val="74"/>
                    <w:rPr>
                      <w:b w:val="0"/>
                      <w:color w:val="000000" w:themeColor="text1"/>
                      <w14:textFill>
                        <w14:solidFill>
                          <w14:schemeClr w14:val="tx1"/>
                        </w14:solidFill>
                      </w14:textFill>
                    </w:rPr>
                  </w:pPr>
                  <w:r>
                    <w:rPr>
                      <w:b w:val="0"/>
                      <w:bCs/>
                      <w:color w:val="000000" w:themeColor="text1"/>
                      <w14:textFill>
                        <w14:solidFill>
                          <w14:schemeClr w14:val="tx1"/>
                        </w14:solidFill>
                      </w14:textFill>
                    </w:rPr>
                    <w:t>本项目</w:t>
                  </w:r>
                  <w:r>
                    <w:rPr>
                      <w:rFonts w:hint="eastAsia"/>
                      <w:b w:val="0"/>
                      <w:bCs/>
                      <w:color w:val="000000" w:themeColor="text1"/>
                      <w14:textFill>
                        <w14:solidFill>
                          <w14:schemeClr w14:val="tx1"/>
                        </w14:solidFill>
                      </w14:textFill>
                    </w:rPr>
                    <w:t>为肥料制造项目，生产、储存等环节均在密闭的厂房内进行，生产过程中采取了喷水降尘、设置雾炮机等防治控制扬尘。</w:t>
                  </w:r>
                </w:p>
              </w:tc>
              <w:tc>
                <w:tcPr>
                  <w:tcW w:w="917" w:type="dxa"/>
                  <w:vAlign w:val="center"/>
                </w:tcPr>
                <w:p w14:paraId="2F36125F">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r w14:paraId="44328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9" w:hRule="atLeast"/>
              </w:trPr>
              <w:tc>
                <w:tcPr>
                  <w:tcW w:w="3836" w:type="dxa"/>
                  <w:vAlign w:val="center"/>
                </w:tcPr>
                <w:p w14:paraId="770FB753">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鼓励采取先进工艺对尾矿、煤矸石、废石等矿业固体废物进行综合利用。</w:t>
                  </w:r>
                </w:p>
              </w:tc>
              <w:tc>
                <w:tcPr>
                  <w:tcW w:w="3333" w:type="dxa"/>
                  <w:vAlign w:val="center"/>
                </w:tcPr>
                <w:p w14:paraId="0AD27385">
                  <w:pPr>
                    <w:pStyle w:val="74"/>
                    <w:jc w:val="both"/>
                    <w:rPr>
                      <w:b w:val="0"/>
                      <w:color w:val="000000" w:themeColor="text1"/>
                      <w14:textFill>
                        <w14:solidFill>
                          <w14:schemeClr w14:val="tx1"/>
                        </w14:solidFill>
                      </w14:textFill>
                    </w:rPr>
                  </w:pPr>
                  <w:r>
                    <w:rPr>
                      <w:b w:val="0"/>
                      <w:bCs/>
                      <w:color w:val="000000" w:themeColor="text1"/>
                      <w14:textFill>
                        <w14:solidFill>
                          <w14:schemeClr w14:val="tx1"/>
                        </w14:solidFill>
                      </w14:textFill>
                    </w:rPr>
                    <w:t>本项目</w:t>
                  </w:r>
                  <w:r>
                    <w:rPr>
                      <w:rFonts w:hint="eastAsia"/>
                      <w:b w:val="0"/>
                      <w:bCs/>
                      <w:color w:val="000000" w:themeColor="text1"/>
                      <w14:textFill>
                        <w14:solidFill>
                          <w14:schemeClr w14:val="tx1"/>
                        </w14:solidFill>
                      </w14:textFill>
                    </w:rPr>
                    <w:t>为肥料制造项目，项目采用低变质褐煤、锯木屑、尿素、发酵菌剂发酵后生产有机肥，有机肥产品质量执行《有机肥料》（NY/T525-2026）</w:t>
                  </w:r>
                  <w:r>
                    <w:rPr>
                      <w:rFonts w:hint="eastAsia" w:ascii="宋体" w:hAnsi="宋体" w:cs="宋体"/>
                      <w:b w:val="0"/>
                      <w:bCs/>
                      <w:color w:val="000000" w:themeColor="text1"/>
                      <w14:textFill>
                        <w14:solidFill>
                          <w14:schemeClr w14:val="tx1"/>
                        </w14:solidFill>
                      </w14:textFill>
                    </w:rPr>
                    <w:t>。</w:t>
                  </w:r>
                  <w:r>
                    <w:rPr>
                      <w:rFonts w:hint="eastAsia"/>
                      <w:b w:val="0"/>
                      <w:bCs/>
                      <w:color w:val="000000" w:themeColor="text1"/>
                      <w14:textFill>
                        <w14:solidFill>
                          <w14:schemeClr w14:val="tx1"/>
                        </w14:solidFill>
                      </w14:textFill>
                    </w:rPr>
                    <w:t>本项目的建设能有效的利用固废中的腐殖酸、有机质等，使之变废为宝，提高固废的综合利用，产品中的各重金属含量满足产品质量标准要求，不会对土壤造成影响。</w:t>
                  </w:r>
                </w:p>
              </w:tc>
              <w:tc>
                <w:tcPr>
                  <w:tcW w:w="917" w:type="dxa"/>
                  <w:vAlign w:val="center"/>
                </w:tcPr>
                <w:p w14:paraId="76A9E63B">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bl>
          <w:p w14:paraId="5432C54A">
            <w:pPr>
              <w:ind w:firstLine="496" w:firstLineChars="200"/>
              <w:rPr>
                <w:b/>
                <w:color w:val="000000" w:themeColor="text1"/>
                <w:sz w:val="24"/>
                <w14:textFill>
                  <w14:solidFill>
                    <w14:schemeClr w14:val="tx1"/>
                  </w14:solidFill>
                </w14:textFill>
              </w:rPr>
            </w:pPr>
            <w:r>
              <w:rPr>
                <w:bCs/>
                <w:color w:val="000000" w:themeColor="text1"/>
                <w:spacing w:val="4"/>
                <w:kern w:val="24"/>
                <w:sz w:val="24"/>
                <w:lang w:bidi="ar"/>
                <w14:textFill>
                  <w14:solidFill>
                    <w14:schemeClr w14:val="tx1"/>
                  </w14:solidFill>
                </w14:textFill>
              </w:rPr>
              <w:t>综上，</w:t>
            </w:r>
            <w:r>
              <w:rPr>
                <w:color w:val="000000" w:themeColor="text1"/>
                <w:kern w:val="0"/>
                <w:sz w:val="24"/>
                <w14:textFill>
                  <w14:solidFill>
                    <w14:schemeClr w14:val="tx1"/>
                  </w14:solidFill>
                </w14:textFill>
              </w:rPr>
              <w:t>项目符合</w:t>
            </w:r>
            <w:r>
              <w:rPr>
                <w:rFonts w:hint="eastAsia"/>
                <w:bCs/>
                <w:color w:val="000000" w:themeColor="text1"/>
                <w:spacing w:val="4"/>
                <w:kern w:val="24"/>
                <w:sz w:val="24"/>
                <w:lang w:bidi="ar"/>
                <w14:textFill>
                  <w14:solidFill>
                    <w14:schemeClr w14:val="tx1"/>
                  </w14:solidFill>
                </w14:textFill>
              </w:rPr>
              <w:t>《云南省固体废物污染环境防治条例》</w:t>
            </w:r>
            <w:r>
              <w:rPr>
                <w:color w:val="000000" w:themeColor="text1"/>
                <w:sz w:val="24"/>
                <w14:textFill>
                  <w14:solidFill>
                    <w14:schemeClr w14:val="tx1"/>
                  </w14:solidFill>
                </w14:textFill>
              </w:rPr>
              <w:t>要求。</w:t>
            </w:r>
          </w:p>
          <w:p w14:paraId="1C791066">
            <w:pPr>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12、与《有机肥料》（NY/T525-2026）符合性分析</w:t>
            </w:r>
          </w:p>
          <w:p w14:paraId="59DF7EED">
            <w:pPr>
              <w:pStyle w:val="58"/>
              <w:rPr>
                <w:rFonts w:hint="eastAsia"/>
                <w:color w:val="000000" w:themeColor="text1"/>
                <w14:textFill>
                  <w14:solidFill>
                    <w14:schemeClr w14:val="tx1"/>
                  </w14:solidFill>
                </w14:textFill>
              </w:rPr>
            </w:pPr>
          </w:p>
          <w:p w14:paraId="0EF9915E">
            <w:pPr>
              <w:pStyle w:val="58"/>
              <w:rPr>
                <w:rFonts w:hint="eastAsia"/>
                <w:color w:val="000000" w:themeColor="text1"/>
                <w14:textFill>
                  <w14:solidFill>
                    <w14:schemeClr w14:val="tx1"/>
                  </w14:solidFill>
                </w14:textFill>
              </w:rPr>
            </w:pPr>
          </w:p>
          <w:p w14:paraId="7E582CFF">
            <w:pPr>
              <w:pStyle w:val="58"/>
              <w:rPr>
                <w:rFonts w:hint="eastAsia"/>
                <w:color w:val="000000" w:themeColor="text1"/>
                <w14:textFill>
                  <w14:solidFill>
                    <w14:schemeClr w14:val="tx1"/>
                  </w14:solidFill>
                </w14:textFill>
              </w:rPr>
            </w:pPr>
          </w:p>
          <w:p w14:paraId="5E0D224D">
            <w:pPr>
              <w:pStyle w:val="58"/>
              <w:rPr>
                <w:rFonts w:hint="eastAsia"/>
                <w:color w:val="000000" w:themeColor="text1"/>
                <w14:textFill>
                  <w14:solidFill>
                    <w14:schemeClr w14:val="tx1"/>
                  </w14:solidFill>
                </w14:textFill>
              </w:rPr>
            </w:pPr>
          </w:p>
          <w:p w14:paraId="232C0B53">
            <w:pPr>
              <w:pStyle w:val="58"/>
              <w:rPr>
                <w:color w:val="000000" w:themeColor="text1"/>
                <w14:textFill>
                  <w14:solidFill>
                    <w14:schemeClr w14:val="tx1"/>
                  </w14:solidFill>
                </w14:textFill>
              </w:rPr>
            </w:pPr>
            <w:r>
              <w:rPr>
                <w:color w:val="000000" w:themeColor="text1"/>
                <w14:textFill>
                  <w14:solidFill>
                    <w14:schemeClr w14:val="tx1"/>
                  </w14:solidFill>
                </w14:textFill>
              </w:rPr>
              <w:t>表1-</w:t>
            </w:r>
            <w:r>
              <w:rPr>
                <w:rFonts w:hint="eastAsia"/>
                <w:color w:val="000000" w:themeColor="text1"/>
                <w14:textFill>
                  <w14:solidFill>
                    <w14:schemeClr w14:val="tx1"/>
                  </w14:solidFill>
                </w14:textFill>
              </w:rPr>
              <w:t xml:space="preserve">14 </w:t>
            </w:r>
            <w:r>
              <w:rPr>
                <w:color w:val="000000" w:themeColor="text1"/>
                <w14:textFill>
                  <w14:solidFill>
                    <w14:schemeClr w14:val="tx1"/>
                  </w14:solidFill>
                </w14:textFill>
              </w:rPr>
              <w:t>与</w:t>
            </w:r>
            <w:r>
              <w:rPr>
                <w:rFonts w:hint="eastAsia"/>
                <w:color w:val="000000" w:themeColor="text1"/>
                <w14:textFill>
                  <w14:solidFill>
                    <w14:schemeClr w14:val="tx1"/>
                  </w14:solidFill>
                </w14:textFill>
              </w:rPr>
              <w:t>《有机肥料》（NY/T525-2026）</w:t>
            </w:r>
            <w:r>
              <w:rPr>
                <w:color w:val="000000" w:themeColor="text1"/>
                <w14:textFill>
                  <w14:solidFill>
                    <w14:schemeClr w14:val="tx1"/>
                  </w14:solidFill>
                </w14:textFill>
              </w:rPr>
              <w:t>符合性分析</w:t>
            </w:r>
          </w:p>
          <w:tbl>
            <w:tblPr>
              <w:tblStyle w:val="25"/>
              <w:tblpPr w:leftFromText="180" w:rightFromText="180" w:vertAnchor="text" w:horzAnchor="page" w:tblpX="213" w:tblpY="258"/>
              <w:tblOverlap w:val="never"/>
              <w:tblW w:w="80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36"/>
              <w:gridCol w:w="3333"/>
              <w:gridCol w:w="917"/>
            </w:tblGrid>
            <w:tr w14:paraId="57E5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3836" w:type="dxa"/>
                  <w:vAlign w:val="center"/>
                </w:tcPr>
                <w:p w14:paraId="44017C74">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相关要求</w:t>
                  </w:r>
                </w:p>
              </w:tc>
              <w:tc>
                <w:tcPr>
                  <w:tcW w:w="3333" w:type="dxa"/>
                  <w:vAlign w:val="center"/>
                </w:tcPr>
                <w:p w14:paraId="1BFD2B44">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项目情况</w:t>
                  </w:r>
                </w:p>
              </w:tc>
              <w:tc>
                <w:tcPr>
                  <w:tcW w:w="917" w:type="dxa"/>
                  <w:vAlign w:val="center"/>
                </w:tcPr>
                <w:p w14:paraId="1A453305">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符合性</w:t>
                  </w:r>
                </w:p>
              </w:tc>
            </w:tr>
            <w:tr w14:paraId="56B22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3836" w:type="dxa"/>
                  <w:vAlign w:val="center"/>
                </w:tcPr>
                <w:p w14:paraId="44FBEF5B">
                  <w:pPr>
                    <w:pStyle w:val="74"/>
                    <w:rPr>
                      <w:b w:val="0"/>
                      <w:color w:val="000000" w:themeColor="text1"/>
                      <w14:textFill>
                        <w14:solidFill>
                          <w14:schemeClr w14:val="tx1"/>
                        </w14:solidFill>
                      </w14:textFill>
                    </w:rPr>
                  </w:pPr>
                  <w:r>
                    <w:rPr>
                      <w:rFonts w:hint="eastAsia"/>
                      <w:bCs/>
                      <w:color w:val="000000" w:themeColor="text1"/>
                      <w14:textFill>
                        <w14:solidFill>
                          <w14:schemeClr w14:val="tx1"/>
                        </w14:solidFill>
                      </w14:textFill>
                    </w:rPr>
                    <w:t>原料要求：</w:t>
                  </w:r>
                  <w:r>
                    <w:rPr>
                      <w:rFonts w:hint="eastAsia"/>
                      <w:b w:val="0"/>
                      <w:color w:val="000000" w:themeColor="text1"/>
                      <w14:textFill>
                        <w14:solidFill>
                          <w14:schemeClr w14:val="tx1"/>
                        </w14:solidFill>
                      </w14:textFill>
                    </w:rPr>
                    <w:t>有机肥料生产原料应遵循“安全、卫生、稳定、有效”的基本原则,原料按目录分类管理，分为适用类、评估类和禁用类。优先选用附录A中的适用类原料；禁止选用粉煤灰、钢渣、污泥、生活垃圾(经分类陈化后的厨余废弃物除外)，含有外来入侵物种的物料和法律法规禁止的物料等存在安全隐患的禁用类原料；其余为评估类原料。如选择附录B中的评估类原料，须进行安全评估并通过安全性评价后才能用于有机肥料生产。</w:t>
                  </w:r>
                </w:p>
              </w:tc>
              <w:tc>
                <w:tcPr>
                  <w:tcW w:w="3333" w:type="dxa"/>
                  <w:vAlign w:val="center"/>
                </w:tcPr>
                <w:p w14:paraId="49145C97">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本项目生产有机肥的原料为低变质褐煤、锯木屑，低变质褐煤为附录A中的天然原料，锯木屑为附录A中的种植业废弃物（林草废弃物），原料符合要求。</w:t>
                  </w:r>
                </w:p>
              </w:tc>
              <w:tc>
                <w:tcPr>
                  <w:tcW w:w="917" w:type="dxa"/>
                  <w:vAlign w:val="center"/>
                </w:tcPr>
                <w:p w14:paraId="32D45A44">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符合</w:t>
                  </w:r>
                </w:p>
              </w:tc>
            </w:tr>
          </w:tbl>
          <w:p w14:paraId="42974857">
            <w:pPr>
              <w:spacing w:line="360" w:lineRule="auto"/>
              <w:ind w:firstLine="496" w:firstLineChars="200"/>
              <w:rPr>
                <w:b/>
                <w:color w:val="000000" w:themeColor="text1"/>
                <w:sz w:val="24"/>
                <w14:textFill>
                  <w14:solidFill>
                    <w14:schemeClr w14:val="tx1"/>
                  </w14:solidFill>
                </w14:textFill>
              </w:rPr>
            </w:pPr>
            <w:r>
              <w:rPr>
                <w:bCs/>
                <w:color w:val="000000" w:themeColor="text1"/>
                <w:spacing w:val="4"/>
                <w:kern w:val="24"/>
                <w:sz w:val="24"/>
                <w:lang w:bidi="ar"/>
                <w14:textFill>
                  <w14:solidFill>
                    <w14:schemeClr w14:val="tx1"/>
                  </w14:solidFill>
                </w14:textFill>
              </w:rPr>
              <w:t>综上，</w:t>
            </w:r>
            <w:r>
              <w:rPr>
                <w:color w:val="000000" w:themeColor="text1"/>
                <w:kern w:val="0"/>
                <w:sz w:val="24"/>
                <w14:textFill>
                  <w14:solidFill>
                    <w14:schemeClr w14:val="tx1"/>
                  </w14:solidFill>
                </w14:textFill>
              </w:rPr>
              <w:t>项目符合</w:t>
            </w:r>
            <w:r>
              <w:rPr>
                <w:rFonts w:hint="eastAsia"/>
                <w:bCs/>
                <w:color w:val="000000" w:themeColor="text1"/>
                <w:spacing w:val="4"/>
                <w:kern w:val="24"/>
                <w:sz w:val="24"/>
                <w:lang w:bidi="ar"/>
                <w14:textFill>
                  <w14:solidFill>
                    <w14:schemeClr w14:val="tx1"/>
                  </w14:solidFill>
                </w14:textFill>
              </w:rPr>
              <w:t>《有机肥料》（NY/T525-2026）</w:t>
            </w:r>
            <w:r>
              <w:rPr>
                <w:color w:val="000000" w:themeColor="text1"/>
                <w:sz w:val="24"/>
                <w14:textFill>
                  <w14:solidFill>
                    <w14:schemeClr w14:val="tx1"/>
                  </w14:solidFill>
                </w14:textFill>
              </w:rPr>
              <w:t>要求。</w:t>
            </w:r>
          </w:p>
          <w:p w14:paraId="60D74C49">
            <w:pPr>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13、与《中华人民共和国长江保护法》相符性分析</w:t>
            </w:r>
          </w:p>
          <w:p w14:paraId="50E795FD">
            <w:pPr>
              <w:autoSpaceDE w:val="0"/>
              <w:autoSpaceDN w:val="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表1-</w:t>
            </w:r>
            <w:r>
              <w:rPr>
                <w:rFonts w:hint="eastAsia"/>
                <w:b/>
                <w:bCs/>
                <w:color w:val="000000" w:themeColor="text1"/>
                <w:kern w:val="0"/>
                <w:szCs w:val="21"/>
                <w14:textFill>
                  <w14:solidFill>
                    <w14:schemeClr w14:val="tx1"/>
                  </w14:solidFill>
                </w14:textFill>
              </w:rPr>
              <w:t>15</w:t>
            </w:r>
            <w:r>
              <w:rPr>
                <w:b/>
                <w:bCs/>
                <w:color w:val="000000" w:themeColor="text1"/>
                <w:kern w:val="0"/>
                <w:szCs w:val="21"/>
                <w14:textFill>
                  <w14:solidFill>
                    <w14:schemeClr w14:val="tx1"/>
                  </w14:solidFill>
                </w14:textFill>
              </w:rPr>
              <w:t xml:space="preserve"> </w:t>
            </w:r>
            <w:r>
              <w:rPr>
                <w:rFonts w:hint="eastAsia"/>
                <w:b/>
                <w:bCs/>
                <w:color w:val="000000" w:themeColor="text1"/>
                <w:kern w:val="0"/>
                <w:szCs w:val="21"/>
                <w14:textFill>
                  <w14:solidFill>
                    <w14:schemeClr w14:val="tx1"/>
                  </w14:solidFill>
                </w14:textFill>
              </w:rPr>
              <w:t xml:space="preserve"> </w:t>
            </w:r>
            <w:r>
              <w:rPr>
                <w:b/>
                <w:bCs/>
                <w:color w:val="000000" w:themeColor="text1"/>
                <w:kern w:val="0"/>
                <w:szCs w:val="21"/>
                <w14:textFill>
                  <w14:solidFill>
                    <w14:schemeClr w14:val="tx1"/>
                  </w14:solidFill>
                </w14:textFill>
              </w:rPr>
              <w:t>项目与《中华人民共和国长江保护法》的相符性</w:t>
            </w:r>
          </w:p>
          <w:tbl>
            <w:tblPr>
              <w:tblStyle w:val="25"/>
              <w:tblW w:w="74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44"/>
              <w:gridCol w:w="3715"/>
              <w:gridCol w:w="2333"/>
              <w:gridCol w:w="786"/>
            </w:tblGrid>
            <w:tr w14:paraId="26184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44" w:type="dxa"/>
                  <w:tcMar>
                    <w:top w:w="0" w:type="dxa"/>
                    <w:left w:w="51" w:type="dxa"/>
                    <w:bottom w:w="0" w:type="dxa"/>
                    <w:right w:w="51" w:type="dxa"/>
                  </w:tcMar>
                  <w:vAlign w:val="center"/>
                </w:tcPr>
                <w:p w14:paraId="23D5638B">
                  <w:pPr>
                    <w:pStyle w:val="90"/>
                    <w:rPr>
                      <w:b/>
                      <w:bCs/>
                      <w:color w:val="000000" w:themeColor="text1"/>
                      <w14:textFill>
                        <w14:solidFill>
                          <w14:schemeClr w14:val="tx1"/>
                        </w14:solidFill>
                      </w14:textFill>
                    </w:rPr>
                  </w:pPr>
                  <w:r>
                    <w:rPr>
                      <w:b/>
                      <w:bCs/>
                      <w:color w:val="000000" w:themeColor="text1"/>
                      <w14:textFill>
                        <w14:solidFill>
                          <w14:schemeClr w14:val="tx1"/>
                        </w14:solidFill>
                      </w14:textFill>
                    </w:rPr>
                    <w:t>序号</w:t>
                  </w:r>
                </w:p>
              </w:tc>
              <w:tc>
                <w:tcPr>
                  <w:tcW w:w="3715" w:type="dxa"/>
                  <w:tcMar>
                    <w:top w:w="0" w:type="dxa"/>
                    <w:left w:w="51" w:type="dxa"/>
                    <w:bottom w:w="0" w:type="dxa"/>
                    <w:right w:w="51" w:type="dxa"/>
                  </w:tcMar>
                  <w:vAlign w:val="center"/>
                </w:tcPr>
                <w:p w14:paraId="79AE10EA">
                  <w:pPr>
                    <w:pStyle w:val="90"/>
                    <w:rPr>
                      <w:b/>
                      <w:bCs/>
                      <w:color w:val="000000" w:themeColor="text1"/>
                      <w14:textFill>
                        <w14:solidFill>
                          <w14:schemeClr w14:val="tx1"/>
                        </w14:solidFill>
                      </w14:textFill>
                    </w:rPr>
                  </w:pPr>
                  <w:r>
                    <w:rPr>
                      <w:b/>
                      <w:bCs/>
                      <w:color w:val="000000" w:themeColor="text1"/>
                      <w14:textFill>
                        <w14:solidFill>
                          <w14:schemeClr w14:val="tx1"/>
                        </w14:solidFill>
                      </w14:textFill>
                    </w:rPr>
                    <w:t>相关规定</w:t>
                  </w:r>
                </w:p>
              </w:tc>
              <w:tc>
                <w:tcPr>
                  <w:tcW w:w="2333" w:type="dxa"/>
                  <w:tcMar>
                    <w:top w:w="0" w:type="dxa"/>
                    <w:left w:w="51" w:type="dxa"/>
                    <w:bottom w:w="0" w:type="dxa"/>
                    <w:right w:w="51" w:type="dxa"/>
                  </w:tcMar>
                  <w:vAlign w:val="center"/>
                </w:tcPr>
                <w:p w14:paraId="35F588CE">
                  <w:pPr>
                    <w:pStyle w:val="90"/>
                    <w:rPr>
                      <w:b/>
                      <w:bCs/>
                      <w:color w:val="000000" w:themeColor="text1"/>
                      <w14:textFill>
                        <w14:solidFill>
                          <w14:schemeClr w14:val="tx1"/>
                        </w14:solidFill>
                      </w14:textFill>
                    </w:rPr>
                  </w:pPr>
                  <w:r>
                    <w:rPr>
                      <w:b/>
                      <w:bCs/>
                      <w:color w:val="000000" w:themeColor="text1"/>
                      <w14:textFill>
                        <w14:solidFill>
                          <w14:schemeClr w14:val="tx1"/>
                        </w14:solidFill>
                      </w14:textFill>
                    </w:rPr>
                    <w:t>本项目情况</w:t>
                  </w:r>
                </w:p>
              </w:tc>
              <w:tc>
                <w:tcPr>
                  <w:tcW w:w="786" w:type="dxa"/>
                  <w:tcMar>
                    <w:top w:w="0" w:type="dxa"/>
                    <w:left w:w="51" w:type="dxa"/>
                    <w:bottom w:w="0" w:type="dxa"/>
                    <w:right w:w="51" w:type="dxa"/>
                  </w:tcMar>
                  <w:vAlign w:val="center"/>
                </w:tcPr>
                <w:p w14:paraId="6FCB8A4A">
                  <w:pPr>
                    <w:pStyle w:val="90"/>
                    <w:rPr>
                      <w:b/>
                      <w:bCs/>
                      <w:color w:val="000000" w:themeColor="text1"/>
                      <w14:textFill>
                        <w14:solidFill>
                          <w14:schemeClr w14:val="tx1"/>
                        </w14:solidFill>
                      </w14:textFill>
                    </w:rPr>
                  </w:pPr>
                  <w:r>
                    <w:rPr>
                      <w:b/>
                      <w:bCs/>
                      <w:color w:val="000000" w:themeColor="text1"/>
                      <w14:textFill>
                        <w14:solidFill>
                          <w14:schemeClr w14:val="tx1"/>
                        </w14:solidFill>
                      </w14:textFill>
                    </w:rPr>
                    <w:t>符</w:t>
                  </w:r>
                  <w:r>
                    <w:rPr>
                      <w:rFonts w:hint="eastAsia"/>
                      <w:b/>
                      <w:bCs/>
                      <w:color w:val="000000" w:themeColor="text1"/>
                      <w14:textFill>
                        <w14:solidFill>
                          <w14:schemeClr w14:val="tx1"/>
                        </w14:solidFill>
                      </w14:textFill>
                    </w:rPr>
                    <w:t>合</w:t>
                  </w:r>
                  <w:r>
                    <w:rPr>
                      <w:b/>
                      <w:bCs/>
                      <w:color w:val="000000" w:themeColor="text1"/>
                      <w14:textFill>
                        <w14:solidFill>
                          <w14:schemeClr w14:val="tx1"/>
                        </w14:solidFill>
                      </w14:textFill>
                    </w:rPr>
                    <w:t>性</w:t>
                  </w:r>
                </w:p>
              </w:tc>
            </w:tr>
            <w:tr w14:paraId="12C27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090" w:hRule="atLeast"/>
                <w:jc w:val="center"/>
              </w:trPr>
              <w:tc>
                <w:tcPr>
                  <w:tcW w:w="644" w:type="dxa"/>
                  <w:tcMar>
                    <w:top w:w="0" w:type="dxa"/>
                    <w:left w:w="51" w:type="dxa"/>
                    <w:bottom w:w="0" w:type="dxa"/>
                    <w:right w:w="51" w:type="dxa"/>
                  </w:tcMar>
                  <w:vAlign w:val="center"/>
                </w:tcPr>
                <w:p w14:paraId="156B1E80">
                  <w:pPr>
                    <w:pStyle w:val="90"/>
                    <w:rPr>
                      <w:color w:val="000000" w:themeColor="text1"/>
                      <w14:textFill>
                        <w14:solidFill>
                          <w14:schemeClr w14:val="tx1"/>
                        </w14:solidFill>
                      </w14:textFill>
                    </w:rPr>
                  </w:pPr>
                  <w:r>
                    <w:rPr>
                      <w:color w:val="000000" w:themeColor="text1"/>
                      <w14:textFill>
                        <w14:solidFill>
                          <w14:schemeClr w14:val="tx1"/>
                        </w14:solidFill>
                      </w14:textFill>
                    </w:rPr>
                    <w:t>1</w:t>
                  </w:r>
                </w:p>
              </w:tc>
              <w:tc>
                <w:tcPr>
                  <w:tcW w:w="3715" w:type="dxa"/>
                  <w:tcMar>
                    <w:top w:w="0" w:type="dxa"/>
                    <w:left w:w="51" w:type="dxa"/>
                    <w:bottom w:w="0" w:type="dxa"/>
                    <w:right w:w="51" w:type="dxa"/>
                  </w:tcMar>
                  <w:vAlign w:val="center"/>
                </w:tcPr>
                <w:p w14:paraId="3D0D3414">
                  <w:pPr>
                    <w:pStyle w:val="90"/>
                    <w:rPr>
                      <w:color w:val="000000" w:themeColor="text1"/>
                      <w14:textFill>
                        <w14:solidFill>
                          <w14:schemeClr w14:val="tx1"/>
                        </w14:solidFill>
                      </w14:textFill>
                    </w:rPr>
                  </w:pPr>
                  <w:r>
                    <w:rPr>
                      <w:color w:val="000000" w:themeColor="text1"/>
                      <w14:textFill>
                        <w14:solidFill>
                          <w14:schemeClr w14:val="tx1"/>
                        </w14:solidFill>
                      </w14:textFill>
                    </w:rPr>
                    <w:t>对长江流域已建小水电工程，不符合生态保护要求的，县级以上地方人民政府应当组织分类整改或者采取措施逐步退出。</w:t>
                  </w:r>
                </w:p>
              </w:tc>
              <w:tc>
                <w:tcPr>
                  <w:tcW w:w="2333" w:type="dxa"/>
                  <w:tcMar>
                    <w:top w:w="0" w:type="dxa"/>
                    <w:left w:w="51" w:type="dxa"/>
                    <w:bottom w:w="0" w:type="dxa"/>
                    <w:right w:w="51" w:type="dxa"/>
                  </w:tcMar>
                  <w:vAlign w:val="center"/>
                </w:tcPr>
                <w:p w14:paraId="30DDC73B">
                  <w:pPr>
                    <w:pStyle w:val="90"/>
                    <w:rPr>
                      <w:color w:val="000000" w:themeColor="text1"/>
                      <w14:textFill>
                        <w14:solidFill>
                          <w14:schemeClr w14:val="tx1"/>
                        </w14:solidFill>
                      </w14:textFill>
                    </w:rPr>
                  </w:pPr>
                  <w:r>
                    <w:rPr>
                      <w:color w:val="000000" w:themeColor="text1"/>
                      <w14:textFill>
                        <w14:solidFill>
                          <w14:schemeClr w14:val="tx1"/>
                        </w14:solidFill>
                      </w14:textFill>
                    </w:rPr>
                    <w:t>本项目不属于小水电工程。</w:t>
                  </w:r>
                </w:p>
              </w:tc>
              <w:tc>
                <w:tcPr>
                  <w:tcW w:w="786" w:type="dxa"/>
                  <w:tcMar>
                    <w:top w:w="0" w:type="dxa"/>
                    <w:left w:w="51" w:type="dxa"/>
                    <w:bottom w:w="0" w:type="dxa"/>
                    <w:right w:w="51" w:type="dxa"/>
                  </w:tcMar>
                  <w:vAlign w:val="center"/>
                </w:tcPr>
                <w:p w14:paraId="19DD9FCF">
                  <w:pPr>
                    <w:pStyle w:val="90"/>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7FEFA7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80" w:hRule="atLeast"/>
                <w:jc w:val="center"/>
              </w:trPr>
              <w:tc>
                <w:tcPr>
                  <w:tcW w:w="644" w:type="dxa"/>
                  <w:tcMar>
                    <w:top w:w="0" w:type="dxa"/>
                    <w:left w:w="51" w:type="dxa"/>
                    <w:bottom w:w="0" w:type="dxa"/>
                    <w:right w:w="51" w:type="dxa"/>
                  </w:tcMar>
                  <w:vAlign w:val="center"/>
                </w:tcPr>
                <w:p w14:paraId="5B1659B8">
                  <w:pPr>
                    <w:pStyle w:val="90"/>
                    <w:rPr>
                      <w:color w:val="000000" w:themeColor="text1"/>
                      <w14:textFill>
                        <w14:solidFill>
                          <w14:schemeClr w14:val="tx1"/>
                        </w14:solidFill>
                      </w14:textFill>
                    </w:rPr>
                  </w:pPr>
                  <w:r>
                    <w:rPr>
                      <w:color w:val="000000" w:themeColor="text1"/>
                      <w14:textFill>
                        <w14:solidFill>
                          <w14:schemeClr w14:val="tx1"/>
                        </w14:solidFill>
                      </w14:textFill>
                    </w:rPr>
                    <w:t>2</w:t>
                  </w:r>
                </w:p>
              </w:tc>
              <w:tc>
                <w:tcPr>
                  <w:tcW w:w="3715" w:type="dxa"/>
                  <w:tcMar>
                    <w:top w:w="0" w:type="dxa"/>
                    <w:left w:w="51" w:type="dxa"/>
                    <w:bottom w:w="0" w:type="dxa"/>
                    <w:right w:w="51" w:type="dxa"/>
                  </w:tcMar>
                  <w:vAlign w:val="center"/>
                </w:tcPr>
                <w:p w14:paraId="34DD5C3F">
                  <w:pPr>
                    <w:pStyle w:val="90"/>
                    <w:rPr>
                      <w:color w:val="000000" w:themeColor="text1"/>
                      <w14:textFill>
                        <w14:solidFill>
                          <w14:schemeClr w14:val="tx1"/>
                        </w14:solidFill>
                      </w14:textFill>
                    </w:rPr>
                  </w:pPr>
                  <w:r>
                    <w:rPr>
                      <w:color w:val="000000" w:themeColor="text1"/>
                      <w14:textFill>
                        <w14:solidFill>
                          <w14:schemeClr w14:val="tx1"/>
                        </w14:solidFill>
                      </w14:textFill>
                    </w:rPr>
                    <w:t>禁止在长江干支流岸线一公里范围内新建、扩建化工园区和化工项目。</w:t>
                  </w:r>
                </w:p>
              </w:tc>
              <w:tc>
                <w:tcPr>
                  <w:tcW w:w="2333" w:type="dxa"/>
                  <w:tcMar>
                    <w:top w:w="0" w:type="dxa"/>
                    <w:left w:w="51" w:type="dxa"/>
                    <w:bottom w:w="0" w:type="dxa"/>
                    <w:right w:w="51" w:type="dxa"/>
                  </w:tcMar>
                  <w:vAlign w:val="center"/>
                </w:tcPr>
                <w:p w14:paraId="244F3F77">
                  <w:pPr>
                    <w:pStyle w:val="90"/>
                    <w:rPr>
                      <w:color w:val="000000" w:themeColor="text1"/>
                      <w14:textFill>
                        <w14:solidFill>
                          <w14:schemeClr w14:val="tx1"/>
                        </w14:solidFill>
                      </w14:textFill>
                    </w:rPr>
                  </w:pPr>
                  <w:r>
                    <w:rPr>
                      <w:color w:val="000000" w:themeColor="text1"/>
                      <w14:textFill>
                        <w14:solidFill>
                          <w14:schemeClr w14:val="tx1"/>
                        </w14:solidFill>
                      </w14:textFill>
                    </w:rPr>
                    <w:t>本项目不在长江干支流岸线一公里范围内。</w:t>
                  </w:r>
                </w:p>
              </w:tc>
              <w:tc>
                <w:tcPr>
                  <w:tcW w:w="786" w:type="dxa"/>
                  <w:tcMar>
                    <w:top w:w="0" w:type="dxa"/>
                    <w:left w:w="51" w:type="dxa"/>
                    <w:bottom w:w="0" w:type="dxa"/>
                    <w:right w:w="51" w:type="dxa"/>
                  </w:tcMar>
                  <w:vAlign w:val="center"/>
                </w:tcPr>
                <w:p w14:paraId="62908986">
                  <w:pPr>
                    <w:pStyle w:val="90"/>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4932E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209" w:hRule="atLeast"/>
                <w:jc w:val="center"/>
              </w:trPr>
              <w:tc>
                <w:tcPr>
                  <w:tcW w:w="644" w:type="dxa"/>
                  <w:tcMar>
                    <w:top w:w="0" w:type="dxa"/>
                    <w:left w:w="51" w:type="dxa"/>
                    <w:bottom w:w="0" w:type="dxa"/>
                    <w:right w:w="51" w:type="dxa"/>
                  </w:tcMar>
                  <w:vAlign w:val="center"/>
                </w:tcPr>
                <w:p w14:paraId="3BAE7B17">
                  <w:pPr>
                    <w:pStyle w:val="90"/>
                    <w:rPr>
                      <w:color w:val="000000" w:themeColor="text1"/>
                      <w14:textFill>
                        <w14:solidFill>
                          <w14:schemeClr w14:val="tx1"/>
                        </w14:solidFill>
                      </w14:textFill>
                    </w:rPr>
                  </w:pPr>
                  <w:r>
                    <w:rPr>
                      <w:color w:val="000000" w:themeColor="text1"/>
                      <w14:textFill>
                        <w14:solidFill>
                          <w14:schemeClr w14:val="tx1"/>
                        </w14:solidFill>
                      </w14:textFill>
                    </w:rPr>
                    <w:t>3</w:t>
                  </w:r>
                </w:p>
              </w:tc>
              <w:tc>
                <w:tcPr>
                  <w:tcW w:w="3715" w:type="dxa"/>
                  <w:tcMar>
                    <w:top w:w="0" w:type="dxa"/>
                    <w:left w:w="51" w:type="dxa"/>
                    <w:bottom w:w="0" w:type="dxa"/>
                    <w:right w:w="51" w:type="dxa"/>
                  </w:tcMar>
                  <w:vAlign w:val="center"/>
                </w:tcPr>
                <w:p w14:paraId="56846150">
                  <w:pPr>
                    <w:pStyle w:val="90"/>
                    <w:rPr>
                      <w:color w:val="000000" w:themeColor="text1"/>
                      <w14:textFill>
                        <w14:solidFill>
                          <w14:schemeClr w14:val="tx1"/>
                        </w14:solidFill>
                      </w14:textFill>
                    </w:rPr>
                  </w:pPr>
                  <w:r>
                    <w:rPr>
                      <w:color w:val="000000" w:themeColor="text1"/>
                      <w14:textFill>
                        <w14:solidFill>
                          <w14:schemeClr w14:val="tx1"/>
                        </w14:solidFill>
                      </w14:textFill>
                    </w:rPr>
                    <w:t>禁止在长江干流岸线三公里范围内和重要支流岸线一公里范围内新建、改建、扩建尾矿库；但是以提升安全、生态环境保护水平为目的的改建除外。</w:t>
                  </w:r>
                </w:p>
              </w:tc>
              <w:tc>
                <w:tcPr>
                  <w:tcW w:w="2333" w:type="dxa"/>
                  <w:tcMar>
                    <w:top w:w="0" w:type="dxa"/>
                    <w:left w:w="51" w:type="dxa"/>
                    <w:bottom w:w="0" w:type="dxa"/>
                    <w:right w:w="51" w:type="dxa"/>
                  </w:tcMar>
                  <w:vAlign w:val="center"/>
                </w:tcPr>
                <w:p w14:paraId="66CC40C5">
                  <w:pPr>
                    <w:pStyle w:val="90"/>
                    <w:rPr>
                      <w:color w:val="000000" w:themeColor="text1"/>
                      <w14:textFill>
                        <w14:solidFill>
                          <w14:schemeClr w14:val="tx1"/>
                        </w14:solidFill>
                      </w14:textFill>
                    </w:rPr>
                  </w:pPr>
                  <w:r>
                    <w:rPr>
                      <w:color w:val="000000" w:themeColor="text1"/>
                      <w14:textFill>
                        <w14:solidFill>
                          <w14:schemeClr w14:val="tx1"/>
                        </w14:solidFill>
                      </w14:textFill>
                    </w:rPr>
                    <w:t>本项目不属于新建、改建、扩建尾矿库项目。</w:t>
                  </w:r>
                </w:p>
              </w:tc>
              <w:tc>
                <w:tcPr>
                  <w:tcW w:w="786" w:type="dxa"/>
                  <w:tcMar>
                    <w:top w:w="0" w:type="dxa"/>
                    <w:left w:w="51" w:type="dxa"/>
                    <w:bottom w:w="0" w:type="dxa"/>
                    <w:right w:w="51" w:type="dxa"/>
                  </w:tcMar>
                  <w:vAlign w:val="center"/>
                </w:tcPr>
                <w:p w14:paraId="61CECC94">
                  <w:pPr>
                    <w:pStyle w:val="90"/>
                    <w:rPr>
                      <w:color w:val="000000" w:themeColor="text1"/>
                      <w14:textFill>
                        <w14:solidFill>
                          <w14:schemeClr w14:val="tx1"/>
                        </w14:solidFill>
                      </w14:textFill>
                    </w:rPr>
                  </w:pPr>
                </w:p>
                <w:p w14:paraId="220D3AF0">
                  <w:pPr>
                    <w:pStyle w:val="90"/>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23000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7" w:hRule="atLeast"/>
                <w:jc w:val="center"/>
              </w:trPr>
              <w:tc>
                <w:tcPr>
                  <w:tcW w:w="644" w:type="dxa"/>
                  <w:tcMar>
                    <w:top w:w="0" w:type="dxa"/>
                    <w:left w:w="51" w:type="dxa"/>
                    <w:bottom w:w="0" w:type="dxa"/>
                    <w:right w:w="51" w:type="dxa"/>
                  </w:tcMar>
                  <w:vAlign w:val="center"/>
                </w:tcPr>
                <w:p w14:paraId="6035DA98">
                  <w:pPr>
                    <w:pStyle w:val="90"/>
                    <w:rPr>
                      <w:color w:val="000000" w:themeColor="text1"/>
                      <w14:textFill>
                        <w14:solidFill>
                          <w14:schemeClr w14:val="tx1"/>
                        </w14:solidFill>
                      </w14:textFill>
                    </w:rPr>
                  </w:pPr>
                  <w:r>
                    <w:rPr>
                      <w:color w:val="000000" w:themeColor="text1"/>
                      <w14:textFill>
                        <w14:solidFill>
                          <w14:schemeClr w14:val="tx1"/>
                        </w14:solidFill>
                      </w14:textFill>
                    </w:rPr>
                    <w:t>4</w:t>
                  </w:r>
                </w:p>
              </w:tc>
              <w:tc>
                <w:tcPr>
                  <w:tcW w:w="3715" w:type="dxa"/>
                  <w:tcMar>
                    <w:top w:w="0" w:type="dxa"/>
                    <w:left w:w="51" w:type="dxa"/>
                    <w:bottom w:w="0" w:type="dxa"/>
                    <w:right w:w="51" w:type="dxa"/>
                  </w:tcMar>
                  <w:vAlign w:val="center"/>
                </w:tcPr>
                <w:p w14:paraId="6F9BA825">
                  <w:pPr>
                    <w:pStyle w:val="90"/>
                    <w:rPr>
                      <w:color w:val="000000" w:themeColor="text1"/>
                      <w14:textFill>
                        <w14:solidFill>
                          <w14:schemeClr w14:val="tx1"/>
                        </w14:solidFill>
                      </w14:textFill>
                    </w:rPr>
                  </w:pPr>
                  <w:r>
                    <w:rPr>
                      <w:color w:val="000000" w:themeColor="text1"/>
                      <w14:textFill>
                        <w14:solidFill>
                          <w14:schemeClr w14:val="tx1"/>
                        </w14:solidFill>
                      </w14:textFill>
                    </w:rPr>
                    <w:t>严格限制在长江流域生态保护红线、自然保护地、水生生物重要栖息地水域实施航道整治工程；确需整治的，应当经科学论证，并依法办理相关手续。</w:t>
                  </w:r>
                </w:p>
              </w:tc>
              <w:tc>
                <w:tcPr>
                  <w:tcW w:w="2333" w:type="dxa"/>
                  <w:tcMar>
                    <w:top w:w="0" w:type="dxa"/>
                    <w:left w:w="51" w:type="dxa"/>
                    <w:bottom w:w="0" w:type="dxa"/>
                    <w:right w:w="51" w:type="dxa"/>
                  </w:tcMar>
                  <w:vAlign w:val="center"/>
                </w:tcPr>
                <w:p w14:paraId="4BCDE936">
                  <w:pPr>
                    <w:pStyle w:val="90"/>
                    <w:rPr>
                      <w:color w:val="000000" w:themeColor="text1"/>
                      <w14:textFill>
                        <w14:solidFill>
                          <w14:schemeClr w14:val="tx1"/>
                        </w14:solidFill>
                      </w14:textFill>
                    </w:rPr>
                  </w:pPr>
                  <w:r>
                    <w:rPr>
                      <w:color w:val="000000" w:themeColor="text1"/>
                      <w14:textFill>
                        <w14:solidFill>
                          <w14:schemeClr w14:val="tx1"/>
                        </w14:solidFill>
                      </w14:textFill>
                    </w:rPr>
                    <w:t>本项目不属于航道整治工程。</w:t>
                  </w:r>
                </w:p>
              </w:tc>
              <w:tc>
                <w:tcPr>
                  <w:tcW w:w="786" w:type="dxa"/>
                  <w:tcMar>
                    <w:top w:w="0" w:type="dxa"/>
                    <w:left w:w="51" w:type="dxa"/>
                    <w:bottom w:w="0" w:type="dxa"/>
                    <w:right w:w="51" w:type="dxa"/>
                  </w:tcMar>
                  <w:vAlign w:val="center"/>
                </w:tcPr>
                <w:p w14:paraId="5A2FD224">
                  <w:pPr>
                    <w:pStyle w:val="90"/>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1007A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66" w:hRule="atLeast"/>
                <w:jc w:val="center"/>
              </w:trPr>
              <w:tc>
                <w:tcPr>
                  <w:tcW w:w="644" w:type="dxa"/>
                  <w:tcMar>
                    <w:top w:w="0" w:type="dxa"/>
                    <w:left w:w="51" w:type="dxa"/>
                    <w:bottom w:w="0" w:type="dxa"/>
                    <w:right w:w="51" w:type="dxa"/>
                  </w:tcMar>
                  <w:vAlign w:val="center"/>
                </w:tcPr>
                <w:p w14:paraId="52940740">
                  <w:pPr>
                    <w:pStyle w:val="90"/>
                    <w:rPr>
                      <w:color w:val="000000" w:themeColor="text1"/>
                      <w14:textFill>
                        <w14:solidFill>
                          <w14:schemeClr w14:val="tx1"/>
                        </w14:solidFill>
                      </w14:textFill>
                    </w:rPr>
                  </w:pPr>
                  <w:r>
                    <w:rPr>
                      <w:color w:val="000000" w:themeColor="text1"/>
                      <w14:textFill>
                        <w14:solidFill>
                          <w14:schemeClr w14:val="tx1"/>
                        </w14:solidFill>
                      </w14:textFill>
                    </w:rPr>
                    <w:t>5</w:t>
                  </w:r>
                </w:p>
              </w:tc>
              <w:tc>
                <w:tcPr>
                  <w:tcW w:w="3715" w:type="dxa"/>
                  <w:tcMar>
                    <w:top w:w="0" w:type="dxa"/>
                    <w:left w:w="51" w:type="dxa"/>
                    <w:bottom w:w="0" w:type="dxa"/>
                    <w:right w:w="51" w:type="dxa"/>
                  </w:tcMar>
                  <w:vAlign w:val="center"/>
                </w:tcPr>
                <w:p w14:paraId="729C732E">
                  <w:pPr>
                    <w:pStyle w:val="90"/>
                    <w:rPr>
                      <w:color w:val="000000" w:themeColor="text1"/>
                      <w14:textFill>
                        <w14:solidFill>
                          <w14:schemeClr w14:val="tx1"/>
                        </w14:solidFill>
                      </w14:textFill>
                    </w:rPr>
                  </w:pPr>
                  <w:r>
                    <w:rPr>
                      <w:color w:val="000000" w:themeColor="text1"/>
                      <w14:textFill>
                        <w14:solidFill>
                          <w14:schemeClr w14:val="tx1"/>
                        </w14:solidFill>
                      </w14:textFill>
                    </w:rPr>
                    <w:t>国家建立长江流域河道采砂规划和许可制度。长江流域河道采砂应当依法取得国务院水行政主管部门有关流域管理机构或者县级以上地方人民政府水行政主管部门的许可。</w:t>
                  </w:r>
                </w:p>
              </w:tc>
              <w:tc>
                <w:tcPr>
                  <w:tcW w:w="2333" w:type="dxa"/>
                  <w:tcMar>
                    <w:top w:w="0" w:type="dxa"/>
                    <w:left w:w="51" w:type="dxa"/>
                    <w:bottom w:w="0" w:type="dxa"/>
                    <w:right w:w="51" w:type="dxa"/>
                  </w:tcMar>
                  <w:vAlign w:val="center"/>
                </w:tcPr>
                <w:p w14:paraId="29952208">
                  <w:pPr>
                    <w:pStyle w:val="90"/>
                    <w:rPr>
                      <w:color w:val="000000" w:themeColor="text1"/>
                      <w14:textFill>
                        <w14:solidFill>
                          <w14:schemeClr w14:val="tx1"/>
                        </w14:solidFill>
                      </w14:textFill>
                    </w:rPr>
                  </w:pPr>
                  <w:r>
                    <w:rPr>
                      <w:color w:val="000000" w:themeColor="text1"/>
                      <w14:textFill>
                        <w14:solidFill>
                          <w14:schemeClr w14:val="tx1"/>
                        </w14:solidFill>
                      </w14:textFill>
                    </w:rPr>
                    <w:t>本项目不属于采砂项目。</w:t>
                  </w:r>
                </w:p>
              </w:tc>
              <w:tc>
                <w:tcPr>
                  <w:tcW w:w="786" w:type="dxa"/>
                  <w:tcMar>
                    <w:top w:w="0" w:type="dxa"/>
                    <w:left w:w="51" w:type="dxa"/>
                    <w:bottom w:w="0" w:type="dxa"/>
                    <w:right w:w="51" w:type="dxa"/>
                  </w:tcMar>
                  <w:vAlign w:val="center"/>
                </w:tcPr>
                <w:p w14:paraId="7BA390F9">
                  <w:pPr>
                    <w:pStyle w:val="90"/>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6CDFD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107" w:hRule="atLeast"/>
                <w:jc w:val="center"/>
              </w:trPr>
              <w:tc>
                <w:tcPr>
                  <w:tcW w:w="644" w:type="dxa"/>
                  <w:tcMar>
                    <w:top w:w="0" w:type="dxa"/>
                    <w:left w:w="51" w:type="dxa"/>
                    <w:bottom w:w="0" w:type="dxa"/>
                    <w:right w:w="51" w:type="dxa"/>
                  </w:tcMar>
                  <w:vAlign w:val="center"/>
                </w:tcPr>
                <w:p w14:paraId="5C8C90B5">
                  <w:pPr>
                    <w:pStyle w:val="90"/>
                    <w:rPr>
                      <w:color w:val="000000" w:themeColor="text1"/>
                      <w14:textFill>
                        <w14:solidFill>
                          <w14:schemeClr w14:val="tx1"/>
                        </w14:solidFill>
                      </w14:textFill>
                    </w:rPr>
                  </w:pPr>
                  <w:r>
                    <w:rPr>
                      <w:color w:val="000000" w:themeColor="text1"/>
                      <w14:textFill>
                        <w14:solidFill>
                          <w14:schemeClr w14:val="tx1"/>
                        </w14:solidFill>
                      </w14:textFill>
                    </w:rPr>
                    <w:t>6</w:t>
                  </w:r>
                </w:p>
              </w:tc>
              <w:tc>
                <w:tcPr>
                  <w:tcW w:w="3715" w:type="dxa"/>
                  <w:tcMar>
                    <w:top w:w="0" w:type="dxa"/>
                    <w:left w:w="51" w:type="dxa"/>
                    <w:bottom w:w="0" w:type="dxa"/>
                    <w:right w:w="51" w:type="dxa"/>
                  </w:tcMar>
                  <w:vAlign w:val="center"/>
                </w:tcPr>
                <w:p w14:paraId="6BBAB0F9">
                  <w:pPr>
                    <w:pStyle w:val="90"/>
                    <w:rPr>
                      <w:color w:val="000000" w:themeColor="text1"/>
                      <w14:textFill>
                        <w14:solidFill>
                          <w14:schemeClr w14:val="tx1"/>
                        </w14:solidFill>
                      </w14:textFill>
                    </w:rPr>
                  </w:pPr>
                  <w:r>
                    <w:rPr>
                      <w:color w:val="000000" w:themeColor="text1"/>
                      <w14:textFill>
                        <w14:solidFill>
                          <w14:schemeClr w14:val="tx1"/>
                        </w14:solidFill>
                      </w14:textFill>
                    </w:rPr>
                    <w:t>长江流域水资源保护与利用，应当根据流域综合规划，优先满足城乡居民</w:t>
                  </w:r>
                  <w:r>
                    <w:rPr>
                      <w:rFonts w:hint="eastAsia"/>
                      <w:color w:val="000000" w:themeColor="text1"/>
                      <w14:textFill>
                        <w14:solidFill>
                          <w14:schemeClr w14:val="tx1"/>
                        </w14:solidFill>
                      </w14:textFill>
                    </w:rPr>
                    <w:t>生活</w:t>
                  </w:r>
                  <w:r>
                    <w:rPr>
                      <w:color w:val="000000" w:themeColor="text1"/>
                      <w14:textFill>
                        <w14:solidFill>
                          <w14:schemeClr w14:val="tx1"/>
                        </w14:solidFill>
                      </w14:textFill>
                    </w:rPr>
                    <w:cr/>
                  </w:r>
                  <w:r>
                    <w:rPr>
                      <w:color w:val="000000" w:themeColor="text1"/>
                      <w14:textFill>
                        <w14:solidFill>
                          <w14:schemeClr w14:val="tx1"/>
                        </w14:solidFill>
                      </w14:textFill>
                    </w:rPr>
                    <w:t>用水，保障基本生态用水</w:t>
                  </w:r>
                  <w:r>
                    <w:rPr>
                      <w:color w:val="000000" w:themeColor="text1"/>
                      <w14:textFill>
                        <w14:solidFill>
                          <w14:schemeClr w14:val="tx1"/>
                        </w14:solidFill>
                      </w14:textFill>
                    </w:rPr>
                    <w:cr/>
                  </w:r>
                  <w:r>
                    <w:rPr>
                      <w:color w:val="000000" w:themeColor="text1"/>
                      <w14:textFill>
                        <w14:solidFill>
                          <w14:schemeClr w14:val="tx1"/>
                        </w14:solidFill>
                      </w14:textFill>
                    </w:rPr>
                    <w:t>并统筹农业、工业用水以及航运等需要。</w:t>
                  </w:r>
                </w:p>
              </w:tc>
              <w:tc>
                <w:tcPr>
                  <w:tcW w:w="2333" w:type="dxa"/>
                  <w:tcMar>
                    <w:top w:w="0" w:type="dxa"/>
                    <w:left w:w="51" w:type="dxa"/>
                    <w:bottom w:w="0" w:type="dxa"/>
                    <w:right w:w="51" w:type="dxa"/>
                  </w:tcMar>
                  <w:vAlign w:val="center"/>
                </w:tcPr>
                <w:p w14:paraId="1704AEA1">
                  <w:pPr>
                    <w:pStyle w:val="90"/>
                    <w:rPr>
                      <w:color w:val="000000" w:themeColor="text1"/>
                      <w14:textFill>
                        <w14:solidFill>
                          <w14:schemeClr w14:val="tx1"/>
                        </w14:solidFill>
                      </w14:textFill>
                    </w:rPr>
                  </w:pPr>
                  <w:r>
                    <w:rPr>
                      <w:color w:val="000000" w:themeColor="text1"/>
                      <w14:textFill>
                        <w14:solidFill>
                          <w14:schemeClr w14:val="tx1"/>
                        </w14:solidFill>
                      </w14:textFill>
                    </w:rPr>
                    <w:t>本项目不在长江流域取水。</w:t>
                  </w:r>
                </w:p>
              </w:tc>
              <w:tc>
                <w:tcPr>
                  <w:tcW w:w="786" w:type="dxa"/>
                  <w:tcMar>
                    <w:top w:w="0" w:type="dxa"/>
                    <w:left w:w="51" w:type="dxa"/>
                    <w:bottom w:w="0" w:type="dxa"/>
                    <w:right w:w="51" w:type="dxa"/>
                  </w:tcMar>
                  <w:vAlign w:val="center"/>
                </w:tcPr>
                <w:p w14:paraId="219E29B5">
                  <w:pPr>
                    <w:pStyle w:val="90"/>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48ECD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97" w:hRule="atLeast"/>
                <w:jc w:val="center"/>
              </w:trPr>
              <w:tc>
                <w:tcPr>
                  <w:tcW w:w="644" w:type="dxa"/>
                  <w:tcMar>
                    <w:top w:w="0" w:type="dxa"/>
                    <w:left w:w="51" w:type="dxa"/>
                    <w:bottom w:w="0" w:type="dxa"/>
                    <w:right w:w="51" w:type="dxa"/>
                  </w:tcMar>
                  <w:vAlign w:val="center"/>
                </w:tcPr>
                <w:p w14:paraId="4256E50D">
                  <w:pPr>
                    <w:pStyle w:val="90"/>
                    <w:rPr>
                      <w:color w:val="000000" w:themeColor="text1"/>
                      <w14:textFill>
                        <w14:solidFill>
                          <w14:schemeClr w14:val="tx1"/>
                        </w14:solidFill>
                      </w14:textFill>
                    </w:rPr>
                  </w:pPr>
                  <w:r>
                    <w:rPr>
                      <w:color w:val="000000" w:themeColor="text1"/>
                      <w14:textFill>
                        <w14:solidFill>
                          <w14:schemeClr w14:val="tx1"/>
                        </w14:solidFill>
                      </w14:textFill>
                    </w:rPr>
                    <w:t>7</w:t>
                  </w:r>
                </w:p>
              </w:tc>
              <w:tc>
                <w:tcPr>
                  <w:tcW w:w="3715" w:type="dxa"/>
                  <w:tcMar>
                    <w:top w:w="0" w:type="dxa"/>
                    <w:left w:w="51" w:type="dxa"/>
                    <w:bottom w:w="0" w:type="dxa"/>
                    <w:right w:w="51" w:type="dxa"/>
                  </w:tcMar>
                  <w:vAlign w:val="center"/>
                </w:tcPr>
                <w:p w14:paraId="0BB0F468">
                  <w:pPr>
                    <w:pStyle w:val="90"/>
                    <w:rPr>
                      <w:color w:val="000000" w:themeColor="text1"/>
                      <w14:textFill>
                        <w14:solidFill>
                          <w14:schemeClr w14:val="tx1"/>
                        </w14:solidFill>
                      </w14:textFill>
                    </w:rPr>
                  </w:pPr>
                  <w:r>
                    <w:rPr>
                      <w:color w:val="000000" w:themeColor="text1"/>
                      <w14:textFill>
                        <w14:solidFill>
                          <w14:schemeClr w14:val="tx1"/>
                        </w14:solidFill>
                      </w14:textFill>
                    </w:rPr>
                    <w:t>长江干流、重要支流和重要湖泊上游的水利水电、航运枢纽等工程应当将生态用水调度纳入日常运行调度规程，建立常规生态调度机制，保证河湖生态流量；其下泄流量不符合生态流量泄放要求的，由县级以上人民政府水</w:t>
                  </w:r>
                  <w:r>
                    <w:rPr>
                      <w:color w:val="000000" w:themeColor="text1"/>
                      <w14:textFill>
                        <w14:solidFill>
                          <w14:schemeClr w14:val="tx1"/>
                        </w14:solidFill>
                      </w14:textFill>
                    </w:rPr>
                    <w:cr/>
                  </w:r>
                  <w:r>
                    <w:rPr>
                      <w:color w:val="000000" w:themeColor="text1"/>
                      <w14:textFill>
                        <w14:solidFill>
                          <w14:schemeClr w14:val="tx1"/>
                        </w14:solidFill>
                      </w14:textFill>
                    </w:rPr>
                    <w:t>政主管部门提出整改措施并监督</w:t>
                  </w:r>
                  <w:r>
                    <w:rPr>
                      <w:rFonts w:hint="eastAsia"/>
                      <w:color w:val="000000" w:themeColor="text1"/>
                      <w14:textFill>
                        <w14:solidFill>
                          <w14:schemeClr w14:val="tx1"/>
                        </w14:solidFill>
                      </w14:textFill>
                    </w:rPr>
                    <w:t>实</w:t>
                  </w:r>
                  <w:r>
                    <w:rPr>
                      <w:color w:val="000000" w:themeColor="text1"/>
                      <w14:textFill>
                        <w14:solidFill>
                          <w14:schemeClr w14:val="tx1"/>
                        </w14:solidFill>
                      </w14:textFill>
                    </w:rPr>
                    <w:cr/>
                  </w:r>
                  <w:r>
                    <w:rPr>
                      <w:color w:val="000000" w:themeColor="text1"/>
                      <w14:textFill>
                        <w14:solidFill>
                          <w14:schemeClr w14:val="tx1"/>
                        </w14:solidFill>
                      </w14:textFill>
                    </w:rPr>
                    <w:t>施。</w:t>
                  </w:r>
                </w:p>
              </w:tc>
              <w:tc>
                <w:tcPr>
                  <w:tcW w:w="2333" w:type="dxa"/>
                  <w:tcMar>
                    <w:top w:w="0" w:type="dxa"/>
                    <w:left w:w="51" w:type="dxa"/>
                    <w:bottom w:w="0" w:type="dxa"/>
                    <w:right w:w="51" w:type="dxa"/>
                  </w:tcMar>
                  <w:vAlign w:val="center"/>
                </w:tcPr>
                <w:p w14:paraId="19A63189">
                  <w:pPr>
                    <w:pStyle w:val="90"/>
                    <w:rPr>
                      <w:color w:val="000000" w:themeColor="text1"/>
                      <w14:textFill>
                        <w14:solidFill>
                          <w14:schemeClr w14:val="tx1"/>
                        </w14:solidFill>
                      </w14:textFill>
                    </w:rPr>
                  </w:pPr>
                  <w:r>
                    <w:rPr>
                      <w:color w:val="000000" w:themeColor="text1"/>
                      <w14:textFill>
                        <w14:solidFill>
                          <w14:schemeClr w14:val="tx1"/>
                        </w14:solidFill>
                      </w14:textFill>
                    </w:rPr>
                    <w:t>本项目不属于水利水电、航运枢纽等工程。</w:t>
                  </w:r>
                </w:p>
              </w:tc>
              <w:tc>
                <w:tcPr>
                  <w:tcW w:w="786" w:type="dxa"/>
                  <w:tcMar>
                    <w:top w:w="0" w:type="dxa"/>
                    <w:left w:w="51" w:type="dxa"/>
                    <w:bottom w:w="0" w:type="dxa"/>
                    <w:right w:w="51" w:type="dxa"/>
                  </w:tcMar>
                  <w:vAlign w:val="center"/>
                </w:tcPr>
                <w:p w14:paraId="4E9E72EB">
                  <w:pPr>
                    <w:pStyle w:val="90"/>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695A0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66" w:hRule="atLeast"/>
                <w:jc w:val="center"/>
              </w:trPr>
              <w:tc>
                <w:tcPr>
                  <w:tcW w:w="644" w:type="dxa"/>
                  <w:tcMar>
                    <w:top w:w="0" w:type="dxa"/>
                    <w:left w:w="51" w:type="dxa"/>
                    <w:bottom w:w="0" w:type="dxa"/>
                    <w:right w:w="51" w:type="dxa"/>
                  </w:tcMar>
                  <w:vAlign w:val="center"/>
                </w:tcPr>
                <w:p w14:paraId="40400B4A">
                  <w:pPr>
                    <w:pStyle w:val="90"/>
                    <w:rPr>
                      <w:color w:val="000000" w:themeColor="text1"/>
                      <w14:textFill>
                        <w14:solidFill>
                          <w14:schemeClr w14:val="tx1"/>
                        </w14:solidFill>
                      </w14:textFill>
                    </w:rPr>
                  </w:pPr>
                  <w:r>
                    <w:rPr>
                      <w:color w:val="000000" w:themeColor="text1"/>
                      <w14:textFill>
                        <w14:solidFill>
                          <w14:schemeClr w14:val="tx1"/>
                        </w14:solidFill>
                      </w14:textFill>
                    </w:rPr>
                    <w:t>8</w:t>
                  </w:r>
                </w:p>
              </w:tc>
              <w:tc>
                <w:tcPr>
                  <w:tcW w:w="3715" w:type="dxa"/>
                  <w:tcMar>
                    <w:top w:w="0" w:type="dxa"/>
                    <w:left w:w="51" w:type="dxa"/>
                    <w:bottom w:w="0" w:type="dxa"/>
                    <w:right w:w="51" w:type="dxa"/>
                  </w:tcMar>
                  <w:vAlign w:val="center"/>
                </w:tcPr>
                <w:p w14:paraId="62D23C25">
                  <w:pPr>
                    <w:pStyle w:val="90"/>
                    <w:rPr>
                      <w:color w:val="000000" w:themeColor="text1"/>
                      <w14:textFill>
                        <w14:solidFill>
                          <w14:schemeClr w14:val="tx1"/>
                        </w14:solidFill>
                      </w14:textFill>
                    </w:rPr>
                  </w:pPr>
                  <w:r>
                    <w:rPr>
                      <w:color w:val="000000" w:themeColor="text1"/>
                      <w14:textFill>
                        <w14:solidFill>
                          <w14:schemeClr w14:val="tx1"/>
                        </w14:solidFill>
                      </w14:textFill>
                    </w:rPr>
                    <w:t>磷矿开采加工、磷肥和含磷农药制造等企业，应当按照排污许可要求，采取有效措施控制总磷排放浓度和排放总量；对排污口和周边环境进行总磷监测，依法公开监测信息。</w:t>
                  </w:r>
                </w:p>
              </w:tc>
              <w:tc>
                <w:tcPr>
                  <w:tcW w:w="2333" w:type="dxa"/>
                  <w:tcMar>
                    <w:top w:w="0" w:type="dxa"/>
                    <w:left w:w="51" w:type="dxa"/>
                    <w:bottom w:w="0" w:type="dxa"/>
                    <w:right w:w="51" w:type="dxa"/>
                  </w:tcMar>
                  <w:vAlign w:val="center"/>
                </w:tcPr>
                <w:p w14:paraId="6C161387">
                  <w:pPr>
                    <w:pStyle w:val="90"/>
                    <w:rPr>
                      <w:color w:val="000000" w:themeColor="text1"/>
                      <w14:textFill>
                        <w14:solidFill>
                          <w14:schemeClr w14:val="tx1"/>
                        </w14:solidFill>
                      </w14:textFill>
                    </w:rPr>
                  </w:pPr>
                  <w:r>
                    <w:rPr>
                      <w:color w:val="000000" w:themeColor="text1"/>
                      <w14:textFill>
                        <w14:solidFill>
                          <w14:schemeClr w14:val="tx1"/>
                        </w14:solidFill>
                      </w14:textFill>
                    </w:rPr>
                    <w:t>本项目不属于磷矿开采加工、磷肥和含磷农药制造等企业。</w:t>
                  </w:r>
                </w:p>
              </w:tc>
              <w:tc>
                <w:tcPr>
                  <w:tcW w:w="786" w:type="dxa"/>
                  <w:tcMar>
                    <w:top w:w="0" w:type="dxa"/>
                    <w:left w:w="51" w:type="dxa"/>
                    <w:bottom w:w="0" w:type="dxa"/>
                    <w:right w:w="51" w:type="dxa"/>
                  </w:tcMar>
                  <w:vAlign w:val="center"/>
                </w:tcPr>
                <w:p w14:paraId="447DEC90">
                  <w:pPr>
                    <w:pStyle w:val="90"/>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36588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897" w:hRule="atLeast"/>
                <w:jc w:val="center"/>
              </w:trPr>
              <w:tc>
                <w:tcPr>
                  <w:tcW w:w="644" w:type="dxa"/>
                  <w:tcMar>
                    <w:top w:w="0" w:type="dxa"/>
                    <w:left w:w="51" w:type="dxa"/>
                    <w:bottom w:w="0" w:type="dxa"/>
                    <w:right w:w="51" w:type="dxa"/>
                  </w:tcMar>
                  <w:vAlign w:val="center"/>
                </w:tcPr>
                <w:p w14:paraId="3825A0CF">
                  <w:pPr>
                    <w:pStyle w:val="90"/>
                    <w:rPr>
                      <w:color w:val="000000" w:themeColor="text1"/>
                      <w14:textFill>
                        <w14:solidFill>
                          <w14:schemeClr w14:val="tx1"/>
                        </w14:solidFill>
                      </w14:textFill>
                    </w:rPr>
                  </w:pPr>
                  <w:r>
                    <w:rPr>
                      <w:color w:val="000000" w:themeColor="text1"/>
                      <w14:textFill>
                        <w14:solidFill>
                          <w14:schemeClr w14:val="tx1"/>
                        </w14:solidFill>
                      </w14:textFill>
                    </w:rPr>
                    <w:t>9</w:t>
                  </w:r>
                </w:p>
              </w:tc>
              <w:tc>
                <w:tcPr>
                  <w:tcW w:w="3715" w:type="dxa"/>
                  <w:tcMar>
                    <w:top w:w="0" w:type="dxa"/>
                    <w:left w:w="51" w:type="dxa"/>
                    <w:bottom w:w="0" w:type="dxa"/>
                    <w:right w:w="51" w:type="dxa"/>
                  </w:tcMar>
                  <w:vAlign w:val="center"/>
                </w:tcPr>
                <w:p w14:paraId="2A4D8FE8">
                  <w:pPr>
                    <w:pStyle w:val="90"/>
                    <w:rPr>
                      <w:color w:val="000000" w:themeColor="text1"/>
                      <w14:textFill>
                        <w14:solidFill>
                          <w14:schemeClr w14:val="tx1"/>
                        </w14:solidFill>
                      </w14:textFill>
                    </w:rPr>
                  </w:pPr>
                  <w:r>
                    <w:rPr>
                      <w:color w:val="000000" w:themeColor="text1"/>
                      <w14:textFill>
                        <w14:solidFill>
                          <w14:schemeClr w14:val="tx1"/>
                        </w14:solidFill>
                      </w14:textFill>
                    </w:rPr>
                    <w:t>在长江流域江河、湖泊新设、改设或者扩大排污口，应当按照国家有关规定报经有管辖权的生态环境主管部门或者长江流域生态环境监督管理机构同意。对未达到水质目标的水功能区，除污水集中处理设施排污口外，应当严格控制新设、改设或者扩</w:t>
                  </w:r>
                  <w:r>
                    <w:rPr>
                      <w:rFonts w:hint="eastAsia"/>
                      <w:color w:val="000000" w:themeColor="text1"/>
                      <w14:textFill>
                        <w14:solidFill>
                          <w14:schemeClr w14:val="tx1"/>
                        </w14:solidFill>
                      </w14:textFill>
                    </w:rPr>
                    <w:t>大</w:t>
                  </w:r>
                  <w:r>
                    <w:rPr>
                      <w:color w:val="000000" w:themeColor="text1"/>
                      <w14:textFill>
                        <w14:solidFill>
                          <w14:schemeClr w14:val="tx1"/>
                        </w14:solidFill>
                      </w14:textFill>
                    </w:rPr>
                    <w:cr/>
                  </w:r>
                  <w:r>
                    <w:rPr>
                      <w:color w:val="000000" w:themeColor="text1"/>
                      <w14:textFill>
                        <w14:solidFill>
                          <w14:schemeClr w14:val="tx1"/>
                        </w14:solidFill>
                      </w14:textFill>
                    </w:rPr>
                    <w:t>排污口。</w:t>
                  </w:r>
                </w:p>
              </w:tc>
              <w:tc>
                <w:tcPr>
                  <w:tcW w:w="2333" w:type="dxa"/>
                  <w:tcMar>
                    <w:top w:w="0" w:type="dxa"/>
                    <w:left w:w="51" w:type="dxa"/>
                    <w:bottom w:w="0" w:type="dxa"/>
                    <w:right w:w="51" w:type="dxa"/>
                  </w:tcMar>
                  <w:vAlign w:val="center"/>
                </w:tcPr>
                <w:p w14:paraId="05D46AE3">
                  <w:pPr>
                    <w:pStyle w:val="90"/>
                    <w:rPr>
                      <w:color w:val="000000" w:themeColor="text1"/>
                      <w14:textFill>
                        <w14:solidFill>
                          <w14:schemeClr w14:val="tx1"/>
                        </w14:solidFill>
                      </w14:textFill>
                    </w:rPr>
                  </w:pPr>
                  <w:r>
                    <w:rPr>
                      <w:color w:val="000000" w:themeColor="text1"/>
                      <w14:textFill>
                        <w14:solidFill>
                          <w14:schemeClr w14:val="tx1"/>
                        </w14:solidFill>
                      </w14:textFill>
                    </w:rPr>
                    <w:t>本项目不设废水排放口，</w:t>
                  </w:r>
                  <w:r>
                    <w:rPr>
                      <w:rFonts w:hint="eastAsia"/>
                      <w:color w:val="000000" w:themeColor="text1"/>
                      <w14:textFill>
                        <w14:solidFill>
                          <w14:schemeClr w14:val="tx1"/>
                        </w14:solidFill>
                      </w14:textFill>
                    </w:rPr>
                    <w:t>生产中渗滤液回用不外排</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生活污水</w:t>
                  </w:r>
                  <w:r>
                    <w:rPr>
                      <w:color w:val="000000" w:themeColor="text1"/>
                      <w14:textFill>
                        <w14:solidFill>
                          <w14:schemeClr w14:val="tx1"/>
                        </w14:solidFill>
                      </w14:textFill>
                    </w:rPr>
                    <w:t>不外排。</w:t>
                  </w:r>
                </w:p>
              </w:tc>
              <w:tc>
                <w:tcPr>
                  <w:tcW w:w="786" w:type="dxa"/>
                  <w:tcMar>
                    <w:top w:w="0" w:type="dxa"/>
                    <w:left w:w="51" w:type="dxa"/>
                    <w:bottom w:w="0" w:type="dxa"/>
                    <w:right w:w="51" w:type="dxa"/>
                  </w:tcMar>
                  <w:vAlign w:val="center"/>
                </w:tcPr>
                <w:p w14:paraId="475D4EEA">
                  <w:pPr>
                    <w:pStyle w:val="90"/>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57735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73" w:hRule="atLeast"/>
                <w:jc w:val="center"/>
              </w:trPr>
              <w:tc>
                <w:tcPr>
                  <w:tcW w:w="644" w:type="dxa"/>
                  <w:tcMar>
                    <w:top w:w="0" w:type="dxa"/>
                    <w:left w:w="51" w:type="dxa"/>
                    <w:bottom w:w="0" w:type="dxa"/>
                    <w:right w:w="51" w:type="dxa"/>
                  </w:tcMar>
                  <w:vAlign w:val="center"/>
                </w:tcPr>
                <w:p w14:paraId="4342D4FE">
                  <w:pPr>
                    <w:pStyle w:val="90"/>
                    <w:rPr>
                      <w:color w:val="000000" w:themeColor="text1"/>
                      <w14:textFill>
                        <w14:solidFill>
                          <w14:schemeClr w14:val="tx1"/>
                        </w14:solidFill>
                      </w14:textFill>
                    </w:rPr>
                  </w:pPr>
                  <w:r>
                    <w:rPr>
                      <w:color w:val="000000" w:themeColor="text1"/>
                      <w14:textFill>
                        <w14:solidFill>
                          <w14:schemeClr w14:val="tx1"/>
                        </w14:solidFill>
                      </w14:textFill>
                    </w:rPr>
                    <w:t>10</w:t>
                  </w:r>
                </w:p>
              </w:tc>
              <w:tc>
                <w:tcPr>
                  <w:tcW w:w="3715" w:type="dxa"/>
                  <w:tcMar>
                    <w:top w:w="0" w:type="dxa"/>
                    <w:left w:w="51" w:type="dxa"/>
                    <w:bottom w:w="0" w:type="dxa"/>
                    <w:right w:w="51" w:type="dxa"/>
                  </w:tcMar>
                  <w:vAlign w:val="center"/>
                </w:tcPr>
                <w:p w14:paraId="44D52123">
                  <w:pPr>
                    <w:pStyle w:val="90"/>
                    <w:rPr>
                      <w:color w:val="000000" w:themeColor="text1"/>
                      <w14:textFill>
                        <w14:solidFill>
                          <w14:schemeClr w14:val="tx1"/>
                        </w14:solidFill>
                      </w14:textFill>
                    </w:rPr>
                  </w:pPr>
                  <w:r>
                    <w:rPr>
                      <w:color w:val="000000" w:themeColor="text1"/>
                      <w14:textFill>
                        <w14:solidFill>
                          <w14:schemeClr w14:val="tx1"/>
                        </w14:solidFill>
                      </w14:textFill>
                    </w:rPr>
                    <w:t>禁止在长江流域河湖管理范围内倾倒、填埋、堆放、弃置</w:t>
                  </w:r>
                  <w:r>
                    <w:rPr>
                      <w:color w:val="000000" w:themeColor="text1"/>
                      <w14:textFill>
                        <w14:solidFill>
                          <w14:schemeClr w14:val="tx1"/>
                        </w14:solidFill>
                      </w14:textFill>
                    </w:rPr>
                    <w:cr/>
                  </w:r>
                  <w:r>
                    <w:rPr>
                      <w:color w:val="000000" w:themeColor="text1"/>
                      <w14:textFill>
                        <w14:solidFill>
                          <w14:schemeClr w14:val="tx1"/>
                        </w14:solidFill>
                      </w14:textFill>
                    </w:rPr>
                    <w:t>处理固体废物。</w:t>
                  </w:r>
                </w:p>
              </w:tc>
              <w:tc>
                <w:tcPr>
                  <w:tcW w:w="2333" w:type="dxa"/>
                  <w:tcMar>
                    <w:top w:w="0" w:type="dxa"/>
                    <w:left w:w="51" w:type="dxa"/>
                    <w:bottom w:w="0" w:type="dxa"/>
                    <w:right w:w="51" w:type="dxa"/>
                  </w:tcMar>
                  <w:vAlign w:val="center"/>
                </w:tcPr>
                <w:p w14:paraId="7876D560">
                  <w:pPr>
                    <w:pStyle w:val="90"/>
                    <w:rPr>
                      <w:color w:val="000000" w:themeColor="text1"/>
                      <w14:textFill>
                        <w14:solidFill>
                          <w14:schemeClr w14:val="tx1"/>
                        </w14:solidFill>
                      </w14:textFill>
                    </w:rPr>
                  </w:pPr>
                  <w:r>
                    <w:rPr>
                      <w:color w:val="000000" w:themeColor="text1"/>
                      <w14:textFill>
                        <w14:solidFill>
                          <w14:schemeClr w14:val="tx1"/>
                        </w14:solidFill>
                      </w14:textFill>
                    </w:rPr>
                    <w:t>本项目固体废弃物均有合理的处置措施，不在河湖管理范围内倾倒、填埋、堆放、弃置、处理固体废物。</w:t>
                  </w:r>
                </w:p>
              </w:tc>
              <w:tc>
                <w:tcPr>
                  <w:tcW w:w="786" w:type="dxa"/>
                  <w:tcMar>
                    <w:top w:w="0" w:type="dxa"/>
                    <w:left w:w="51" w:type="dxa"/>
                    <w:bottom w:w="0" w:type="dxa"/>
                    <w:right w:w="51" w:type="dxa"/>
                  </w:tcMar>
                  <w:vAlign w:val="center"/>
                </w:tcPr>
                <w:p w14:paraId="63B92107">
                  <w:pPr>
                    <w:pStyle w:val="90"/>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585047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1373" w:hRule="atLeast"/>
                <w:jc w:val="center"/>
              </w:trPr>
              <w:tc>
                <w:tcPr>
                  <w:tcW w:w="644" w:type="dxa"/>
                  <w:tcMar>
                    <w:top w:w="0" w:type="dxa"/>
                    <w:left w:w="51" w:type="dxa"/>
                    <w:bottom w:w="0" w:type="dxa"/>
                    <w:right w:w="51" w:type="dxa"/>
                  </w:tcMar>
                  <w:vAlign w:val="center"/>
                </w:tcPr>
                <w:p w14:paraId="071C9FD1">
                  <w:pPr>
                    <w:pStyle w:val="90"/>
                    <w:rPr>
                      <w:color w:val="000000" w:themeColor="text1"/>
                      <w14:textFill>
                        <w14:solidFill>
                          <w14:schemeClr w14:val="tx1"/>
                        </w14:solidFill>
                      </w14:textFill>
                    </w:rPr>
                  </w:pPr>
                  <w:r>
                    <w:rPr>
                      <w:color w:val="000000" w:themeColor="text1"/>
                      <w14:textFill>
                        <w14:solidFill>
                          <w14:schemeClr w14:val="tx1"/>
                        </w14:solidFill>
                      </w14:textFill>
                    </w:rPr>
                    <w:t>11</w:t>
                  </w:r>
                </w:p>
              </w:tc>
              <w:tc>
                <w:tcPr>
                  <w:tcW w:w="3715" w:type="dxa"/>
                  <w:tcMar>
                    <w:top w:w="0" w:type="dxa"/>
                    <w:left w:w="51" w:type="dxa"/>
                    <w:bottom w:w="0" w:type="dxa"/>
                    <w:right w:w="51" w:type="dxa"/>
                  </w:tcMar>
                  <w:vAlign w:val="center"/>
                </w:tcPr>
                <w:p w14:paraId="7AF4BEFB">
                  <w:pPr>
                    <w:pStyle w:val="90"/>
                    <w:rPr>
                      <w:color w:val="000000" w:themeColor="text1"/>
                      <w14:textFill>
                        <w14:solidFill>
                          <w14:schemeClr w14:val="tx1"/>
                        </w14:solidFill>
                      </w14:textFill>
                    </w:rPr>
                  </w:pPr>
                  <w:r>
                    <w:rPr>
                      <w:color w:val="000000" w:themeColor="text1"/>
                      <w14:textFill>
                        <w14:solidFill>
                          <w14:schemeClr w14:val="tx1"/>
                        </w14:solidFill>
                      </w14:textFill>
                    </w:rPr>
                    <w:t>禁止在长江流域水土流失严重、生态脆弱的区域开展可能造成水土流失的生产建设活动。确因国家发展战略和国计民生需要建设的，应当经科学论证，并依法办理审批手续。</w:t>
                  </w:r>
                </w:p>
              </w:tc>
              <w:tc>
                <w:tcPr>
                  <w:tcW w:w="2333" w:type="dxa"/>
                  <w:tcMar>
                    <w:top w:w="0" w:type="dxa"/>
                    <w:left w:w="51" w:type="dxa"/>
                    <w:bottom w:w="0" w:type="dxa"/>
                    <w:right w:w="51" w:type="dxa"/>
                  </w:tcMar>
                  <w:vAlign w:val="center"/>
                </w:tcPr>
                <w:p w14:paraId="53DF885F">
                  <w:pPr>
                    <w:pStyle w:val="90"/>
                    <w:rPr>
                      <w:color w:val="000000" w:themeColor="text1"/>
                      <w14:textFill>
                        <w14:solidFill>
                          <w14:schemeClr w14:val="tx1"/>
                        </w14:solidFill>
                      </w14:textFill>
                    </w:rPr>
                  </w:pPr>
                  <w:r>
                    <w:rPr>
                      <w:color w:val="000000" w:themeColor="text1"/>
                      <w14:textFill>
                        <w14:solidFill>
                          <w14:schemeClr w14:val="tx1"/>
                        </w14:solidFill>
                      </w14:textFill>
                    </w:rPr>
                    <w:t>本项目所处地区不属于水土流失严重、生态脆弱的区域。</w:t>
                  </w:r>
                </w:p>
              </w:tc>
              <w:tc>
                <w:tcPr>
                  <w:tcW w:w="786" w:type="dxa"/>
                  <w:tcMar>
                    <w:top w:w="0" w:type="dxa"/>
                    <w:left w:w="51" w:type="dxa"/>
                    <w:bottom w:w="0" w:type="dxa"/>
                    <w:right w:w="51" w:type="dxa"/>
                  </w:tcMar>
                  <w:vAlign w:val="center"/>
                </w:tcPr>
                <w:p w14:paraId="68FFB0B3">
                  <w:pPr>
                    <w:pStyle w:val="90"/>
                    <w:rPr>
                      <w:color w:val="000000" w:themeColor="text1"/>
                      <w14:textFill>
                        <w14:solidFill>
                          <w14:schemeClr w14:val="tx1"/>
                        </w14:solidFill>
                      </w14:textFill>
                    </w:rPr>
                  </w:pPr>
                  <w:r>
                    <w:rPr>
                      <w:color w:val="000000" w:themeColor="text1"/>
                      <w14:textFill>
                        <w14:solidFill>
                          <w14:schemeClr w14:val="tx1"/>
                        </w14:solidFill>
                      </w14:textFill>
                    </w:rPr>
                    <w:t>符合</w:t>
                  </w:r>
                </w:p>
              </w:tc>
            </w:tr>
          </w:tbl>
          <w:p w14:paraId="10640975">
            <w:pPr>
              <w:spacing w:line="360" w:lineRule="auto"/>
              <w:ind w:firstLine="480" w:firstLineChars="200"/>
              <w:rPr>
                <w:b/>
                <w:color w:val="000000" w:themeColor="text1"/>
                <w:sz w:val="24"/>
                <w14:textFill>
                  <w14:solidFill>
                    <w14:schemeClr w14:val="tx1"/>
                  </w14:solidFill>
                </w14:textFill>
              </w:rPr>
            </w:pPr>
            <w:r>
              <w:rPr>
                <w:color w:val="000000" w:themeColor="text1"/>
                <w:sz w:val="24"/>
                <w:lang w:val="zh-CN"/>
                <w14:textFill>
                  <w14:solidFill>
                    <w14:schemeClr w14:val="tx1"/>
                  </w14:solidFill>
                </w14:textFill>
              </w:rPr>
              <w:t>综上所述，本项目符合《</w:t>
            </w:r>
            <w:r>
              <w:rPr>
                <w:color w:val="000000" w:themeColor="text1"/>
                <w:sz w:val="24"/>
                <w14:textFill>
                  <w14:solidFill>
                    <w14:schemeClr w14:val="tx1"/>
                  </w14:solidFill>
                </w14:textFill>
              </w:rPr>
              <w:t>中华人民共和国长江保护法</w:t>
            </w:r>
            <w:r>
              <w:rPr>
                <w:color w:val="000000" w:themeColor="text1"/>
                <w:sz w:val="24"/>
                <w:lang w:val="zh-CN"/>
                <w14:textFill>
                  <w14:solidFill>
                    <w14:schemeClr w14:val="tx1"/>
                  </w14:solidFill>
                </w14:textFill>
              </w:rPr>
              <w:t>》</w:t>
            </w:r>
            <w:r>
              <w:rPr>
                <w:color w:val="000000" w:themeColor="text1"/>
                <w:sz w:val="24"/>
                <w14:textFill>
                  <w14:solidFill>
                    <w14:schemeClr w14:val="tx1"/>
                  </w14:solidFill>
                </w14:textFill>
              </w:rPr>
              <w:t>的相关规定</w:t>
            </w:r>
            <w:r>
              <w:rPr>
                <w:rFonts w:hint="eastAsia"/>
                <w:color w:val="000000" w:themeColor="text1"/>
                <w:sz w:val="24"/>
                <w14:textFill>
                  <w14:solidFill>
                    <w14:schemeClr w14:val="tx1"/>
                  </w14:solidFill>
                </w14:textFill>
              </w:rPr>
              <w:t>。</w:t>
            </w:r>
          </w:p>
          <w:p w14:paraId="2B15B0DB">
            <w:pPr>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14、</w:t>
            </w:r>
            <w:r>
              <w:rPr>
                <w:b/>
                <w:color w:val="000000" w:themeColor="text1"/>
                <w:sz w:val="24"/>
                <w14:textFill>
                  <w14:solidFill>
                    <w14:schemeClr w14:val="tx1"/>
                  </w14:solidFill>
                </w14:textFill>
              </w:rPr>
              <w:t>选址合理性分析</w:t>
            </w:r>
          </w:p>
          <w:p w14:paraId="6D74EDC5">
            <w:pPr>
              <w:spacing w:line="360" w:lineRule="auto"/>
              <w:ind w:firstLine="480" w:firstLineChars="2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本项目为</w:t>
            </w:r>
            <w:r>
              <w:rPr>
                <w:rFonts w:hint="eastAsia"/>
                <w:color w:val="000000" w:themeColor="text1"/>
                <w:sz w:val="24"/>
                <w14:textFill>
                  <w14:solidFill>
                    <w14:schemeClr w14:val="tx1"/>
                  </w14:solidFill>
                </w14:textFill>
              </w:rPr>
              <w:t>肥料制造项目</w:t>
            </w:r>
            <w:r>
              <w:rPr>
                <w:color w:val="000000" w:themeColor="text1"/>
                <w:kern w:val="0"/>
                <w:sz w:val="24"/>
                <w:lang w:bidi="ar"/>
                <w14:textFill>
                  <w14:solidFill>
                    <w14:schemeClr w14:val="tx1"/>
                  </w14:solidFill>
                </w14:textFill>
              </w:rPr>
              <w:t>，位于</w:t>
            </w:r>
            <w:r>
              <w:rPr>
                <w:color w:val="000000" w:themeColor="text1"/>
                <w:sz w:val="24"/>
                <w14:textFill>
                  <w14:solidFill>
                    <w14:schemeClr w14:val="tx1"/>
                  </w14:solidFill>
                </w14:textFill>
              </w:rPr>
              <w:t>云南寻甸产业园区金所片区金所组团内</w:t>
            </w:r>
            <w:r>
              <w:rPr>
                <w:color w:val="000000" w:themeColor="text1"/>
                <w:kern w:val="0"/>
                <w:sz w:val="24"/>
                <w:lang w:bidi="ar"/>
                <w14:textFill>
                  <w14:solidFill>
                    <w14:schemeClr w14:val="tx1"/>
                  </w14:solidFill>
                </w14:textFill>
              </w:rPr>
              <w:t>，用地性质属工业用地，符合园区规划。由于园区基础设施的建设，所选</w:t>
            </w:r>
            <w:r>
              <w:rPr>
                <w:rFonts w:hint="eastAsia"/>
                <w:color w:val="000000" w:themeColor="text1"/>
                <w:kern w:val="0"/>
                <w:sz w:val="24"/>
                <w:lang w:bidi="ar"/>
                <w14:textFill>
                  <w14:solidFill>
                    <w14:schemeClr w14:val="tx1"/>
                  </w14:solidFill>
                </w14:textFill>
              </w:rPr>
              <w:t>场地</w:t>
            </w:r>
            <w:r>
              <w:rPr>
                <w:color w:val="000000" w:themeColor="text1"/>
                <w:kern w:val="0"/>
                <w:sz w:val="24"/>
                <w:lang w:bidi="ar"/>
                <w14:textFill>
                  <w14:solidFill>
                    <w14:schemeClr w14:val="tx1"/>
                  </w14:solidFill>
                </w14:textFill>
              </w:rPr>
              <w:t>在供电、供水、交通等基础条件十分便利。在采取相应环保措施后，项目产生的废气均可达标排放，对周围环境影响不大；废水可做到不外排，对周围地表水环境影响不大；噪声厂界可达标，不会造成扰民现象；固体废物均能得到合理处置。目前项目周边环境质量良好，外环境较简单，无重大环境制约因素存在。建设用地周围无需要特殊保护的文物、名胜、古迹和文化、自然遗产，不属于自然保护区和风景名胜区的保护范围。</w:t>
            </w:r>
          </w:p>
          <w:p w14:paraId="3AB5D72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综上，项目建设场地条件、交通运输、环境保护和水、电、通信等条件好，无重大的环境制约因素，项目选址合理。</w:t>
            </w:r>
          </w:p>
          <w:p w14:paraId="5496077B">
            <w:pPr>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14</w:t>
            </w:r>
            <w:r>
              <w:rPr>
                <w:b/>
                <w:color w:val="000000" w:themeColor="text1"/>
                <w:sz w:val="24"/>
                <w14:textFill>
                  <w14:solidFill>
                    <w14:schemeClr w14:val="tx1"/>
                  </w14:solidFill>
                </w14:textFill>
              </w:rPr>
              <w:t>、环境相容性分析</w:t>
            </w:r>
          </w:p>
          <w:p w14:paraId="75367D7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本项目位于云南省昆明市寻甸县特色产业园区金所片区，项目500m范围内保护目标主要为竹沟村零散居民户。根据分析，项目主要废气污染物为颗粒物</w:t>
            </w:r>
            <w:r>
              <w:rPr>
                <w:rFonts w:hint="eastAsia"/>
                <w:color w:val="000000" w:themeColor="text1"/>
                <w:sz w:val="24"/>
                <w14:textFill>
                  <w14:solidFill>
                    <w14:schemeClr w14:val="tx1"/>
                  </w14:solidFill>
                </w14:textFill>
              </w:rPr>
              <w:t>、异味</w:t>
            </w:r>
            <w:r>
              <w:rPr>
                <w:color w:val="000000" w:themeColor="text1"/>
                <w:sz w:val="24"/>
                <w14:textFill>
                  <w14:solidFill>
                    <w14:schemeClr w14:val="tx1"/>
                  </w14:solidFill>
                </w14:textFill>
              </w:rPr>
              <w:t>，经采取措施治理后</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经稀释扩散后对周围环境及环境空气保护目标影响较小。项目运营期噪声采取措施治理后厂界达标，对以上环境保护目标影响可以接受。根据现场调查，项目周边企业情况见下表：</w:t>
            </w:r>
          </w:p>
          <w:p w14:paraId="05C60BE5">
            <w:pPr>
              <w:pStyle w:val="58"/>
              <w:rPr>
                <w:color w:val="000000" w:themeColor="text1"/>
                <w14:textFill>
                  <w14:solidFill>
                    <w14:schemeClr w14:val="tx1"/>
                  </w14:solidFill>
                </w14:textFill>
              </w:rPr>
            </w:pPr>
            <w:r>
              <w:rPr>
                <w:color w:val="000000" w:themeColor="text1"/>
                <w14:textFill>
                  <w14:solidFill>
                    <w14:schemeClr w14:val="tx1"/>
                  </w14:solidFill>
                </w14:textFill>
              </w:rPr>
              <w:t>表1-1</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 xml:space="preserve">  本项目周边企业情况一览表</w:t>
            </w:r>
          </w:p>
          <w:tbl>
            <w:tblPr>
              <w:tblStyle w:val="25"/>
              <w:tblW w:w="82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2790"/>
              <w:gridCol w:w="1732"/>
              <w:gridCol w:w="1485"/>
              <w:gridCol w:w="1467"/>
            </w:tblGrid>
            <w:tr w14:paraId="196DC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9" w:type="dxa"/>
                  <w:vAlign w:val="center"/>
                </w:tcPr>
                <w:p w14:paraId="5BE218FD">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序号</w:t>
                  </w:r>
                </w:p>
              </w:tc>
              <w:tc>
                <w:tcPr>
                  <w:tcW w:w="2790" w:type="dxa"/>
                  <w:vAlign w:val="center"/>
                </w:tcPr>
                <w:p w14:paraId="3E9200B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名称</w:t>
                  </w:r>
                </w:p>
              </w:tc>
              <w:tc>
                <w:tcPr>
                  <w:tcW w:w="1732" w:type="dxa"/>
                  <w:vAlign w:val="center"/>
                </w:tcPr>
                <w:p w14:paraId="1A0DC3D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方位</w:t>
                  </w:r>
                </w:p>
              </w:tc>
              <w:tc>
                <w:tcPr>
                  <w:tcW w:w="1485" w:type="dxa"/>
                  <w:vAlign w:val="center"/>
                </w:tcPr>
                <w:p w14:paraId="423BD0D1">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厂界距离m</w:t>
                  </w:r>
                </w:p>
              </w:tc>
              <w:tc>
                <w:tcPr>
                  <w:tcW w:w="1467" w:type="dxa"/>
                  <w:vAlign w:val="center"/>
                </w:tcPr>
                <w:p w14:paraId="6042E3E8">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主要污染物</w:t>
                  </w:r>
                </w:p>
              </w:tc>
            </w:tr>
            <w:tr w14:paraId="1BF7B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9" w:type="dxa"/>
                  <w:vAlign w:val="center"/>
                </w:tcPr>
                <w:p w14:paraId="76FFB93E">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①</w:t>
                  </w:r>
                </w:p>
              </w:tc>
              <w:tc>
                <w:tcPr>
                  <w:tcW w:w="2790" w:type="dxa"/>
                  <w:vAlign w:val="center"/>
                </w:tcPr>
                <w:p w14:paraId="3EE16F52">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云南建工云岭水泥有限公司</w:t>
                  </w:r>
                </w:p>
              </w:tc>
              <w:tc>
                <w:tcPr>
                  <w:tcW w:w="1732" w:type="dxa"/>
                  <w:vAlign w:val="center"/>
                </w:tcPr>
                <w:p w14:paraId="1122CDDF">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项目租用其厂房</w:t>
                  </w:r>
                </w:p>
              </w:tc>
              <w:tc>
                <w:tcPr>
                  <w:tcW w:w="1485" w:type="dxa"/>
                  <w:vAlign w:val="center"/>
                </w:tcPr>
                <w:p w14:paraId="4B4042AD">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w:t>
                  </w:r>
                </w:p>
              </w:tc>
              <w:tc>
                <w:tcPr>
                  <w:tcW w:w="1467" w:type="dxa"/>
                  <w:vAlign w:val="center"/>
                </w:tcPr>
                <w:p w14:paraId="38DBE600">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已停产</w:t>
                  </w:r>
                </w:p>
              </w:tc>
            </w:tr>
            <w:tr w14:paraId="51179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9" w:type="dxa"/>
                  <w:vAlign w:val="center"/>
                </w:tcPr>
                <w:p w14:paraId="4B06BEE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②</w:t>
                  </w:r>
                </w:p>
              </w:tc>
              <w:tc>
                <w:tcPr>
                  <w:tcW w:w="2790" w:type="dxa"/>
                  <w:vAlign w:val="center"/>
                </w:tcPr>
                <w:p w14:paraId="010FA774">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云南南磷集团寻甸有限公司</w:t>
                  </w:r>
                </w:p>
              </w:tc>
              <w:tc>
                <w:tcPr>
                  <w:tcW w:w="1732" w:type="dxa"/>
                  <w:vAlign w:val="center"/>
                </w:tcPr>
                <w:p w14:paraId="5DF25BE1">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南</w:t>
                  </w:r>
                </w:p>
              </w:tc>
              <w:tc>
                <w:tcPr>
                  <w:tcW w:w="1485" w:type="dxa"/>
                  <w:vAlign w:val="center"/>
                </w:tcPr>
                <w:p w14:paraId="1782F391">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180</w:t>
                  </w:r>
                </w:p>
              </w:tc>
              <w:tc>
                <w:tcPr>
                  <w:tcW w:w="1467" w:type="dxa"/>
                  <w:vMerge w:val="restart"/>
                  <w:vAlign w:val="center"/>
                </w:tcPr>
                <w:p w14:paraId="5B087211">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生产废气、生产废水</w:t>
                  </w:r>
                </w:p>
              </w:tc>
            </w:tr>
            <w:tr w14:paraId="798D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9" w:type="dxa"/>
                  <w:vAlign w:val="center"/>
                </w:tcPr>
                <w:p w14:paraId="3FC35D93">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③</w:t>
                  </w:r>
                </w:p>
              </w:tc>
              <w:tc>
                <w:tcPr>
                  <w:tcW w:w="2790" w:type="dxa"/>
                  <w:vAlign w:val="center"/>
                </w:tcPr>
                <w:p w14:paraId="39692E3A">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云南先锋化工有限公司</w:t>
                  </w:r>
                </w:p>
              </w:tc>
              <w:tc>
                <w:tcPr>
                  <w:tcW w:w="1732" w:type="dxa"/>
                  <w:vAlign w:val="center"/>
                </w:tcPr>
                <w:p w14:paraId="4924590C">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东</w:t>
                  </w:r>
                  <w:r>
                    <w:rPr>
                      <w:rFonts w:hint="eastAsia"/>
                      <w:b w:val="0"/>
                      <w:color w:val="000000" w:themeColor="text1"/>
                      <w14:textFill>
                        <w14:solidFill>
                          <w14:schemeClr w14:val="tx1"/>
                        </w14:solidFill>
                      </w14:textFill>
                    </w:rPr>
                    <w:t>北</w:t>
                  </w:r>
                </w:p>
              </w:tc>
              <w:tc>
                <w:tcPr>
                  <w:tcW w:w="1485" w:type="dxa"/>
                  <w:vAlign w:val="center"/>
                </w:tcPr>
                <w:p w14:paraId="45B738DD">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670</w:t>
                  </w:r>
                </w:p>
              </w:tc>
              <w:tc>
                <w:tcPr>
                  <w:tcW w:w="1467" w:type="dxa"/>
                  <w:vMerge w:val="continue"/>
                  <w:vAlign w:val="center"/>
                </w:tcPr>
                <w:p w14:paraId="0E11F952">
                  <w:pPr>
                    <w:pStyle w:val="74"/>
                    <w:rPr>
                      <w:b w:val="0"/>
                      <w:color w:val="000000" w:themeColor="text1"/>
                      <w14:textFill>
                        <w14:solidFill>
                          <w14:schemeClr w14:val="tx1"/>
                        </w14:solidFill>
                      </w14:textFill>
                    </w:rPr>
                  </w:pPr>
                </w:p>
              </w:tc>
            </w:tr>
            <w:tr w14:paraId="1F6C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9" w:type="dxa"/>
                  <w:vAlign w:val="center"/>
                </w:tcPr>
                <w:p w14:paraId="033B381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④</w:t>
                  </w:r>
                </w:p>
              </w:tc>
              <w:tc>
                <w:tcPr>
                  <w:tcW w:w="2790" w:type="dxa"/>
                  <w:vAlign w:val="center"/>
                </w:tcPr>
                <w:p w14:paraId="4488A8F9">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中化云龙有限公司</w:t>
                  </w:r>
                </w:p>
              </w:tc>
              <w:tc>
                <w:tcPr>
                  <w:tcW w:w="1732" w:type="dxa"/>
                  <w:vAlign w:val="center"/>
                </w:tcPr>
                <w:p w14:paraId="5EF04D9B">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东南</w:t>
                  </w:r>
                </w:p>
              </w:tc>
              <w:tc>
                <w:tcPr>
                  <w:tcW w:w="1485" w:type="dxa"/>
                  <w:vAlign w:val="center"/>
                </w:tcPr>
                <w:p w14:paraId="4B5CF838">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660</w:t>
                  </w:r>
                </w:p>
              </w:tc>
              <w:tc>
                <w:tcPr>
                  <w:tcW w:w="1467" w:type="dxa"/>
                  <w:vMerge w:val="continue"/>
                  <w:vAlign w:val="center"/>
                </w:tcPr>
                <w:p w14:paraId="664033C6">
                  <w:pPr>
                    <w:pStyle w:val="74"/>
                    <w:rPr>
                      <w:b w:val="0"/>
                      <w:color w:val="000000" w:themeColor="text1"/>
                      <w14:textFill>
                        <w14:solidFill>
                          <w14:schemeClr w14:val="tx1"/>
                        </w14:solidFill>
                      </w14:textFill>
                    </w:rPr>
                  </w:pPr>
                </w:p>
              </w:tc>
            </w:tr>
            <w:tr w14:paraId="5768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9" w:type="dxa"/>
                  <w:vAlign w:val="center"/>
                </w:tcPr>
                <w:p w14:paraId="4B70425F">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⑤</w:t>
                  </w:r>
                </w:p>
              </w:tc>
              <w:tc>
                <w:tcPr>
                  <w:tcW w:w="2790" w:type="dxa"/>
                  <w:vAlign w:val="center"/>
                </w:tcPr>
                <w:p w14:paraId="5407F04D">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昆明东屹峰商贸有限公司</w:t>
                  </w:r>
                </w:p>
              </w:tc>
              <w:tc>
                <w:tcPr>
                  <w:tcW w:w="1732" w:type="dxa"/>
                  <w:vAlign w:val="center"/>
                </w:tcPr>
                <w:p w14:paraId="421FDE13">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北</w:t>
                  </w:r>
                </w:p>
              </w:tc>
              <w:tc>
                <w:tcPr>
                  <w:tcW w:w="1485" w:type="dxa"/>
                  <w:vAlign w:val="center"/>
                </w:tcPr>
                <w:p w14:paraId="7073DA1E">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260</w:t>
                  </w:r>
                </w:p>
              </w:tc>
              <w:tc>
                <w:tcPr>
                  <w:tcW w:w="1467" w:type="dxa"/>
                  <w:vAlign w:val="center"/>
                </w:tcPr>
                <w:p w14:paraId="17817E94">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生产废气</w:t>
                  </w:r>
                </w:p>
              </w:tc>
            </w:tr>
            <w:tr w14:paraId="124BE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69" w:type="dxa"/>
                  <w:vAlign w:val="center"/>
                </w:tcPr>
                <w:p w14:paraId="48F54741">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⑥</w:t>
                  </w:r>
                </w:p>
              </w:tc>
              <w:tc>
                <w:tcPr>
                  <w:tcW w:w="2790" w:type="dxa"/>
                  <w:vAlign w:val="center"/>
                </w:tcPr>
                <w:p w14:paraId="26E283B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云南</w:t>
                  </w:r>
                  <w:r>
                    <w:rPr>
                      <w:rFonts w:hint="eastAsia"/>
                      <w:b w:val="0"/>
                      <w:color w:val="000000" w:themeColor="text1"/>
                      <w14:textFill>
                        <w14:solidFill>
                          <w14:schemeClr w14:val="tx1"/>
                        </w14:solidFill>
                      </w14:textFill>
                    </w:rPr>
                    <w:t>寻甸宏盛</w:t>
                  </w:r>
                  <w:r>
                    <w:rPr>
                      <w:b w:val="0"/>
                      <w:color w:val="000000" w:themeColor="text1"/>
                      <w14:textFill>
                        <w14:solidFill>
                          <w14:schemeClr w14:val="tx1"/>
                        </w14:solidFill>
                      </w14:textFill>
                    </w:rPr>
                    <w:t>公司</w:t>
                  </w:r>
                </w:p>
              </w:tc>
              <w:tc>
                <w:tcPr>
                  <w:tcW w:w="1732" w:type="dxa"/>
                  <w:vAlign w:val="center"/>
                </w:tcPr>
                <w:p w14:paraId="3FD2C60D">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东</w:t>
                  </w:r>
                </w:p>
              </w:tc>
              <w:tc>
                <w:tcPr>
                  <w:tcW w:w="1485" w:type="dxa"/>
                  <w:vAlign w:val="center"/>
                </w:tcPr>
                <w:p w14:paraId="2CA5123A">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350</w:t>
                  </w:r>
                </w:p>
              </w:tc>
              <w:tc>
                <w:tcPr>
                  <w:tcW w:w="1467" w:type="dxa"/>
                  <w:vAlign w:val="center"/>
                </w:tcPr>
                <w:p w14:paraId="7798663B">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生活污水</w:t>
                  </w:r>
                </w:p>
              </w:tc>
            </w:tr>
          </w:tbl>
          <w:p w14:paraId="116C5422">
            <w:pPr>
              <w:spacing w:line="360" w:lineRule="auto"/>
              <w:ind w:firstLine="480" w:firstLineChars="200"/>
              <w:rPr>
                <w:color w:val="000000" w:themeColor="text1"/>
                <w:sz w:val="24"/>
                <w:lang w:val="zh-CN"/>
                <w14:textFill>
                  <w14:solidFill>
                    <w14:schemeClr w14:val="tx1"/>
                  </w14:solidFill>
                </w14:textFill>
              </w:rPr>
            </w:pPr>
            <w:r>
              <w:rPr>
                <w:rFonts w:hint="eastAsia"/>
                <w:color w:val="000000" w:themeColor="text1"/>
                <w:sz w:val="24"/>
                <w14:textFill>
                  <w14:solidFill>
                    <w14:schemeClr w14:val="tx1"/>
                  </w14:solidFill>
                </w14:textFill>
              </w:rPr>
              <w:t>根据</w:t>
            </w:r>
            <w:r>
              <w:rPr>
                <w:color w:val="000000" w:themeColor="text1"/>
                <w:sz w:val="24"/>
                <w14:textFill>
                  <w14:solidFill>
                    <w14:schemeClr w14:val="tx1"/>
                  </w14:solidFill>
                </w14:textFill>
              </w:rPr>
              <w:t>项目周边企业情况调查可知，周围的企业</w:t>
            </w:r>
            <w:r>
              <w:rPr>
                <w:rFonts w:hint="eastAsia"/>
                <w:color w:val="000000" w:themeColor="text1"/>
                <w:sz w:val="24"/>
                <w14:textFill>
                  <w14:solidFill>
                    <w14:schemeClr w14:val="tx1"/>
                  </w14:solidFill>
                </w14:textFill>
              </w:rPr>
              <w:t>主要污染物为生产废气、生产废水和生活污水，</w:t>
            </w:r>
            <w:r>
              <w:rPr>
                <w:color w:val="000000" w:themeColor="text1"/>
                <w:sz w:val="24"/>
                <w14:textFill>
                  <w14:solidFill>
                    <w14:schemeClr w14:val="tx1"/>
                  </w14:solidFill>
                </w14:textFill>
              </w:rPr>
              <w:t>对本项目无制约性因素。根据工程分析，</w:t>
            </w:r>
            <w:r>
              <w:rPr>
                <w:color w:val="000000" w:themeColor="text1"/>
                <w:sz w:val="24"/>
                <w:lang w:val="zh-CN"/>
                <w14:textFill>
                  <w14:solidFill>
                    <w14:schemeClr w14:val="tx1"/>
                  </w14:solidFill>
                </w14:textFill>
              </w:rPr>
              <w:t>项目</w:t>
            </w:r>
            <w:r>
              <w:rPr>
                <w:color w:val="000000" w:themeColor="text1"/>
                <w:sz w:val="24"/>
                <w14:textFill>
                  <w14:solidFill>
                    <w14:schemeClr w14:val="tx1"/>
                  </w14:solidFill>
                </w14:textFill>
              </w:rPr>
              <w:t>产生的</w:t>
            </w:r>
            <w:r>
              <w:rPr>
                <w:color w:val="000000" w:themeColor="text1"/>
                <w:sz w:val="24"/>
                <w:lang w:val="zh-CN"/>
                <w14:textFill>
                  <w14:solidFill>
                    <w14:schemeClr w14:val="tx1"/>
                  </w14:solidFill>
                </w14:textFill>
              </w:rPr>
              <w:t>噪声、废气、</w:t>
            </w:r>
            <w:r>
              <w:rPr>
                <w:color w:val="000000" w:themeColor="text1"/>
                <w:sz w:val="24"/>
                <w14:textFill>
                  <w14:solidFill>
                    <w14:schemeClr w14:val="tx1"/>
                  </w14:solidFill>
                </w14:textFill>
              </w:rPr>
              <w:t>废水</w:t>
            </w:r>
            <w:r>
              <w:rPr>
                <w:color w:val="000000" w:themeColor="text1"/>
                <w:sz w:val="24"/>
                <w:lang w:val="zh-CN"/>
                <w14:textFill>
                  <w14:solidFill>
                    <w14:schemeClr w14:val="tx1"/>
                  </w14:solidFill>
                </w14:textFill>
              </w:rPr>
              <w:t>均能达标排放，</w:t>
            </w:r>
            <w:r>
              <w:rPr>
                <w:color w:val="000000" w:themeColor="text1"/>
                <w:sz w:val="24"/>
                <w14:textFill>
                  <w14:solidFill>
                    <w14:schemeClr w14:val="tx1"/>
                  </w14:solidFill>
                </w14:textFill>
              </w:rPr>
              <w:t>固体废物100%合理处置，</w:t>
            </w:r>
            <w:r>
              <w:rPr>
                <w:color w:val="000000" w:themeColor="text1"/>
                <w:sz w:val="24"/>
                <w:lang w:val="zh-CN"/>
                <w14:textFill>
                  <w14:solidFill>
                    <w14:schemeClr w14:val="tx1"/>
                  </w14:solidFill>
                </w14:textFill>
              </w:rPr>
              <w:t>项目的生产对周围企业的影响不大。</w:t>
            </w:r>
          </w:p>
          <w:p w14:paraId="3659243E">
            <w:pPr>
              <w:spacing w:line="360" w:lineRule="auto"/>
              <w:ind w:firstLine="480" w:firstLineChars="200"/>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综上所述，本项目与</w:t>
            </w:r>
            <w:r>
              <w:rPr>
                <w:color w:val="000000" w:themeColor="text1"/>
                <w:sz w:val="24"/>
                <w14:textFill>
                  <w14:solidFill>
                    <w14:schemeClr w14:val="tx1"/>
                  </w14:solidFill>
                </w14:textFill>
              </w:rPr>
              <w:t>周边</w:t>
            </w:r>
            <w:r>
              <w:rPr>
                <w:color w:val="000000" w:themeColor="text1"/>
                <w:sz w:val="24"/>
                <w:lang w:val="zh-CN"/>
                <w14:textFill>
                  <w14:solidFill>
                    <w14:schemeClr w14:val="tx1"/>
                  </w14:solidFill>
                </w14:textFill>
              </w:rPr>
              <w:t>环境是相容的。</w:t>
            </w:r>
          </w:p>
          <w:p w14:paraId="3B3CA501">
            <w:pPr>
              <w:spacing w:line="360" w:lineRule="auto"/>
              <w:ind w:firstLine="360" w:firstLineChars="200"/>
              <w:rPr>
                <w:rFonts w:hint="eastAsia"/>
                <w:color w:val="000000" w:themeColor="text1"/>
                <w:sz w:val="18"/>
                <w:szCs w:val="18"/>
                <w:lang w:val="zh-CN"/>
                <w14:textFill>
                  <w14:solidFill>
                    <w14:schemeClr w14:val="tx1"/>
                  </w14:solidFill>
                </w14:textFill>
              </w:rPr>
            </w:pPr>
          </w:p>
          <w:p w14:paraId="407E5C34">
            <w:pPr>
              <w:pStyle w:val="84"/>
              <w:rPr>
                <w:rFonts w:hint="eastAsia"/>
                <w:color w:val="000000" w:themeColor="text1"/>
                <w:lang w:val="zh-CN"/>
                <w14:textFill>
                  <w14:solidFill>
                    <w14:schemeClr w14:val="tx1"/>
                  </w14:solidFill>
                </w14:textFill>
              </w:rPr>
            </w:pPr>
          </w:p>
          <w:p w14:paraId="200365A1">
            <w:pPr>
              <w:pStyle w:val="84"/>
              <w:rPr>
                <w:rFonts w:hint="eastAsia"/>
                <w:color w:val="000000" w:themeColor="text1"/>
                <w:lang w:val="zh-CN"/>
                <w14:textFill>
                  <w14:solidFill>
                    <w14:schemeClr w14:val="tx1"/>
                  </w14:solidFill>
                </w14:textFill>
              </w:rPr>
            </w:pPr>
          </w:p>
          <w:p w14:paraId="329C7613">
            <w:pPr>
              <w:pStyle w:val="84"/>
              <w:rPr>
                <w:rFonts w:hint="eastAsia"/>
                <w:color w:val="000000" w:themeColor="text1"/>
                <w:lang w:val="zh-CN"/>
                <w14:textFill>
                  <w14:solidFill>
                    <w14:schemeClr w14:val="tx1"/>
                  </w14:solidFill>
                </w14:textFill>
              </w:rPr>
            </w:pPr>
          </w:p>
          <w:p w14:paraId="0BB96DAD">
            <w:pPr>
              <w:pStyle w:val="84"/>
              <w:rPr>
                <w:rFonts w:hint="eastAsia"/>
                <w:color w:val="000000" w:themeColor="text1"/>
                <w:lang w:val="zh-CN"/>
                <w14:textFill>
                  <w14:solidFill>
                    <w14:schemeClr w14:val="tx1"/>
                  </w14:solidFill>
                </w14:textFill>
              </w:rPr>
            </w:pPr>
          </w:p>
          <w:p w14:paraId="728DC733">
            <w:pPr>
              <w:pStyle w:val="84"/>
              <w:rPr>
                <w:rFonts w:hint="eastAsia"/>
                <w:color w:val="000000" w:themeColor="text1"/>
                <w:lang w:val="zh-CN"/>
                <w14:textFill>
                  <w14:solidFill>
                    <w14:schemeClr w14:val="tx1"/>
                  </w14:solidFill>
                </w14:textFill>
              </w:rPr>
            </w:pPr>
          </w:p>
          <w:p w14:paraId="0F2C0069">
            <w:pPr>
              <w:pStyle w:val="84"/>
              <w:rPr>
                <w:rFonts w:hint="eastAsia"/>
                <w:color w:val="000000" w:themeColor="text1"/>
                <w:lang w:val="zh-CN"/>
                <w14:textFill>
                  <w14:solidFill>
                    <w14:schemeClr w14:val="tx1"/>
                  </w14:solidFill>
                </w14:textFill>
              </w:rPr>
            </w:pPr>
          </w:p>
          <w:p w14:paraId="159561A9">
            <w:pPr>
              <w:rPr>
                <w:color w:val="000000" w:themeColor="text1"/>
                <w:lang w:val="zh-CN"/>
                <w14:textFill>
                  <w14:solidFill>
                    <w14:schemeClr w14:val="tx1"/>
                  </w14:solidFill>
                </w14:textFill>
              </w:rPr>
            </w:pPr>
          </w:p>
        </w:tc>
      </w:tr>
    </w:tbl>
    <w:p w14:paraId="11D0F08F">
      <w:pPr>
        <w:spacing w:line="360" w:lineRule="auto"/>
        <w:rPr>
          <w:rFonts w:eastAsia="黑体"/>
          <w:color w:val="000000" w:themeColor="text1"/>
          <w:sz w:val="30"/>
          <w14:textFill>
            <w14:solidFill>
              <w14:schemeClr w14:val="tx1"/>
            </w14:solidFill>
          </w14:textFill>
        </w:rPr>
        <w:sectPr>
          <w:headerReference r:id="rId4" w:type="default"/>
          <w:footerReference r:id="rId5" w:type="default"/>
          <w:pgSz w:w="11906" w:h="16838"/>
          <w:pgMar w:top="1701" w:right="1531" w:bottom="1418" w:left="1531" w:header="851" w:footer="1077" w:gutter="0"/>
          <w:pgNumType w:start="1"/>
          <w:cols w:space="720" w:num="1"/>
          <w:docGrid w:linePitch="312" w:charSpace="0"/>
        </w:sectPr>
      </w:pPr>
    </w:p>
    <w:p w14:paraId="64E6C83D">
      <w:pPr>
        <w:pStyle w:val="21"/>
        <w:spacing w:before="120" w:beforeLines="50" w:beforeAutospacing="0" w:after="120" w:afterLines="50" w:afterAutospacing="0"/>
        <w:jc w:val="center"/>
        <w:outlineLvl w:val="0"/>
        <w:rPr>
          <w:rFonts w:ascii="Times New Roman" w:hAnsi="Times New Roman" w:eastAsia="黑体"/>
          <w:snapToGrid w:val="0"/>
          <w:color w:val="000000" w:themeColor="text1"/>
          <w:sz w:val="30"/>
          <w:szCs w:val="30"/>
          <w14:textFill>
            <w14:solidFill>
              <w14:schemeClr w14:val="tx1"/>
            </w14:solidFill>
          </w14:textFill>
        </w:rPr>
      </w:pPr>
      <w:bookmarkStart w:id="11" w:name="_Toc21940"/>
      <w:r>
        <w:rPr>
          <w:rFonts w:ascii="Times New Roman" w:hAnsi="Times New Roman" w:eastAsia="黑体"/>
          <w:snapToGrid w:val="0"/>
          <w:color w:val="000000" w:themeColor="text1"/>
          <w:sz w:val="30"/>
          <w:szCs w:val="30"/>
          <w14:textFill>
            <w14:solidFill>
              <w14:schemeClr w14:val="tx1"/>
            </w14:solidFill>
          </w14:textFill>
        </w:rPr>
        <w:t>二、建设项目工程分析</w:t>
      </w:r>
      <w:bookmarkEnd w:id="11"/>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3"/>
        <w:gridCol w:w="8161"/>
      </w:tblGrid>
      <w:tr w14:paraId="41624E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823" w:type="dxa"/>
            <w:vAlign w:val="center"/>
          </w:tcPr>
          <w:p w14:paraId="7E15651C">
            <w:pPr>
              <w:pStyle w:val="21"/>
              <w:adjustRightInd w:val="0"/>
              <w:snapToGri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建设内容</w:t>
            </w:r>
          </w:p>
        </w:tc>
        <w:tc>
          <w:tcPr>
            <w:tcW w:w="8161" w:type="dxa"/>
          </w:tcPr>
          <w:p w14:paraId="715A2ABD">
            <w:pPr>
              <w:spacing w:line="360" w:lineRule="auto"/>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一、项目由来</w:t>
            </w:r>
          </w:p>
          <w:p w14:paraId="5CA2464A">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青思生物科技（寻甸）有限责任公司拟租用云南建工云岭水泥有限公司厂房，建设《青思生物科技（寻甸）有限责任公司低变质褐煤、磷矿石浮选尾矿综合利用项目》。本项目利用低变质褐煤、锯木屑、发酵菌剂、尿素等作为原材料生产有机肥，不仅能有效地利用原辅料固废中的腐殖酸、有机质和微量元素等，提高固废的综合利用；还能缓解化肥资源的建设短缺，改善土地板结化、提高农作物的品质和产量，可以实现资源化循环利用，推动生态农业建设的健康发展。因此本项目的建设具有显著的生态环境效益、社会效益和经济效益。</w:t>
            </w:r>
          </w:p>
          <w:p w14:paraId="76DF4445">
            <w:pPr>
              <w:spacing w:line="360" w:lineRule="auto"/>
              <w:ind w:firstLine="480" w:firstLineChars="200"/>
              <w:rPr>
                <w:b/>
                <w:bCs/>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租用云南建工云岭水泥有限公司已建厂房进行建设，建设内容包括原料库、生产区、成品库及配套环保设施等。项目2025年12月26日取得云南寻甸产业园区管理委员会出具的入园申请同意书，2025年10月24日取得了寻甸县发展和改革局核发的项目备案证，项目代码为：2510-530129-04-01-685356。根据《备案证》，项目分两期进行建设，一期建设年产5万吨有机肥生产线，二期建设年产5万吨园林绿化基质。</w:t>
            </w:r>
            <w:r>
              <w:rPr>
                <w:rFonts w:hint="eastAsia"/>
                <w:b/>
                <w:bCs/>
                <w:color w:val="000000" w:themeColor="text1"/>
                <w:sz w:val="24"/>
                <w14:textFill>
                  <w14:solidFill>
                    <w14:schemeClr w14:val="tx1"/>
                  </w14:solidFill>
                </w14:textFill>
              </w:rPr>
              <w:t>根据建设单位实际需求，仅建设一期建设项目，二期项目不再考虑建设，本次环评内容仅包含一期项目。</w:t>
            </w:r>
          </w:p>
          <w:p w14:paraId="786B5A10">
            <w:pPr>
              <w:spacing w:line="360" w:lineRule="auto"/>
              <w:ind w:firstLine="480" w:firstLineChars="200"/>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本项目利用低变质褐煤、锯木屑、发酵菌剂、尿素等作为原材料，通过原料混合-堆肥发酵-包装等环节生产有机肥，不储存和使用危险化学品。根据寻甸县科学技术和工业信息化局情况说明（见附件10），本项目不按照化工项目进行管理；并于</w:t>
            </w:r>
            <w:r>
              <w:rPr>
                <w:color w:val="000000" w:themeColor="text1"/>
                <w:sz w:val="24"/>
                <w14:textFill>
                  <w14:solidFill>
                    <w14:schemeClr w14:val="tx1"/>
                  </w14:solidFill>
                </w14:textFill>
              </w:rPr>
              <w:t>202</w:t>
            </w:r>
            <w:r>
              <w:rPr>
                <w:rFonts w:hint="eastAsia"/>
                <w:color w:val="000000" w:themeColor="text1"/>
                <w:sz w:val="24"/>
                <w14:textFill>
                  <w14:solidFill>
                    <w14:schemeClr w14:val="tx1"/>
                  </w14:solidFill>
                </w14:textFill>
              </w:rPr>
              <w:t>6</w:t>
            </w:r>
            <w:r>
              <w:rPr>
                <w:color w:val="000000" w:themeColor="text1"/>
                <w:sz w:val="24"/>
                <w14:textFill>
                  <w14:solidFill>
                    <w14:schemeClr w14:val="tx1"/>
                  </w14:solidFill>
                </w14:textFill>
              </w:rPr>
              <w:t>年</w:t>
            </w:r>
            <w:r>
              <w:rPr>
                <w:rFonts w:hint="eastAsia"/>
                <w:color w:val="000000" w:themeColor="text1"/>
                <w:sz w:val="24"/>
                <w14:textFill>
                  <w14:solidFill>
                    <w14:schemeClr w14:val="tx1"/>
                  </w14:solidFill>
                </w14:textFill>
              </w:rPr>
              <w:t>6</w:t>
            </w:r>
            <w:r>
              <w:rPr>
                <w:color w:val="000000" w:themeColor="text1"/>
                <w:sz w:val="24"/>
                <w14:textFill>
                  <w14:solidFill>
                    <w14:schemeClr w14:val="tx1"/>
                  </w14:solidFill>
                </w14:textFill>
              </w:rPr>
              <w:t>月</w:t>
            </w:r>
            <w:r>
              <w:rPr>
                <w:rFonts w:hint="eastAsia"/>
                <w:color w:val="000000" w:themeColor="text1"/>
                <w:sz w:val="24"/>
                <w14:textFill>
                  <w14:solidFill>
                    <w14:schemeClr w14:val="tx1"/>
                  </w14:solidFill>
                </w14:textFill>
              </w:rPr>
              <w:t>15</w:t>
            </w:r>
            <w:r>
              <w:rPr>
                <w:color w:val="000000" w:themeColor="text1"/>
                <w:sz w:val="24"/>
                <w14:textFill>
                  <w14:solidFill>
                    <w14:schemeClr w14:val="tx1"/>
                  </w14:solidFill>
                </w14:textFill>
              </w:rPr>
              <w:t>日已取得</w:t>
            </w:r>
            <w:r>
              <w:rPr>
                <w:rFonts w:hint="eastAsia"/>
                <w:color w:val="000000" w:themeColor="text1"/>
                <w:sz w:val="24"/>
                <w14:textFill>
                  <w14:solidFill>
                    <w14:schemeClr w14:val="tx1"/>
                  </w14:solidFill>
                </w14:textFill>
              </w:rPr>
              <w:t>云南寻甸产业</w:t>
            </w:r>
            <w:r>
              <w:rPr>
                <w:color w:val="000000" w:themeColor="text1"/>
                <w:sz w:val="24"/>
                <w14:textFill>
                  <w14:solidFill>
                    <w14:schemeClr w14:val="tx1"/>
                  </w14:solidFill>
                </w14:textFill>
              </w:rPr>
              <w:t>园区管理委员会出具的入园申请同意书。</w:t>
            </w:r>
          </w:p>
          <w:p w14:paraId="126F609E">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中华人民共和国生态环境法典》、《建设项目环境保护管理条例》的规定，建设项目必须履行生态环境影响评价制度。根据《建设项目环境影响评价分类管理名录》（2021年版）等有关法律、法规的要求，项目属于“</w:t>
            </w:r>
            <w:r>
              <w:rPr>
                <w:color w:val="000000" w:themeColor="text1"/>
                <w:sz w:val="24"/>
                <w14:textFill>
                  <w14:solidFill>
                    <w14:schemeClr w14:val="tx1"/>
                  </w14:solidFill>
                </w14:textFill>
              </w:rPr>
              <w:t>二十三化学原料和化学制品制造业</w:t>
            </w:r>
            <w:r>
              <w:rPr>
                <w:rFonts w:hint="eastAsia"/>
                <w:color w:val="000000" w:themeColor="text1"/>
                <w:sz w:val="24"/>
                <w14:textFill>
                  <w14:solidFill>
                    <w14:schemeClr w14:val="tx1"/>
                  </w14:solidFill>
                </w14:textFill>
              </w:rPr>
              <w:t>中的</w:t>
            </w:r>
            <w:r>
              <w:rPr>
                <w:color w:val="000000" w:themeColor="text1"/>
                <w:sz w:val="24"/>
                <w14:textFill>
                  <w14:solidFill>
                    <w14:schemeClr w14:val="tx1"/>
                  </w14:solidFill>
                </w14:textFill>
              </w:rPr>
              <w:t>肥料制造</w:t>
            </w:r>
            <w:r>
              <w:rPr>
                <w:rFonts w:hint="eastAsia"/>
                <w:color w:val="000000" w:themeColor="text1"/>
                <w:sz w:val="24"/>
                <w14:textFill>
                  <w14:solidFill>
                    <w14:schemeClr w14:val="tx1"/>
                  </w14:solidFill>
                </w14:textFill>
              </w:rPr>
              <w:t>”，需编制生态环境影响报告表。</w:t>
            </w:r>
          </w:p>
          <w:p w14:paraId="6DBB31C1">
            <w:pPr>
              <w:adjustRightInd w:val="0"/>
              <w:snapToGrid w:val="0"/>
              <w:spacing w:line="36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二</w:t>
            </w:r>
            <w:r>
              <w:rPr>
                <w:b/>
                <w:color w:val="000000" w:themeColor="text1"/>
                <w:sz w:val="24"/>
                <w14:textFill>
                  <w14:solidFill>
                    <w14:schemeClr w14:val="tx1"/>
                  </w14:solidFill>
                </w14:textFill>
              </w:rPr>
              <w:t>、建设内容</w:t>
            </w:r>
          </w:p>
          <w:p w14:paraId="7E9545B3">
            <w:pPr>
              <w:widowControl/>
              <w:autoSpaceDE w:val="0"/>
              <w:autoSpaceDN w:val="0"/>
              <w:snapToGrid w:val="0"/>
              <w:spacing w:line="360" w:lineRule="auto"/>
              <w:ind w:firstLine="480" w:firstLineChars="200"/>
              <w:jc w:val="left"/>
              <w:rPr>
                <w:bCs/>
                <w:color w:val="000000" w:themeColor="text1"/>
                <w:sz w:val="24"/>
                <w14:textFill>
                  <w14:solidFill>
                    <w14:schemeClr w14:val="tx1"/>
                  </w14:solidFill>
                </w14:textFill>
              </w:rPr>
            </w:pPr>
            <w:r>
              <w:rPr>
                <w:color w:val="000000" w:themeColor="text1"/>
                <w:sz w:val="24"/>
                <w14:textFill>
                  <w14:solidFill>
                    <w14:schemeClr w14:val="tx1"/>
                  </w14:solidFill>
                </w14:textFill>
              </w:rPr>
              <w:t>项目</w:t>
            </w:r>
            <w:r>
              <w:rPr>
                <w:rFonts w:hint="eastAsia"/>
                <w:color w:val="000000" w:themeColor="text1"/>
                <w:sz w:val="24"/>
                <w14:textFill>
                  <w14:solidFill>
                    <w14:schemeClr w14:val="tx1"/>
                  </w14:solidFill>
                </w14:textFill>
              </w:rPr>
              <w:t>总占地面积4014</w:t>
            </w:r>
            <w:r>
              <w:rPr>
                <w:color w:val="000000" w:themeColor="text1"/>
                <w:sz w:val="24"/>
                <w14:textFill>
                  <w14:solidFill>
                    <w14:schemeClr w14:val="tx1"/>
                  </w14:solidFill>
                </w14:textFill>
              </w:rPr>
              <w:t>m</w:t>
            </w:r>
            <w:r>
              <w:rPr>
                <w:color w:val="000000" w:themeColor="text1"/>
                <w:sz w:val="24"/>
                <w:vertAlign w:val="superscript"/>
                <w14:textFill>
                  <w14:solidFill>
                    <w14:schemeClr w14:val="tx1"/>
                  </w14:solidFill>
                </w14:textFill>
              </w:rPr>
              <w:t>2</w:t>
            </w:r>
            <w:r>
              <w:rPr>
                <w:rFonts w:hint="eastAsia"/>
                <w:color w:val="000000" w:themeColor="text1"/>
                <w:sz w:val="24"/>
                <w14:textFill>
                  <w14:solidFill>
                    <w14:schemeClr w14:val="tx1"/>
                  </w14:solidFill>
                </w14:textFill>
              </w:rPr>
              <w:t>，包含2幢生产厂房，西侧厂房建筑面积3024</w:t>
            </w:r>
            <w:r>
              <w:rPr>
                <w:color w:val="000000" w:themeColor="text1"/>
                <w:sz w:val="24"/>
                <w14:textFill>
                  <w14:solidFill>
                    <w14:schemeClr w14:val="tx1"/>
                  </w14:solidFill>
                </w14:textFill>
              </w:rPr>
              <w:t>m</w:t>
            </w:r>
            <w:r>
              <w:rPr>
                <w:color w:val="000000" w:themeColor="text1"/>
                <w:sz w:val="24"/>
                <w:vertAlign w:val="superscript"/>
                <w14:textFill>
                  <w14:solidFill>
                    <w14:schemeClr w14:val="tx1"/>
                  </w14:solidFill>
                </w14:textFill>
              </w:rPr>
              <w:t>2</w:t>
            </w:r>
            <w:r>
              <w:rPr>
                <w:rFonts w:hint="eastAsia"/>
                <w:color w:val="000000" w:themeColor="text1"/>
                <w:sz w:val="24"/>
                <w14:textFill>
                  <w14:solidFill>
                    <w14:schemeClr w14:val="tx1"/>
                  </w14:solidFill>
                </w14:textFill>
              </w:rPr>
              <w:t>，东侧厂房建筑面积990</w:t>
            </w:r>
            <w:r>
              <w:rPr>
                <w:color w:val="000000" w:themeColor="text1"/>
                <w:sz w:val="24"/>
                <w14:textFill>
                  <w14:solidFill>
                    <w14:schemeClr w14:val="tx1"/>
                  </w14:solidFill>
                </w14:textFill>
              </w:rPr>
              <w:t>m</w:t>
            </w:r>
            <w:r>
              <w:rPr>
                <w:color w:val="000000" w:themeColor="text1"/>
                <w:sz w:val="24"/>
                <w:vertAlign w:val="superscript"/>
                <w14:textFill>
                  <w14:solidFill>
                    <w14:schemeClr w14:val="tx1"/>
                  </w14:solidFill>
                </w14:textFill>
              </w:rPr>
              <w:t>2</w:t>
            </w:r>
            <w:r>
              <w:rPr>
                <w:rFonts w:hint="eastAsia"/>
                <w:color w:val="000000" w:themeColor="text1"/>
                <w:sz w:val="24"/>
                <w14:textFill>
                  <w14:solidFill>
                    <w14:schemeClr w14:val="tx1"/>
                  </w14:solidFill>
                </w14:textFill>
              </w:rPr>
              <w:t>，主要利用已建建筑建成包括原料库、生产区、成品库及配套环保设施等，办公生活设施依托云南建工云岭水泥有限公司已建的配套设施。</w:t>
            </w:r>
            <w:r>
              <w:rPr>
                <w:bCs/>
                <w:color w:val="000000" w:themeColor="text1"/>
                <w:sz w:val="24"/>
                <w14:textFill>
                  <w14:solidFill>
                    <w14:schemeClr w14:val="tx1"/>
                  </w14:solidFill>
                </w14:textFill>
              </w:rPr>
              <w:t>建设内容包含主体工程、辅助工程、公用工程和环保工程，建设内容详见下表。</w:t>
            </w:r>
          </w:p>
          <w:p w14:paraId="6CB6B4AC">
            <w:pPr>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表2-1  工程建设内容表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4"/>
              <w:gridCol w:w="673"/>
              <w:gridCol w:w="1304"/>
              <w:gridCol w:w="4405"/>
              <w:gridCol w:w="799"/>
            </w:tblGrid>
            <w:tr w14:paraId="72920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4" w:type="dxa"/>
                  <w:vAlign w:val="center"/>
                </w:tcPr>
                <w:p w14:paraId="549DF256">
                  <w:pPr>
                    <w:jc w:val="center"/>
                    <w:outlineLvl w:val="0"/>
                    <w:rPr>
                      <w:b/>
                      <w:bCs/>
                      <w:color w:val="000000" w:themeColor="text1"/>
                      <w:szCs w:val="21"/>
                      <w14:textFill>
                        <w14:solidFill>
                          <w14:schemeClr w14:val="tx1"/>
                        </w14:solidFill>
                      </w14:textFill>
                    </w:rPr>
                  </w:pPr>
                  <w:bookmarkStart w:id="12" w:name="_Toc31508"/>
                  <w:r>
                    <w:rPr>
                      <w:b/>
                      <w:bCs/>
                      <w:color w:val="000000" w:themeColor="text1"/>
                      <w:szCs w:val="21"/>
                      <w14:textFill>
                        <w14:solidFill>
                          <w14:schemeClr w14:val="tx1"/>
                        </w14:solidFill>
                      </w14:textFill>
                    </w:rPr>
                    <w:t>工程</w:t>
                  </w:r>
                  <w:bookmarkEnd w:id="12"/>
                </w:p>
                <w:p w14:paraId="16C662C8">
                  <w:pPr>
                    <w:jc w:val="center"/>
                    <w:outlineLvl w:val="0"/>
                    <w:rPr>
                      <w:b/>
                      <w:bCs/>
                      <w:color w:val="000000" w:themeColor="text1"/>
                      <w:szCs w:val="21"/>
                      <w14:textFill>
                        <w14:solidFill>
                          <w14:schemeClr w14:val="tx1"/>
                        </w14:solidFill>
                      </w14:textFill>
                    </w:rPr>
                  </w:pPr>
                  <w:bookmarkStart w:id="13" w:name="_Toc24910"/>
                  <w:r>
                    <w:rPr>
                      <w:b/>
                      <w:bCs/>
                      <w:color w:val="000000" w:themeColor="text1"/>
                      <w:szCs w:val="21"/>
                      <w14:textFill>
                        <w14:solidFill>
                          <w14:schemeClr w14:val="tx1"/>
                        </w14:solidFill>
                      </w14:textFill>
                    </w:rPr>
                    <w:t>类别</w:t>
                  </w:r>
                  <w:bookmarkEnd w:id="13"/>
                </w:p>
              </w:tc>
              <w:tc>
                <w:tcPr>
                  <w:tcW w:w="1977" w:type="dxa"/>
                  <w:gridSpan w:val="2"/>
                  <w:vAlign w:val="center"/>
                </w:tcPr>
                <w:p w14:paraId="752A58F3">
                  <w:pPr>
                    <w:jc w:val="center"/>
                    <w:outlineLvl w:val="0"/>
                    <w:rPr>
                      <w:b/>
                      <w:bCs/>
                      <w:color w:val="000000" w:themeColor="text1"/>
                      <w:szCs w:val="21"/>
                      <w14:textFill>
                        <w14:solidFill>
                          <w14:schemeClr w14:val="tx1"/>
                        </w14:solidFill>
                      </w14:textFill>
                    </w:rPr>
                  </w:pPr>
                  <w:bookmarkStart w:id="14" w:name="_Toc13699"/>
                  <w:r>
                    <w:rPr>
                      <w:b/>
                      <w:bCs/>
                      <w:color w:val="000000" w:themeColor="text1"/>
                      <w:szCs w:val="21"/>
                      <w14:textFill>
                        <w14:solidFill>
                          <w14:schemeClr w14:val="tx1"/>
                        </w14:solidFill>
                      </w14:textFill>
                    </w:rPr>
                    <w:t>工程名称</w:t>
                  </w:r>
                  <w:bookmarkEnd w:id="14"/>
                </w:p>
              </w:tc>
              <w:tc>
                <w:tcPr>
                  <w:tcW w:w="4405" w:type="dxa"/>
                  <w:vAlign w:val="center"/>
                </w:tcPr>
                <w:p w14:paraId="6E2F3508">
                  <w:pPr>
                    <w:jc w:val="center"/>
                    <w:outlineLvl w:val="0"/>
                    <w:rPr>
                      <w:b/>
                      <w:bCs/>
                      <w:color w:val="000000" w:themeColor="text1"/>
                      <w:szCs w:val="21"/>
                      <w14:textFill>
                        <w14:solidFill>
                          <w14:schemeClr w14:val="tx1"/>
                        </w14:solidFill>
                      </w14:textFill>
                    </w:rPr>
                  </w:pPr>
                  <w:bookmarkStart w:id="15" w:name="_Toc18027"/>
                  <w:r>
                    <w:rPr>
                      <w:b/>
                      <w:bCs/>
                      <w:color w:val="000000" w:themeColor="text1"/>
                      <w:szCs w:val="21"/>
                      <w14:textFill>
                        <w14:solidFill>
                          <w14:schemeClr w14:val="tx1"/>
                        </w14:solidFill>
                      </w14:textFill>
                    </w:rPr>
                    <w:t>工程内容</w:t>
                  </w:r>
                  <w:bookmarkEnd w:id="15"/>
                </w:p>
              </w:tc>
              <w:tc>
                <w:tcPr>
                  <w:tcW w:w="799" w:type="dxa"/>
                  <w:vAlign w:val="center"/>
                </w:tcPr>
                <w:p w14:paraId="58E3E81E">
                  <w:pPr>
                    <w:jc w:val="center"/>
                    <w:outlineLvl w:val="0"/>
                    <w:rPr>
                      <w:b/>
                      <w:bCs/>
                      <w:color w:val="000000" w:themeColor="text1"/>
                      <w:szCs w:val="21"/>
                      <w14:textFill>
                        <w14:solidFill>
                          <w14:schemeClr w14:val="tx1"/>
                        </w14:solidFill>
                      </w14:textFill>
                    </w:rPr>
                  </w:pPr>
                  <w:bookmarkStart w:id="16" w:name="_Toc17548"/>
                  <w:r>
                    <w:rPr>
                      <w:b/>
                      <w:bCs/>
                      <w:color w:val="000000" w:themeColor="text1"/>
                      <w:szCs w:val="21"/>
                      <w14:textFill>
                        <w14:solidFill>
                          <w14:schemeClr w14:val="tx1"/>
                        </w14:solidFill>
                      </w14:textFill>
                    </w:rPr>
                    <w:t>备注</w:t>
                  </w:r>
                  <w:bookmarkEnd w:id="16"/>
                </w:p>
              </w:tc>
            </w:tr>
            <w:tr w14:paraId="5B168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54" w:type="dxa"/>
                  <w:vMerge w:val="restart"/>
                  <w:vAlign w:val="center"/>
                </w:tcPr>
                <w:p w14:paraId="6B72A2FA">
                  <w:pPr>
                    <w:jc w:val="center"/>
                    <w:rPr>
                      <w:color w:val="000000" w:themeColor="text1"/>
                      <w14:textFill>
                        <w14:solidFill>
                          <w14:schemeClr w14:val="tx1"/>
                        </w14:solidFill>
                      </w14:textFill>
                    </w:rPr>
                  </w:pPr>
                  <w:r>
                    <w:rPr>
                      <w:rFonts w:hint="eastAsia"/>
                      <w:b/>
                      <w:bCs/>
                      <w:color w:val="000000" w:themeColor="text1"/>
                      <w14:textFill>
                        <w14:solidFill>
                          <w14:schemeClr w14:val="tx1"/>
                        </w14:solidFill>
                      </w14:textFill>
                    </w:rPr>
                    <w:t>主体工程</w:t>
                  </w:r>
                </w:p>
              </w:tc>
              <w:tc>
                <w:tcPr>
                  <w:tcW w:w="673" w:type="dxa"/>
                  <w:vMerge w:val="restart"/>
                  <w:vAlign w:val="center"/>
                </w:tcPr>
                <w:p w14:paraId="529318A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生产厂房（西区）</w:t>
                  </w:r>
                </w:p>
              </w:tc>
              <w:tc>
                <w:tcPr>
                  <w:tcW w:w="1304" w:type="dxa"/>
                  <w:vAlign w:val="center"/>
                </w:tcPr>
                <w:p w14:paraId="7B5C91B6">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原料库</w:t>
                  </w:r>
                </w:p>
              </w:tc>
              <w:tc>
                <w:tcPr>
                  <w:tcW w:w="4405" w:type="dxa"/>
                  <w:vAlign w:val="center"/>
                </w:tcPr>
                <w:p w14:paraId="1291176C">
                  <w:pPr>
                    <w:jc w:val="center"/>
                    <w:rPr>
                      <w:rFonts w:eastAsiaTheme="minor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原料库位于西区生产厂房的西面，占地面积250m</w:t>
                  </w:r>
                  <w:r>
                    <w:rPr>
                      <w:rFonts w:hint="eastAsia"/>
                      <w:color w:val="000000" w:themeColor="text1"/>
                      <w:szCs w:val="21"/>
                      <w:vertAlign w:val="superscript"/>
                      <w14:textFill>
                        <w14:solidFill>
                          <w14:schemeClr w14:val="tx1"/>
                        </w14:solidFill>
                      </w14:textFill>
                    </w:rPr>
                    <w:t>2</w:t>
                  </w:r>
                  <w:r>
                    <w:rPr>
                      <w:rFonts w:hint="eastAsia"/>
                      <w:color w:val="000000" w:themeColor="text1"/>
                      <w:szCs w:val="21"/>
                      <w14:textFill>
                        <w14:solidFill>
                          <w14:schemeClr w14:val="tx1"/>
                        </w14:solidFill>
                      </w14:textFill>
                    </w:rPr>
                    <w:t>，可满足750m</w:t>
                  </w:r>
                  <w:r>
                    <w:rPr>
                      <w:rFonts w:hint="eastAsia"/>
                      <w:color w:val="000000" w:themeColor="text1"/>
                      <w:szCs w:val="21"/>
                      <w:vertAlign w:val="superscript"/>
                      <w14:textFill>
                        <w14:solidFill>
                          <w14:schemeClr w14:val="tx1"/>
                        </w14:solidFill>
                      </w14:textFill>
                    </w:rPr>
                    <w:t>3</w:t>
                  </w:r>
                  <w:r>
                    <w:rPr>
                      <w:rFonts w:hint="eastAsia"/>
                      <w:color w:val="000000" w:themeColor="text1"/>
                      <w:szCs w:val="21"/>
                      <w14:textFill>
                        <w14:solidFill>
                          <w14:schemeClr w14:val="tx1"/>
                        </w14:solidFill>
                      </w14:textFill>
                    </w:rPr>
                    <w:t>的物料堆存，轻钢结构H=8m/1F，分区用于堆存锯木屑、尿素和发酵剂，低变质褐煤即买即用。原料库按照《一般工业固体废物贮存和填埋污染控制标准》（GB18599-2020）进行建设，</w:t>
                  </w:r>
                  <w:r>
                    <w:rPr>
                      <w:rFonts w:eastAsiaTheme="minorEastAsia"/>
                      <w:color w:val="000000" w:themeColor="text1"/>
                      <w14:textFill>
                        <w14:solidFill>
                          <w14:schemeClr w14:val="tx1"/>
                        </w14:solidFill>
                      </w14:textFill>
                    </w:rPr>
                    <w:t>防渗要求：渗透系数≤10</w:t>
                  </w:r>
                  <w:r>
                    <w:rPr>
                      <w:rFonts w:eastAsiaTheme="minorEastAsia"/>
                      <w:color w:val="000000" w:themeColor="text1"/>
                      <w:vertAlign w:val="superscript"/>
                      <w14:textFill>
                        <w14:solidFill>
                          <w14:schemeClr w14:val="tx1"/>
                        </w14:solidFill>
                      </w14:textFill>
                    </w:rPr>
                    <w:t>-7</w:t>
                  </w:r>
                  <w:r>
                    <w:rPr>
                      <w:rFonts w:eastAsiaTheme="minorEastAsia"/>
                      <w:color w:val="000000" w:themeColor="text1"/>
                      <w14:textFill>
                        <w14:solidFill>
                          <w14:schemeClr w14:val="tx1"/>
                        </w14:solidFill>
                      </w14:textFill>
                    </w:rPr>
                    <w:t>cm/s</w:t>
                  </w:r>
                  <w:r>
                    <w:rPr>
                      <w:rFonts w:hint="eastAsia" w:eastAsiaTheme="minorEastAsia"/>
                      <w:color w:val="000000" w:themeColor="text1"/>
                      <w14:textFill>
                        <w14:solidFill>
                          <w14:schemeClr w14:val="tx1"/>
                        </w14:solidFill>
                      </w14:textFill>
                    </w:rPr>
                    <w:t>。</w:t>
                  </w:r>
                </w:p>
              </w:tc>
              <w:tc>
                <w:tcPr>
                  <w:tcW w:w="799" w:type="dxa"/>
                  <w:vAlign w:val="center"/>
                </w:tcPr>
                <w:p w14:paraId="61016C78">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利旧改造</w:t>
                  </w:r>
                </w:p>
              </w:tc>
            </w:tr>
            <w:tr w14:paraId="79B82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4" w:type="dxa"/>
                  <w:vMerge w:val="continue"/>
                  <w:vAlign w:val="center"/>
                </w:tcPr>
                <w:p w14:paraId="69582C21">
                  <w:pPr>
                    <w:jc w:val="center"/>
                    <w:rPr>
                      <w:color w:val="000000" w:themeColor="text1"/>
                      <w:szCs w:val="21"/>
                      <w14:textFill>
                        <w14:solidFill>
                          <w14:schemeClr w14:val="tx1"/>
                        </w14:solidFill>
                      </w14:textFill>
                    </w:rPr>
                  </w:pPr>
                </w:p>
              </w:tc>
              <w:tc>
                <w:tcPr>
                  <w:tcW w:w="673" w:type="dxa"/>
                  <w:vMerge w:val="continue"/>
                  <w:vAlign w:val="center"/>
                </w:tcPr>
                <w:p w14:paraId="64C7E4C1">
                  <w:pPr>
                    <w:jc w:val="center"/>
                    <w:rPr>
                      <w:color w:val="000000" w:themeColor="text1"/>
                      <w:szCs w:val="21"/>
                      <w14:textFill>
                        <w14:solidFill>
                          <w14:schemeClr w14:val="tx1"/>
                        </w14:solidFill>
                      </w14:textFill>
                    </w:rPr>
                  </w:pPr>
                </w:p>
              </w:tc>
              <w:tc>
                <w:tcPr>
                  <w:tcW w:w="1304" w:type="dxa"/>
                  <w:vAlign w:val="center"/>
                </w:tcPr>
                <w:p w14:paraId="70F1F47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拌合区</w:t>
                  </w:r>
                </w:p>
              </w:tc>
              <w:tc>
                <w:tcPr>
                  <w:tcW w:w="4405" w:type="dxa"/>
                  <w:vAlign w:val="center"/>
                </w:tcPr>
                <w:p w14:paraId="1F23CE47">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拌合区位于西区生产厂房的中部，占地面积200m</w:t>
                  </w:r>
                  <w:r>
                    <w:rPr>
                      <w:rFonts w:hint="eastAsia"/>
                      <w:color w:val="000000" w:themeColor="text1"/>
                      <w:szCs w:val="21"/>
                      <w:vertAlign w:val="superscript"/>
                      <w14:textFill>
                        <w14:solidFill>
                          <w14:schemeClr w14:val="tx1"/>
                        </w14:solidFill>
                      </w14:textFill>
                    </w:rPr>
                    <w:t>2</w:t>
                  </w:r>
                  <w:r>
                    <w:rPr>
                      <w:rFonts w:hint="eastAsia"/>
                      <w:color w:val="000000" w:themeColor="text1"/>
                      <w:szCs w:val="21"/>
                      <w14:textFill>
                        <w14:solidFill>
                          <w14:schemeClr w14:val="tx1"/>
                        </w14:solidFill>
                      </w14:textFill>
                    </w:rPr>
                    <w:t>，轻钢结构H=8m/1F，主要用于低变质褐煤、锯木屑的拌合。</w:t>
                  </w:r>
                </w:p>
              </w:tc>
              <w:tc>
                <w:tcPr>
                  <w:tcW w:w="799" w:type="dxa"/>
                  <w:vAlign w:val="center"/>
                </w:tcPr>
                <w:p w14:paraId="0BBA251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利旧改造</w:t>
                  </w:r>
                </w:p>
              </w:tc>
            </w:tr>
            <w:tr w14:paraId="34D75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jc w:val="center"/>
              </w:trPr>
              <w:tc>
                <w:tcPr>
                  <w:tcW w:w="754" w:type="dxa"/>
                  <w:vMerge w:val="continue"/>
                  <w:vAlign w:val="center"/>
                </w:tcPr>
                <w:p w14:paraId="791A4482">
                  <w:pPr>
                    <w:jc w:val="center"/>
                    <w:rPr>
                      <w:color w:val="000000" w:themeColor="text1"/>
                      <w:szCs w:val="21"/>
                      <w14:textFill>
                        <w14:solidFill>
                          <w14:schemeClr w14:val="tx1"/>
                        </w14:solidFill>
                      </w14:textFill>
                    </w:rPr>
                  </w:pPr>
                </w:p>
              </w:tc>
              <w:tc>
                <w:tcPr>
                  <w:tcW w:w="673" w:type="dxa"/>
                  <w:vMerge w:val="continue"/>
                  <w:vAlign w:val="center"/>
                </w:tcPr>
                <w:p w14:paraId="4A673A98">
                  <w:pPr>
                    <w:jc w:val="center"/>
                    <w:rPr>
                      <w:color w:val="000000" w:themeColor="text1"/>
                      <w:szCs w:val="21"/>
                      <w14:textFill>
                        <w14:solidFill>
                          <w14:schemeClr w14:val="tx1"/>
                        </w14:solidFill>
                      </w14:textFill>
                    </w:rPr>
                  </w:pPr>
                </w:p>
              </w:tc>
              <w:tc>
                <w:tcPr>
                  <w:tcW w:w="1304" w:type="dxa"/>
                  <w:vAlign w:val="center"/>
                </w:tcPr>
                <w:p w14:paraId="759CBF6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发酵区</w:t>
                  </w:r>
                </w:p>
              </w:tc>
              <w:tc>
                <w:tcPr>
                  <w:tcW w:w="4405" w:type="dxa"/>
                  <w:vAlign w:val="center"/>
                </w:tcPr>
                <w:p w14:paraId="0A7F756C">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发酵区位于西区生产厂房的东部，拌合区的东侧，占地面积2574m</w:t>
                  </w:r>
                  <w:r>
                    <w:rPr>
                      <w:rFonts w:hint="eastAsia"/>
                      <w:color w:val="000000" w:themeColor="text1"/>
                      <w:szCs w:val="21"/>
                      <w:vertAlign w:val="superscript"/>
                      <w14:textFill>
                        <w14:solidFill>
                          <w14:schemeClr w14:val="tx1"/>
                        </w14:solidFill>
                      </w14:textFill>
                    </w:rPr>
                    <w:t>2</w:t>
                  </w:r>
                  <w:r>
                    <w:rPr>
                      <w:rFonts w:hint="eastAsia"/>
                      <w:color w:val="000000" w:themeColor="text1"/>
                      <w:szCs w:val="21"/>
                      <w14:textFill>
                        <w14:solidFill>
                          <w14:schemeClr w14:val="tx1"/>
                        </w14:solidFill>
                      </w14:textFill>
                    </w:rPr>
                    <w:t>，轻钢结构H=8m/1F，</w:t>
                  </w:r>
                  <w:r>
                    <w:rPr>
                      <w:color w:val="000000" w:themeColor="text1"/>
                      <w:szCs w:val="21"/>
                      <w14:textFill>
                        <w14:solidFill>
                          <w14:schemeClr w14:val="tx1"/>
                        </w14:solidFill>
                      </w14:textFill>
                    </w:rPr>
                    <w:t>车间内设置生产线一条</w:t>
                  </w:r>
                  <w:r>
                    <w:rPr>
                      <w:rFonts w:hint="eastAsia"/>
                      <w:color w:val="000000" w:themeColor="text1"/>
                      <w:szCs w:val="21"/>
                      <w14:textFill>
                        <w14:solidFill>
                          <w14:schemeClr w14:val="tx1"/>
                        </w14:solidFill>
                      </w14:textFill>
                    </w:rPr>
                    <w:t>，原料混合后在发酵车间进行发酵。位于发酵区设置110m收集沟，地势低处设置1个渗滤液收集池，渗滤液经收集后回用于发酵工序</w:t>
                  </w:r>
                </w:p>
              </w:tc>
              <w:tc>
                <w:tcPr>
                  <w:tcW w:w="799" w:type="dxa"/>
                  <w:vAlign w:val="center"/>
                </w:tcPr>
                <w:p w14:paraId="144ADDE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利旧改造</w:t>
                  </w:r>
                </w:p>
              </w:tc>
            </w:tr>
            <w:tr w14:paraId="262A9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754" w:type="dxa"/>
                  <w:vMerge w:val="continue"/>
                  <w:vAlign w:val="center"/>
                </w:tcPr>
                <w:p w14:paraId="35290339">
                  <w:pPr>
                    <w:pStyle w:val="12"/>
                    <w:rPr>
                      <w:rFonts w:ascii="Times New Roman" w:hAnsi="Times New Roman"/>
                      <w:b/>
                      <w:bCs/>
                      <w:color w:val="000000" w:themeColor="text1"/>
                      <w:szCs w:val="21"/>
                      <w14:textFill>
                        <w14:solidFill>
                          <w14:schemeClr w14:val="tx1"/>
                        </w14:solidFill>
                      </w14:textFill>
                    </w:rPr>
                  </w:pPr>
                </w:p>
              </w:tc>
              <w:tc>
                <w:tcPr>
                  <w:tcW w:w="673" w:type="dxa"/>
                  <w:vMerge w:val="restart"/>
                  <w:vAlign w:val="center"/>
                </w:tcPr>
                <w:p w14:paraId="2E190F1E">
                  <w:pPr>
                    <w:jc w:val="cente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生产厂房（东区）</w:t>
                  </w:r>
                </w:p>
              </w:tc>
              <w:tc>
                <w:tcPr>
                  <w:tcW w:w="1304" w:type="dxa"/>
                  <w:vAlign w:val="center"/>
                </w:tcPr>
                <w:p w14:paraId="639B7841">
                  <w:pPr>
                    <w:jc w:val="center"/>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包装区</w:t>
                  </w:r>
                </w:p>
              </w:tc>
              <w:tc>
                <w:tcPr>
                  <w:tcW w:w="4405" w:type="dxa"/>
                  <w:vAlign w:val="center"/>
                </w:tcPr>
                <w:p w14:paraId="0CB28E66">
                  <w:pPr>
                    <w:jc w:val="center"/>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包装区位于东区生产厂房的北部，占地面积245m</w:t>
                  </w:r>
                  <w:r>
                    <w:rPr>
                      <w:rFonts w:hint="eastAsia"/>
                      <w:color w:val="000000" w:themeColor="text1"/>
                      <w:szCs w:val="21"/>
                      <w:vertAlign w:val="superscript"/>
                      <w14:textFill>
                        <w14:solidFill>
                          <w14:schemeClr w14:val="tx1"/>
                        </w14:solidFill>
                      </w14:textFill>
                    </w:rPr>
                    <w:t>2</w:t>
                  </w:r>
                  <w:r>
                    <w:rPr>
                      <w:rFonts w:hint="eastAsia"/>
                      <w:color w:val="000000" w:themeColor="text1"/>
                      <w:szCs w:val="21"/>
                      <w14:textFill>
                        <w14:solidFill>
                          <w14:schemeClr w14:val="tx1"/>
                        </w14:solidFill>
                      </w14:textFill>
                    </w:rPr>
                    <w:t>，轻钢结构H=8m/1F，主要用于产品的包装。</w:t>
                  </w:r>
                </w:p>
              </w:tc>
              <w:tc>
                <w:tcPr>
                  <w:tcW w:w="799" w:type="dxa"/>
                  <w:vAlign w:val="center"/>
                </w:tcPr>
                <w:p w14:paraId="4876947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利旧改造</w:t>
                  </w:r>
                </w:p>
              </w:tc>
            </w:tr>
            <w:tr w14:paraId="20A3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4" w:type="dxa"/>
                  <w:vMerge w:val="continue"/>
                  <w:vAlign w:val="center"/>
                </w:tcPr>
                <w:p w14:paraId="32913FDC">
                  <w:pPr>
                    <w:pStyle w:val="12"/>
                    <w:rPr>
                      <w:rFonts w:ascii="Times New Roman" w:hAnsi="Times New Roman"/>
                      <w:color w:val="000000" w:themeColor="text1"/>
                      <w14:textFill>
                        <w14:solidFill>
                          <w14:schemeClr w14:val="tx1"/>
                        </w14:solidFill>
                      </w14:textFill>
                    </w:rPr>
                  </w:pPr>
                </w:p>
              </w:tc>
              <w:tc>
                <w:tcPr>
                  <w:tcW w:w="673" w:type="dxa"/>
                  <w:vMerge w:val="continue"/>
                  <w:vAlign w:val="center"/>
                </w:tcPr>
                <w:p w14:paraId="098CC3C3">
                  <w:pPr>
                    <w:jc w:val="center"/>
                    <w:outlineLvl w:val="0"/>
                    <w:rPr>
                      <w:color w:val="000000" w:themeColor="text1"/>
                      <w:szCs w:val="21"/>
                      <w14:textFill>
                        <w14:solidFill>
                          <w14:schemeClr w14:val="tx1"/>
                        </w14:solidFill>
                      </w14:textFill>
                    </w:rPr>
                  </w:pPr>
                </w:p>
              </w:tc>
              <w:tc>
                <w:tcPr>
                  <w:tcW w:w="1304" w:type="dxa"/>
                  <w:vAlign w:val="center"/>
                </w:tcPr>
                <w:p w14:paraId="72D69F19">
                  <w:pPr>
                    <w:jc w:val="center"/>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车辆周转区</w:t>
                  </w:r>
                </w:p>
              </w:tc>
              <w:tc>
                <w:tcPr>
                  <w:tcW w:w="4405" w:type="dxa"/>
                  <w:vAlign w:val="center"/>
                </w:tcPr>
                <w:p w14:paraId="6A3D77D9">
                  <w:pPr>
                    <w:jc w:val="center"/>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车辆周转区位于东区生产厂房的中部，包装区南面，占地面积245m</w:t>
                  </w:r>
                  <w:r>
                    <w:rPr>
                      <w:rFonts w:hint="eastAsia"/>
                      <w:color w:val="000000" w:themeColor="text1"/>
                      <w:szCs w:val="21"/>
                      <w:vertAlign w:val="superscript"/>
                      <w14:textFill>
                        <w14:solidFill>
                          <w14:schemeClr w14:val="tx1"/>
                        </w14:solidFill>
                      </w14:textFill>
                    </w:rPr>
                    <w:t>2</w:t>
                  </w:r>
                  <w:r>
                    <w:rPr>
                      <w:rFonts w:hint="eastAsia"/>
                      <w:color w:val="000000" w:themeColor="text1"/>
                      <w:szCs w:val="21"/>
                      <w14:textFill>
                        <w14:solidFill>
                          <w14:schemeClr w14:val="tx1"/>
                        </w14:solidFill>
                      </w14:textFill>
                    </w:rPr>
                    <w:t>，轻钢结构H=8m/1F，主要用于车辆的装卸和周转。</w:t>
                  </w:r>
                </w:p>
              </w:tc>
              <w:tc>
                <w:tcPr>
                  <w:tcW w:w="799" w:type="dxa"/>
                  <w:vAlign w:val="center"/>
                </w:tcPr>
                <w:p w14:paraId="742C1D1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利旧改造</w:t>
                  </w:r>
                </w:p>
              </w:tc>
            </w:tr>
            <w:tr w14:paraId="4089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4" w:type="dxa"/>
                  <w:vMerge w:val="continue"/>
                  <w:vAlign w:val="center"/>
                </w:tcPr>
                <w:p w14:paraId="174A2D8A">
                  <w:pPr>
                    <w:pStyle w:val="12"/>
                    <w:rPr>
                      <w:rFonts w:ascii="Times New Roman" w:hAnsi="Times New Roman"/>
                      <w:color w:val="000000" w:themeColor="text1"/>
                      <w14:textFill>
                        <w14:solidFill>
                          <w14:schemeClr w14:val="tx1"/>
                        </w14:solidFill>
                      </w14:textFill>
                    </w:rPr>
                  </w:pPr>
                </w:p>
              </w:tc>
              <w:tc>
                <w:tcPr>
                  <w:tcW w:w="673" w:type="dxa"/>
                  <w:vMerge w:val="continue"/>
                  <w:vAlign w:val="center"/>
                </w:tcPr>
                <w:p w14:paraId="6CBA55A5">
                  <w:pPr>
                    <w:jc w:val="center"/>
                    <w:outlineLvl w:val="0"/>
                    <w:rPr>
                      <w:color w:val="000000" w:themeColor="text1"/>
                      <w:szCs w:val="21"/>
                      <w14:textFill>
                        <w14:solidFill>
                          <w14:schemeClr w14:val="tx1"/>
                        </w14:solidFill>
                      </w14:textFill>
                    </w:rPr>
                  </w:pPr>
                </w:p>
              </w:tc>
              <w:tc>
                <w:tcPr>
                  <w:tcW w:w="1304" w:type="dxa"/>
                  <w:vAlign w:val="center"/>
                </w:tcPr>
                <w:p w14:paraId="6934CAA4">
                  <w:pPr>
                    <w:jc w:val="center"/>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成品库</w:t>
                  </w:r>
                </w:p>
              </w:tc>
              <w:tc>
                <w:tcPr>
                  <w:tcW w:w="4405" w:type="dxa"/>
                  <w:vAlign w:val="center"/>
                </w:tcPr>
                <w:p w14:paraId="5624EAF7">
                  <w:pPr>
                    <w:jc w:val="center"/>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成品库位于东区生产厂房的南部，占地面积500m</w:t>
                  </w:r>
                  <w:r>
                    <w:rPr>
                      <w:rFonts w:hint="eastAsia"/>
                      <w:color w:val="000000" w:themeColor="text1"/>
                      <w:szCs w:val="21"/>
                      <w:vertAlign w:val="superscript"/>
                      <w14:textFill>
                        <w14:solidFill>
                          <w14:schemeClr w14:val="tx1"/>
                        </w14:solidFill>
                      </w14:textFill>
                    </w:rPr>
                    <w:t>2</w:t>
                  </w:r>
                  <w:r>
                    <w:rPr>
                      <w:rFonts w:hint="eastAsia"/>
                      <w:color w:val="000000" w:themeColor="text1"/>
                      <w:szCs w:val="21"/>
                      <w14:textFill>
                        <w14:solidFill>
                          <w14:schemeClr w14:val="tx1"/>
                        </w14:solidFill>
                      </w14:textFill>
                    </w:rPr>
                    <w:t>，轻钢结构H=8m/1F，主要用于堆放成品待售。</w:t>
                  </w:r>
                </w:p>
              </w:tc>
              <w:tc>
                <w:tcPr>
                  <w:tcW w:w="799" w:type="dxa"/>
                  <w:vAlign w:val="center"/>
                </w:tcPr>
                <w:p w14:paraId="0C0B36DF">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利旧改造</w:t>
                  </w:r>
                </w:p>
              </w:tc>
            </w:tr>
            <w:tr w14:paraId="6ACE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4" w:type="dxa"/>
                  <w:vMerge w:val="restart"/>
                  <w:vAlign w:val="center"/>
                </w:tcPr>
                <w:p w14:paraId="302644CA">
                  <w:pPr>
                    <w:jc w:val="center"/>
                    <w:outlineLvl w:val="0"/>
                    <w:rPr>
                      <w:b/>
                      <w:bCs/>
                      <w:color w:val="000000" w:themeColor="text1"/>
                      <w:szCs w:val="21"/>
                      <w14:textFill>
                        <w14:solidFill>
                          <w14:schemeClr w14:val="tx1"/>
                        </w14:solidFill>
                      </w14:textFill>
                    </w:rPr>
                  </w:pPr>
                  <w:bookmarkStart w:id="17" w:name="_Toc14473"/>
                  <w:r>
                    <w:rPr>
                      <w:b/>
                      <w:bCs/>
                      <w:color w:val="000000" w:themeColor="text1"/>
                      <w:szCs w:val="21"/>
                      <w14:textFill>
                        <w14:solidFill>
                          <w14:schemeClr w14:val="tx1"/>
                        </w14:solidFill>
                      </w14:textFill>
                    </w:rPr>
                    <w:t>辅助工程</w:t>
                  </w:r>
                  <w:bookmarkEnd w:id="17"/>
                </w:p>
              </w:tc>
              <w:tc>
                <w:tcPr>
                  <w:tcW w:w="1977" w:type="dxa"/>
                  <w:gridSpan w:val="2"/>
                  <w:shd w:val="clear" w:color="auto" w:fill="auto"/>
                  <w:vAlign w:val="center"/>
                </w:tcPr>
                <w:p w14:paraId="342D4F37">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办公</w:t>
                  </w:r>
                  <w:r>
                    <w:rPr>
                      <w:rFonts w:hint="eastAsia"/>
                      <w:color w:val="000000" w:themeColor="text1"/>
                      <w:kern w:val="0"/>
                      <w:szCs w:val="21"/>
                      <w14:textFill>
                        <w14:solidFill>
                          <w14:schemeClr w14:val="tx1"/>
                        </w14:solidFill>
                      </w14:textFill>
                    </w:rPr>
                    <w:t>生活区</w:t>
                  </w:r>
                </w:p>
              </w:tc>
              <w:tc>
                <w:tcPr>
                  <w:tcW w:w="4405" w:type="dxa"/>
                  <w:shd w:val="clear" w:color="auto" w:fill="auto"/>
                  <w:vAlign w:val="center"/>
                </w:tcPr>
                <w:p w14:paraId="2F07FE33">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项目区不设置办公生活区，依托云南建工云岭水泥有限公司已建的配套设施，位于项目东区生产厂房的东面150m处，</w:t>
                  </w:r>
                  <w:r>
                    <w:rPr>
                      <w:color w:val="000000" w:themeColor="text1"/>
                      <w:szCs w:val="21"/>
                      <w14:textFill>
                        <w14:solidFill>
                          <w14:schemeClr w14:val="tx1"/>
                        </w14:solidFill>
                      </w14:textFill>
                    </w:rPr>
                    <w:t>为</w:t>
                  </w:r>
                  <w:r>
                    <w:rPr>
                      <w:rFonts w:hint="eastAsia"/>
                      <w:color w:val="000000" w:themeColor="text1"/>
                      <w:szCs w:val="21"/>
                      <w14:textFill>
                        <w14:solidFill>
                          <w14:schemeClr w14:val="tx1"/>
                        </w14:solidFill>
                      </w14:textFill>
                    </w:rPr>
                    <w:t>4幢5层的砖混</w:t>
                  </w:r>
                  <w:r>
                    <w:rPr>
                      <w:color w:val="000000" w:themeColor="text1"/>
                      <w:szCs w:val="21"/>
                      <w14:textFill>
                        <w14:solidFill>
                          <w14:schemeClr w14:val="tx1"/>
                        </w14:solidFill>
                      </w14:textFill>
                    </w:rPr>
                    <w:t>结构，包含办公室</w:t>
                  </w:r>
                  <w:r>
                    <w:rPr>
                      <w:rFonts w:hint="eastAsia"/>
                      <w:color w:val="000000" w:themeColor="text1"/>
                      <w:szCs w:val="21"/>
                      <w14:textFill>
                        <w14:solidFill>
                          <w14:schemeClr w14:val="tx1"/>
                        </w14:solidFill>
                      </w14:textFill>
                    </w:rPr>
                    <w:t>、食堂</w:t>
                  </w:r>
                  <w:r>
                    <w:rPr>
                      <w:color w:val="000000" w:themeColor="text1"/>
                      <w:szCs w:val="21"/>
                      <w14:textFill>
                        <w14:solidFill>
                          <w14:schemeClr w14:val="tx1"/>
                        </w14:solidFill>
                      </w14:textFill>
                    </w:rPr>
                    <w:t>等</w:t>
                  </w:r>
                  <w:r>
                    <w:rPr>
                      <w:rFonts w:hint="eastAsia"/>
                      <w:color w:val="000000" w:themeColor="text1"/>
                      <w:szCs w:val="21"/>
                      <w14:textFill>
                        <w14:solidFill>
                          <w14:schemeClr w14:val="tx1"/>
                        </w14:solidFill>
                      </w14:textFill>
                    </w:rPr>
                    <w:t>。本项目租用其中一层。</w:t>
                  </w:r>
                </w:p>
              </w:tc>
              <w:tc>
                <w:tcPr>
                  <w:tcW w:w="799" w:type="dxa"/>
                  <w:shd w:val="clear" w:color="auto" w:fill="auto"/>
                  <w:vAlign w:val="center"/>
                </w:tcPr>
                <w:p w14:paraId="7283EEC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依托</w:t>
                  </w:r>
                  <w:r>
                    <w:rPr>
                      <w:rFonts w:hint="eastAsia"/>
                      <w:color w:val="000000" w:themeColor="text1"/>
                      <w:szCs w:val="21"/>
                      <w14:textFill>
                        <w14:solidFill>
                          <w14:schemeClr w14:val="tx1"/>
                        </w14:solidFill>
                      </w14:textFill>
                    </w:rPr>
                    <w:t>原有</w:t>
                  </w:r>
                </w:p>
              </w:tc>
            </w:tr>
            <w:tr w14:paraId="1FC4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54" w:type="dxa"/>
                  <w:vMerge w:val="continue"/>
                  <w:vAlign w:val="center"/>
                </w:tcPr>
                <w:p w14:paraId="23209114">
                  <w:pPr>
                    <w:jc w:val="center"/>
                    <w:rPr>
                      <w:b/>
                      <w:bCs/>
                      <w:color w:val="000000" w:themeColor="text1"/>
                      <w:szCs w:val="21"/>
                      <w14:textFill>
                        <w14:solidFill>
                          <w14:schemeClr w14:val="tx1"/>
                        </w14:solidFill>
                      </w14:textFill>
                    </w:rPr>
                  </w:pPr>
                </w:p>
              </w:tc>
              <w:tc>
                <w:tcPr>
                  <w:tcW w:w="1977" w:type="dxa"/>
                  <w:gridSpan w:val="2"/>
                  <w:shd w:val="clear" w:color="auto" w:fill="auto"/>
                  <w:vAlign w:val="center"/>
                </w:tcPr>
                <w:p w14:paraId="23185BD3">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出入口</w:t>
                  </w:r>
                </w:p>
              </w:tc>
              <w:tc>
                <w:tcPr>
                  <w:tcW w:w="4405" w:type="dxa"/>
                  <w:shd w:val="clear" w:color="auto" w:fill="auto"/>
                  <w:vAlign w:val="center"/>
                </w:tcPr>
                <w:p w14:paraId="165B348D">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云南建工云岭水泥有限公司位于整个厂区设置南北两个出入口，南侧出入口主要为人员进出口，北侧出入口主要为货物进出口；项目区东西两个厂房均设置有1个进出口便于物料运输。</w:t>
                  </w:r>
                </w:p>
              </w:tc>
              <w:tc>
                <w:tcPr>
                  <w:tcW w:w="799" w:type="dxa"/>
                  <w:shd w:val="clear" w:color="auto" w:fill="auto"/>
                  <w:vAlign w:val="center"/>
                </w:tcPr>
                <w:p w14:paraId="73244FB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依托</w:t>
                  </w:r>
                  <w:r>
                    <w:rPr>
                      <w:rFonts w:hint="eastAsia"/>
                      <w:color w:val="000000" w:themeColor="text1"/>
                      <w:szCs w:val="21"/>
                      <w14:textFill>
                        <w14:solidFill>
                          <w14:schemeClr w14:val="tx1"/>
                        </w14:solidFill>
                      </w14:textFill>
                    </w:rPr>
                    <w:t>原有</w:t>
                  </w:r>
                </w:p>
              </w:tc>
            </w:tr>
            <w:tr w14:paraId="711A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754" w:type="dxa"/>
                  <w:vMerge w:val="continue"/>
                  <w:vAlign w:val="center"/>
                </w:tcPr>
                <w:p w14:paraId="53487F22">
                  <w:pPr>
                    <w:jc w:val="center"/>
                    <w:rPr>
                      <w:b/>
                      <w:bCs/>
                      <w:color w:val="000000" w:themeColor="text1"/>
                      <w:szCs w:val="21"/>
                      <w14:textFill>
                        <w14:solidFill>
                          <w14:schemeClr w14:val="tx1"/>
                        </w14:solidFill>
                      </w14:textFill>
                    </w:rPr>
                  </w:pPr>
                </w:p>
              </w:tc>
              <w:tc>
                <w:tcPr>
                  <w:tcW w:w="1977" w:type="dxa"/>
                  <w:gridSpan w:val="2"/>
                  <w:vAlign w:val="center"/>
                </w:tcPr>
                <w:p w14:paraId="27511AEB">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公厕</w:t>
                  </w:r>
                </w:p>
              </w:tc>
              <w:tc>
                <w:tcPr>
                  <w:tcW w:w="4405" w:type="dxa"/>
                  <w:vAlign w:val="center"/>
                </w:tcPr>
                <w:p w14:paraId="028CA908">
                  <w:pPr>
                    <w:jc w:val="center"/>
                    <w:rPr>
                      <w:color w:val="000000" w:themeColor="text1"/>
                      <w:kern w:val="0"/>
                      <w:szCs w:val="21"/>
                      <w14:textFill>
                        <w14:solidFill>
                          <w14:schemeClr w14:val="tx1"/>
                        </w14:solidFill>
                      </w14:textFill>
                    </w:rPr>
                  </w:pPr>
                  <w:r>
                    <w:rPr>
                      <w:rFonts w:hint="eastAsia"/>
                      <w:color w:val="000000" w:themeColor="text1"/>
                      <w:szCs w:val="21"/>
                      <w14:textFill>
                        <w14:solidFill>
                          <w14:schemeClr w14:val="tx1"/>
                        </w14:solidFill>
                      </w14:textFill>
                    </w:rPr>
                    <w:t>项目区不设置公厕，依托云南建工云岭水泥有限公司办公生活区已建的配套设施。</w:t>
                  </w:r>
                </w:p>
              </w:tc>
              <w:tc>
                <w:tcPr>
                  <w:tcW w:w="799" w:type="dxa"/>
                  <w:vAlign w:val="center"/>
                </w:tcPr>
                <w:p w14:paraId="414FAAB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依托</w:t>
                  </w:r>
                  <w:r>
                    <w:rPr>
                      <w:rFonts w:hint="eastAsia"/>
                      <w:color w:val="000000" w:themeColor="text1"/>
                      <w:szCs w:val="21"/>
                      <w14:textFill>
                        <w14:solidFill>
                          <w14:schemeClr w14:val="tx1"/>
                        </w14:solidFill>
                      </w14:textFill>
                    </w:rPr>
                    <w:t>原有</w:t>
                  </w:r>
                </w:p>
              </w:tc>
            </w:tr>
            <w:tr w14:paraId="4F42F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4" w:type="dxa"/>
                  <w:vMerge w:val="restart"/>
                  <w:vAlign w:val="center"/>
                </w:tcPr>
                <w:p w14:paraId="346BF814">
                  <w:pPr>
                    <w:jc w:val="center"/>
                    <w:outlineLvl w:val="0"/>
                    <w:rPr>
                      <w:b/>
                      <w:bCs/>
                      <w:color w:val="000000" w:themeColor="text1"/>
                      <w:szCs w:val="21"/>
                      <w14:textFill>
                        <w14:solidFill>
                          <w14:schemeClr w14:val="tx1"/>
                        </w14:solidFill>
                      </w14:textFill>
                    </w:rPr>
                  </w:pPr>
                  <w:bookmarkStart w:id="18" w:name="_Toc23937"/>
                  <w:r>
                    <w:rPr>
                      <w:b/>
                      <w:bCs/>
                      <w:color w:val="000000" w:themeColor="text1"/>
                      <w:szCs w:val="21"/>
                      <w14:textFill>
                        <w14:solidFill>
                          <w14:schemeClr w14:val="tx1"/>
                        </w14:solidFill>
                      </w14:textFill>
                    </w:rPr>
                    <w:t>公用</w:t>
                  </w:r>
                  <w:bookmarkEnd w:id="18"/>
                </w:p>
                <w:p w14:paraId="1527D930">
                  <w:pPr>
                    <w:jc w:val="center"/>
                    <w:outlineLvl w:val="0"/>
                    <w:rPr>
                      <w:b/>
                      <w:bCs/>
                      <w:color w:val="000000" w:themeColor="text1"/>
                      <w:szCs w:val="21"/>
                      <w14:textFill>
                        <w14:solidFill>
                          <w14:schemeClr w14:val="tx1"/>
                        </w14:solidFill>
                      </w14:textFill>
                    </w:rPr>
                  </w:pPr>
                  <w:bookmarkStart w:id="19" w:name="_Toc5393"/>
                  <w:r>
                    <w:rPr>
                      <w:b/>
                      <w:bCs/>
                      <w:color w:val="000000" w:themeColor="text1"/>
                      <w:szCs w:val="21"/>
                      <w14:textFill>
                        <w14:solidFill>
                          <w14:schemeClr w14:val="tx1"/>
                        </w14:solidFill>
                      </w14:textFill>
                    </w:rPr>
                    <w:t>工程</w:t>
                  </w:r>
                  <w:bookmarkEnd w:id="19"/>
                </w:p>
                <w:p w14:paraId="6442E5CE">
                  <w:pPr>
                    <w:jc w:val="center"/>
                    <w:rPr>
                      <w:b/>
                      <w:bCs/>
                      <w:color w:val="000000" w:themeColor="text1"/>
                      <w:szCs w:val="21"/>
                      <w14:textFill>
                        <w14:solidFill>
                          <w14:schemeClr w14:val="tx1"/>
                        </w14:solidFill>
                      </w14:textFill>
                    </w:rPr>
                  </w:pPr>
                </w:p>
              </w:tc>
              <w:tc>
                <w:tcPr>
                  <w:tcW w:w="1977" w:type="dxa"/>
                  <w:gridSpan w:val="2"/>
                  <w:vAlign w:val="center"/>
                </w:tcPr>
                <w:p w14:paraId="38AD5B1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供电系统</w:t>
                  </w:r>
                </w:p>
              </w:tc>
              <w:tc>
                <w:tcPr>
                  <w:tcW w:w="4405" w:type="dxa"/>
                  <w:vAlign w:val="center"/>
                </w:tcPr>
                <w:p w14:paraId="5FC5D7B5">
                  <w:pPr>
                    <w:jc w:val="center"/>
                    <w:rPr>
                      <w:bCs/>
                      <w:color w:val="000000" w:themeColor="text1"/>
                      <w:szCs w:val="21"/>
                      <w14:textFill>
                        <w14:solidFill>
                          <w14:schemeClr w14:val="tx1"/>
                        </w14:solidFill>
                      </w14:textFill>
                    </w:rPr>
                  </w:pPr>
                  <w:r>
                    <w:rPr>
                      <w:color w:val="000000" w:themeColor="text1"/>
                      <w:szCs w:val="21"/>
                      <w14:textFill>
                        <w14:solidFill>
                          <w14:schemeClr w14:val="tx1"/>
                        </w14:solidFill>
                      </w14:textFill>
                    </w:rPr>
                    <w:t>项目用电由</w:t>
                  </w:r>
                  <w:r>
                    <w:rPr>
                      <w:rFonts w:hint="eastAsia"/>
                      <w:color w:val="000000" w:themeColor="text1"/>
                      <w:szCs w:val="21"/>
                      <w14:textFill>
                        <w14:solidFill>
                          <w14:schemeClr w14:val="tx1"/>
                        </w14:solidFill>
                      </w14:textFill>
                    </w:rPr>
                    <w:t>云南建工云岭水泥有限公司</w:t>
                  </w:r>
                  <w:r>
                    <w:rPr>
                      <w:color w:val="000000" w:themeColor="text1"/>
                      <w:szCs w:val="21"/>
                      <w14:textFill>
                        <w14:solidFill>
                          <w14:schemeClr w14:val="tx1"/>
                        </w14:solidFill>
                      </w14:textFill>
                    </w:rPr>
                    <w:t>已设</w:t>
                  </w:r>
                  <w:r>
                    <w:rPr>
                      <w:rFonts w:hint="eastAsia"/>
                      <w:color w:val="000000" w:themeColor="text1"/>
                      <w:szCs w:val="21"/>
                      <w14:textFill>
                        <w14:solidFill>
                          <w14:schemeClr w14:val="tx1"/>
                        </w14:solidFill>
                      </w14:textFill>
                    </w:rPr>
                    <w:t>的</w:t>
                  </w:r>
                  <w:r>
                    <w:rPr>
                      <w:color w:val="000000" w:themeColor="text1"/>
                      <w:szCs w:val="21"/>
                      <w14:textFill>
                        <w14:solidFill>
                          <w14:schemeClr w14:val="tx1"/>
                        </w14:solidFill>
                      </w14:textFill>
                    </w:rPr>
                    <w:t>供电设施接入</w:t>
                  </w:r>
                  <w:r>
                    <w:rPr>
                      <w:rFonts w:hint="eastAsia"/>
                      <w:color w:val="000000" w:themeColor="text1"/>
                      <w:szCs w:val="21"/>
                      <w14:textFill>
                        <w14:solidFill>
                          <w14:schemeClr w14:val="tx1"/>
                        </w14:solidFill>
                      </w14:textFill>
                    </w:rPr>
                    <w:t>。</w:t>
                  </w:r>
                </w:p>
              </w:tc>
              <w:tc>
                <w:tcPr>
                  <w:tcW w:w="799" w:type="dxa"/>
                  <w:vAlign w:val="center"/>
                </w:tcPr>
                <w:p w14:paraId="6C7D91C9">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已建</w:t>
                  </w:r>
                </w:p>
              </w:tc>
            </w:tr>
            <w:tr w14:paraId="3EF5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4" w:type="dxa"/>
                  <w:vMerge w:val="continue"/>
                  <w:vAlign w:val="center"/>
                </w:tcPr>
                <w:p w14:paraId="43E239BA">
                  <w:pPr>
                    <w:jc w:val="center"/>
                    <w:rPr>
                      <w:b/>
                      <w:bCs/>
                      <w:color w:val="000000" w:themeColor="text1"/>
                      <w:szCs w:val="21"/>
                      <w14:textFill>
                        <w14:solidFill>
                          <w14:schemeClr w14:val="tx1"/>
                        </w14:solidFill>
                      </w14:textFill>
                    </w:rPr>
                  </w:pPr>
                </w:p>
              </w:tc>
              <w:tc>
                <w:tcPr>
                  <w:tcW w:w="1977" w:type="dxa"/>
                  <w:gridSpan w:val="2"/>
                  <w:vAlign w:val="center"/>
                </w:tcPr>
                <w:p w14:paraId="32D5295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供水系统</w:t>
                  </w:r>
                </w:p>
              </w:tc>
              <w:tc>
                <w:tcPr>
                  <w:tcW w:w="4405" w:type="dxa"/>
                  <w:vAlign w:val="center"/>
                </w:tcPr>
                <w:p w14:paraId="6EB31E3B">
                  <w:pPr>
                    <w:jc w:val="center"/>
                    <w:rPr>
                      <w:bCs/>
                      <w:color w:val="000000" w:themeColor="text1"/>
                      <w:szCs w:val="21"/>
                      <w14:textFill>
                        <w14:solidFill>
                          <w14:schemeClr w14:val="tx1"/>
                        </w14:solidFill>
                      </w14:textFill>
                    </w:rPr>
                  </w:pPr>
                  <w:r>
                    <w:rPr>
                      <w:color w:val="000000" w:themeColor="text1"/>
                      <w:szCs w:val="21"/>
                      <w14:textFill>
                        <w14:solidFill>
                          <w14:schemeClr w14:val="tx1"/>
                        </w14:solidFill>
                      </w14:textFill>
                    </w:rPr>
                    <w:t>项目用水由</w:t>
                  </w:r>
                  <w:r>
                    <w:rPr>
                      <w:rFonts w:hint="eastAsia"/>
                      <w:color w:val="000000" w:themeColor="text1"/>
                      <w:szCs w:val="21"/>
                      <w14:textFill>
                        <w14:solidFill>
                          <w14:schemeClr w14:val="tx1"/>
                        </w14:solidFill>
                      </w14:textFill>
                    </w:rPr>
                    <w:t>云南建工云岭水泥有限公司已建</w:t>
                  </w:r>
                  <w:r>
                    <w:rPr>
                      <w:color w:val="000000" w:themeColor="text1"/>
                      <w:szCs w:val="21"/>
                      <w14:textFill>
                        <w14:solidFill>
                          <w14:schemeClr w14:val="tx1"/>
                        </w14:solidFill>
                      </w14:textFill>
                    </w:rPr>
                    <w:t>的供水管网</w:t>
                  </w:r>
                  <w:r>
                    <w:rPr>
                      <w:rFonts w:hint="eastAsia"/>
                      <w:color w:val="000000" w:themeColor="text1"/>
                      <w:szCs w:val="21"/>
                      <w14:textFill>
                        <w14:solidFill>
                          <w14:schemeClr w14:val="tx1"/>
                        </w14:solidFill>
                      </w14:textFill>
                    </w:rPr>
                    <w:t>供应。</w:t>
                  </w:r>
                </w:p>
              </w:tc>
              <w:tc>
                <w:tcPr>
                  <w:tcW w:w="799" w:type="dxa"/>
                  <w:vAlign w:val="center"/>
                </w:tcPr>
                <w:p w14:paraId="4CE3A3DF">
                  <w:pPr>
                    <w:jc w:val="center"/>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已建</w:t>
                  </w:r>
                </w:p>
              </w:tc>
            </w:tr>
            <w:tr w14:paraId="27C8B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4" w:type="dxa"/>
                  <w:vMerge w:val="continue"/>
                  <w:vAlign w:val="center"/>
                </w:tcPr>
                <w:p w14:paraId="4E5C8EAC">
                  <w:pPr>
                    <w:jc w:val="center"/>
                    <w:rPr>
                      <w:b/>
                      <w:bCs/>
                      <w:color w:val="000000" w:themeColor="text1"/>
                      <w:szCs w:val="21"/>
                      <w14:textFill>
                        <w14:solidFill>
                          <w14:schemeClr w14:val="tx1"/>
                        </w14:solidFill>
                      </w14:textFill>
                    </w:rPr>
                  </w:pPr>
                </w:p>
              </w:tc>
              <w:tc>
                <w:tcPr>
                  <w:tcW w:w="1977" w:type="dxa"/>
                  <w:gridSpan w:val="2"/>
                  <w:vAlign w:val="center"/>
                </w:tcPr>
                <w:p w14:paraId="051B23F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排水系统</w:t>
                  </w:r>
                </w:p>
              </w:tc>
              <w:tc>
                <w:tcPr>
                  <w:tcW w:w="4405" w:type="dxa"/>
                  <w:vAlign w:val="center"/>
                </w:tcPr>
                <w:p w14:paraId="0D4591A5">
                  <w:pPr>
                    <w:rPr>
                      <w:color w:val="000000" w:themeColor="text1"/>
                      <w14:textFill>
                        <w14:solidFill>
                          <w14:schemeClr w14:val="tx1"/>
                        </w14:solidFill>
                      </w14:textFill>
                    </w:rPr>
                  </w:pPr>
                  <w:r>
                    <w:rPr>
                      <w:rFonts w:hint="eastAsia"/>
                      <w:color w:val="000000" w:themeColor="text1"/>
                      <w14:textFill>
                        <w14:solidFill>
                          <w14:schemeClr w14:val="tx1"/>
                        </w14:solidFill>
                      </w14:textFill>
                    </w:rPr>
                    <w:t>雨水：</w:t>
                  </w:r>
                  <w:r>
                    <w:rPr>
                      <w:color w:val="000000" w:themeColor="text1"/>
                      <w14:textFill>
                        <w14:solidFill>
                          <w14:schemeClr w14:val="tx1"/>
                        </w14:solidFill>
                      </w14:textFill>
                    </w:rPr>
                    <w:t>厂区</w:t>
                  </w:r>
                  <w:r>
                    <w:rPr>
                      <w:rFonts w:hint="eastAsia"/>
                      <w:color w:val="000000" w:themeColor="text1"/>
                      <w14:textFill>
                        <w14:solidFill>
                          <w14:schemeClr w14:val="tx1"/>
                        </w14:solidFill>
                      </w14:textFill>
                    </w:rPr>
                    <w:t>内实行</w:t>
                  </w:r>
                  <w:r>
                    <w:rPr>
                      <w:color w:val="000000" w:themeColor="text1"/>
                      <w14:textFill>
                        <w14:solidFill>
                          <w14:schemeClr w14:val="tx1"/>
                        </w14:solidFill>
                      </w14:textFill>
                    </w:rPr>
                    <w:t>雨污分流，</w:t>
                  </w:r>
                  <w:r>
                    <w:rPr>
                      <w:rFonts w:hint="eastAsia"/>
                      <w:color w:val="000000" w:themeColor="text1"/>
                      <w14:textFill>
                        <w14:solidFill>
                          <w14:schemeClr w14:val="tx1"/>
                        </w14:solidFill>
                      </w14:textFill>
                    </w:rPr>
                    <w:t>初期雨水</w:t>
                  </w:r>
                  <w:r>
                    <w:rPr>
                      <w:color w:val="000000" w:themeColor="text1"/>
                      <w14:textFill>
                        <w14:solidFill>
                          <w14:schemeClr w14:val="tx1"/>
                        </w14:solidFill>
                      </w14:textFill>
                    </w:rPr>
                    <w:t>经厂区设置的雨水排水沟收集后排至</w:t>
                  </w:r>
                  <w:r>
                    <w:rPr>
                      <w:rFonts w:hint="eastAsia"/>
                      <w:color w:val="000000" w:themeColor="text1"/>
                      <w14:textFill>
                        <w14:solidFill>
                          <w14:schemeClr w14:val="tx1"/>
                        </w14:solidFill>
                      </w14:textFill>
                    </w:rPr>
                    <w:t>30m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的初期雨水收集池，全部回用于生产，不外排。</w:t>
                  </w:r>
                </w:p>
                <w:p w14:paraId="0007A691">
                  <w:pPr>
                    <w:rPr>
                      <w:color w:val="000000" w:themeColor="text1"/>
                      <w14:textFill>
                        <w14:solidFill>
                          <w14:schemeClr w14:val="tx1"/>
                        </w14:solidFill>
                      </w14:textFill>
                    </w:rPr>
                  </w:pPr>
                  <w:r>
                    <w:rPr>
                      <w:rFonts w:hint="eastAsia"/>
                      <w:color w:val="000000" w:themeColor="text1"/>
                      <w14:textFill>
                        <w14:solidFill>
                          <w14:schemeClr w14:val="tx1"/>
                        </w14:solidFill>
                      </w14:textFill>
                    </w:rPr>
                    <w:t>污水：本项目员工不在厂区内食宿，依托</w:t>
                  </w:r>
                  <w:r>
                    <w:rPr>
                      <w:color w:val="000000" w:themeColor="text1"/>
                      <w:szCs w:val="21"/>
                      <w14:textFill>
                        <w14:solidFill>
                          <w14:schemeClr w14:val="tx1"/>
                        </w14:solidFill>
                      </w14:textFill>
                    </w:rPr>
                    <w:t>云南建工云岭水泥有限公司已建</w:t>
                  </w:r>
                  <w:r>
                    <w:rPr>
                      <w:rFonts w:hint="eastAsia"/>
                      <w:color w:val="000000" w:themeColor="text1"/>
                      <w:szCs w:val="21"/>
                      <w14:textFill>
                        <w14:solidFill>
                          <w14:schemeClr w14:val="tx1"/>
                        </w14:solidFill>
                      </w14:textFill>
                    </w:rPr>
                    <w:t>办公生活设施。所产生的</w:t>
                  </w:r>
                  <w:r>
                    <w:rPr>
                      <w:color w:val="000000" w:themeColor="text1"/>
                      <w:szCs w:val="21"/>
                      <w14:textFill>
                        <w14:solidFill>
                          <w14:schemeClr w14:val="tx1"/>
                        </w14:solidFill>
                      </w14:textFill>
                    </w:rPr>
                    <w:t>生活污水进入云南建工云岭水泥有限公司已建</w:t>
                  </w:r>
                  <w:r>
                    <w:rPr>
                      <w:rFonts w:hint="eastAsia"/>
                      <w:color w:val="000000" w:themeColor="text1"/>
                      <w:szCs w:val="21"/>
                      <w14:textFill>
                        <w14:solidFill>
                          <w14:schemeClr w14:val="tx1"/>
                        </w14:solidFill>
                      </w14:textFill>
                    </w:rPr>
                    <w:t>隔油池、</w:t>
                  </w:r>
                  <w:r>
                    <w:rPr>
                      <w:color w:val="000000" w:themeColor="text1"/>
                      <w:szCs w:val="21"/>
                      <w14:textFill>
                        <w14:solidFill>
                          <w14:schemeClr w14:val="tx1"/>
                        </w14:solidFill>
                      </w14:textFill>
                    </w:rPr>
                    <w:t>化粪池</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一体化污水处理设备进行处理达标后，回用于绿化和洒水降尘</w:t>
                  </w:r>
                  <w:r>
                    <w:rPr>
                      <w:rFonts w:hint="eastAsia"/>
                      <w:color w:val="000000" w:themeColor="text1"/>
                      <w:szCs w:val="21"/>
                      <w14:textFill>
                        <w14:solidFill>
                          <w14:schemeClr w14:val="tx1"/>
                        </w14:solidFill>
                      </w14:textFill>
                    </w:rPr>
                    <w:t>，不外排。</w:t>
                  </w:r>
                </w:p>
              </w:tc>
              <w:tc>
                <w:tcPr>
                  <w:tcW w:w="799" w:type="dxa"/>
                  <w:vAlign w:val="center"/>
                </w:tcPr>
                <w:p w14:paraId="1C62F396">
                  <w:pPr>
                    <w:pStyle w:val="8"/>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依托</w:t>
                  </w:r>
                  <w:r>
                    <w:rPr>
                      <w:rFonts w:hint="eastAsia"/>
                      <w:color w:val="000000" w:themeColor="text1"/>
                      <w:sz w:val="21"/>
                      <w:szCs w:val="21"/>
                      <w14:textFill>
                        <w14:solidFill>
                          <w14:schemeClr w14:val="tx1"/>
                        </w14:solidFill>
                      </w14:textFill>
                    </w:rPr>
                    <w:t>（初期雨水收集池新建）</w:t>
                  </w:r>
                </w:p>
              </w:tc>
            </w:tr>
            <w:tr w14:paraId="1072F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4" w:type="dxa"/>
                  <w:vMerge w:val="restart"/>
                  <w:vAlign w:val="center"/>
                </w:tcPr>
                <w:p w14:paraId="3740050F">
                  <w:pPr>
                    <w:jc w:val="center"/>
                    <w:outlineLvl w:val="0"/>
                    <w:rPr>
                      <w:b/>
                      <w:bCs/>
                      <w:color w:val="000000" w:themeColor="text1"/>
                      <w:szCs w:val="21"/>
                      <w14:textFill>
                        <w14:solidFill>
                          <w14:schemeClr w14:val="tx1"/>
                        </w14:solidFill>
                      </w14:textFill>
                    </w:rPr>
                  </w:pPr>
                  <w:bookmarkStart w:id="20" w:name="_Toc3564"/>
                  <w:r>
                    <w:rPr>
                      <w:b/>
                      <w:bCs/>
                      <w:color w:val="000000" w:themeColor="text1"/>
                      <w:szCs w:val="21"/>
                      <w14:textFill>
                        <w14:solidFill>
                          <w14:schemeClr w14:val="tx1"/>
                        </w14:solidFill>
                      </w14:textFill>
                    </w:rPr>
                    <w:t>环保</w:t>
                  </w:r>
                  <w:bookmarkEnd w:id="20"/>
                </w:p>
                <w:p w14:paraId="4A1853C7">
                  <w:pPr>
                    <w:jc w:val="center"/>
                    <w:outlineLvl w:val="0"/>
                    <w:rPr>
                      <w:b/>
                      <w:bCs/>
                      <w:color w:val="000000" w:themeColor="text1"/>
                      <w:szCs w:val="21"/>
                      <w14:textFill>
                        <w14:solidFill>
                          <w14:schemeClr w14:val="tx1"/>
                        </w14:solidFill>
                      </w14:textFill>
                    </w:rPr>
                  </w:pPr>
                  <w:bookmarkStart w:id="21" w:name="_Toc10030"/>
                  <w:r>
                    <w:rPr>
                      <w:b/>
                      <w:bCs/>
                      <w:color w:val="000000" w:themeColor="text1"/>
                      <w:szCs w:val="21"/>
                      <w14:textFill>
                        <w14:solidFill>
                          <w14:schemeClr w14:val="tx1"/>
                        </w14:solidFill>
                      </w14:textFill>
                    </w:rPr>
                    <w:t>工程</w:t>
                  </w:r>
                  <w:bookmarkEnd w:id="21"/>
                </w:p>
              </w:tc>
              <w:tc>
                <w:tcPr>
                  <w:tcW w:w="673" w:type="dxa"/>
                  <w:vAlign w:val="center"/>
                </w:tcPr>
                <w:p w14:paraId="3CBF3B5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1304" w:type="dxa"/>
                  <w:vAlign w:val="center"/>
                </w:tcPr>
                <w:p w14:paraId="651867F4">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减震、吸音装置</w:t>
                  </w:r>
                </w:p>
              </w:tc>
              <w:tc>
                <w:tcPr>
                  <w:tcW w:w="4405" w:type="dxa"/>
                  <w:vAlign w:val="center"/>
                </w:tcPr>
                <w:p w14:paraId="346A895C">
                  <w:pPr>
                    <w:rPr>
                      <w:color w:val="000000" w:themeColor="text1"/>
                      <w:szCs w:val="21"/>
                      <w14:textFill>
                        <w14:solidFill>
                          <w14:schemeClr w14:val="tx1"/>
                        </w14:solidFill>
                      </w14:textFill>
                    </w:rPr>
                  </w:pPr>
                  <w:r>
                    <w:rPr>
                      <w:color w:val="000000" w:themeColor="text1"/>
                      <w:kern w:val="0"/>
                      <w:szCs w:val="21"/>
                      <w14:textFill>
                        <w14:solidFill>
                          <w14:schemeClr w14:val="tx1"/>
                        </w14:solidFill>
                      </w14:textFill>
                    </w:rPr>
                    <w:t>若干，用于设备减震、降噪</w:t>
                  </w:r>
                </w:p>
              </w:tc>
              <w:tc>
                <w:tcPr>
                  <w:tcW w:w="799" w:type="dxa"/>
                  <w:vAlign w:val="center"/>
                </w:tcPr>
                <w:p w14:paraId="429886E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tr w14:paraId="0915E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4" w:type="dxa"/>
                  <w:vMerge w:val="continue"/>
                  <w:vAlign w:val="center"/>
                </w:tcPr>
                <w:p w14:paraId="043E13B7">
                  <w:pPr>
                    <w:jc w:val="center"/>
                    <w:outlineLvl w:val="0"/>
                    <w:rPr>
                      <w:b/>
                      <w:bCs/>
                      <w:color w:val="000000" w:themeColor="text1"/>
                      <w:szCs w:val="21"/>
                      <w14:textFill>
                        <w14:solidFill>
                          <w14:schemeClr w14:val="tx1"/>
                        </w14:solidFill>
                      </w14:textFill>
                    </w:rPr>
                  </w:pPr>
                </w:p>
              </w:tc>
              <w:tc>
                <w:tcPr>
                  <w:tcW w:w="673" w:type="dxa"/>
                  <w:vMerge w:val="restart"/>
                  <w:vAlign w:val="center"/>
                </w:tcPr>
                <w:p w14:paraId="3C477CE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废水</w:t>
                  </w:r>
                </w:p>
              </w:tc>
              <w:tc>
                <w:tcPr>
                  <w:tcW w:w="1304" w:type="dxa"/>
                  <w:vAlign w:val="center"/>
                </w:tcPr>
                <w:p w14:paraId="03E5057F">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初期雨水</w:t>
                  </w:r>
                </w:p>
              </w:tc>
              <w:tc>
                <w:tcPr>
                  <w:tcW w:w="4405" w:type="dxa"/>
                  <w:vAlign w:val="center"/>
                </w:tcPr>
                <w:p w14:paraId="4BE1CBD1">
                  <w:pP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本项目</w:t>
                  </w:r>
                  <w:r>
                    <w:rPr>
                      <w:color w:val="000000" w:themeColor="text1"/>
                      <w14:textFill>
                        <w14:solidFill>
                          <w14:schemeClr w14:val="tx1"/>
                        </w14:solidFill>
                      </w14:textFill>
                    </w:rPr>
                    <w:t>厂区</w:t>
                  </w:r>
                  <w:r>
                    <w:rPr>
                      <w:rFonts w:hint="eastAsia"/>
                      <w:color w:val="000000" w:themeColor="text1"/>
                      <w14:textFill>
                        <w14:solidFill>
                          <w14:schemeClr w14:val="tx1"/>
                        </w14:solidFill>
                      </w14:textFill>
                    </w:rPr>
                    <w:t>内实行</w:t>
                  </w:r>
                  <w:r>
                    <w:rPr>
                      <w:color w:val="000000" w:themeColor="text1"/>
                      <w14:textFill>
                        <w14:solidFill>
                          <w14:schemeClr w14:val="tx1"/>
                        </w14:solidFill>
                      </w14:textFill>
                    </w:rPr>
                    <w:t>雨污分流，</w:t>
                  </w:r>
                  <w:r>
                    <w:rPr>
                      <w:rFonts w:hint="eastAsia"/>
                      <w:color w:val="000000" w:themeColor="text1"/>
                      <w14:textFill>
                        <w14:solidFill>
                          <w14:schemeClr w14:val="tx1"/>
                        </w14:solidFill>
                      </w14:textFill>
                    </w:rPr>
                    <w:t>初期雨水</w:t>
                  </w:r>
                  <w:r>
                    <w:rPr>
                      <w:color w:val="000000" w:themeColor="text1"/>
                      <w14:textFill>
                        <w14:solidFill>
                          <w14:schemeClr w14:val="tx1"/>
                        </w14:solidFill>
                      </w14:textFill>
                    </w:rPr>
                    <w:t>经厂区设置的雨水排水沟收集后排至</w:t>
                  </w:r>
                  <w:r>
                    <w:rPr>
                      <w:rFonts w:hint="eastAsia"/>
                      <w:color w:val="000000" w:themeColor="text1"/>
                      <w14:textFill>
                        <w14:solidFill>
                          <w14:schemeClr w14:val="tx1"/>
                        </w14:solidFill>
                      </w14:textFill>
                    </w:rPr>
                    <w:t>30m</w:t>
                  </w:r>
                  <w:r>
                    <w:rPr>
                      <w:rFonts w:hint="eastAsia"/>
                      <w:color w:val="000000" w:themeColor="text1"/>
                      <w:vertAlign w:val="superscript"/>
                      <w14:textFill>
                        <w14:solidFill>
                          <w14:schemeClr w14:val="tx1"/>
                        </w14:solidFill>
                      </w14:textFill>
                    </w:rPr>
                    <w:t>3</w:t>
                  </w:r>
                  <w:r>
                    <w:rPr>
                      <w:rFonts w:hint="eastAsia"/>
                      <w:color w:val="000000" w:themeColor="text1"/>
                      <w14:textFill>
                        <w14:solidFill>
                          <w14:schemeClr w14:val="tx1"/>
                        </w14:solidFill>
                      </w14:textFill>
                    </w:rPr>
                    <w:t>的初期雨水收集池，全部回用于生产，不外排。</w:t>
                  </w:r>
                </w:p>
              </w:tc>
              <w:tc>
                <w:tcPr>
                  <w:tcW w:w="799" w:type="dxa"/>
                  <w:vAlign w:val="center"/>
                </w:tcPr>
                <w:p w14:paraId="775943B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tr w14:paraId="5A01E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4" w:type="dxa"/>
                  <w:vMerge w:val="continue"/>
                  <w:vAlign w:val="center"/>
                </w:tcPr>
                <w:p w14:paraId="2EDEE3B5">
                  <w:pPr>
                    <w:jc w:val="center"/>
                    <w:outlineLvl w:val="0"/>
                    <w:rPr>
                      <w:b/>
                      <w:bCs/>
                      <w:color w:val="000000" w:themeColor="text1"/>
                      <w:szCs w:val="21"/>
                      <w14:textFill>
                        <w14:solidFill>
                          <w14:schemeClr w14:val="tx1"/>
                        </w14:solidFill>
                      </w14:textFill>
                    </w:rPr>
                  </w:pPr>
                </w:p>
              </w:tc>
              <w:tc>
                <w:tcPr>
                  <w:tcW w:w="673" w:type="dxa"/>
                  <w:vMerge w:val="continue"/>
                  <w:vAlign w:val="center"/>
                </w:tcPr>
                <w:p w14:paraId="5A3BA7CC">
                  <w:pPr>
                    <w:jc w:val="center"/>
                    <w:rPr>
                      <w:color w:val="000000" w:themeColor="text1"/>
                      <w:szCs w:val="21"/>
                      <w14:textFill>
                        <w14:solidFill>
                          <w14:schemeClr w14:val="tx1"/>
                        </w14:solidFill>
                      </w14:textFill>
                    </w:rPr>
                  </w:pPr>
                </w:p>
              </w:tc>
              <w:tc>
                <w:tcPr>
                  <w:tcW w:w="1304" w:type="dxa"/>
                  <w:vAlign w:val="center"/>
                </w:tcPr>
                <w:p w14:paraId="33970C0A">
                  <w:pPr>
                    <w:ind w:firstLine="210" w:firstLineChars="100"/>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生产废水</w:t>
                  </w:r>
                </w:p>
              </w:tc>
              <w:tc>
                <w:tcPr>
                  <w:tcW w:w="4405" w:type="dxa"/>
                  <w:vAlign w:val="center"/>
                </w:tcPr>
                <w:p w14:paraId="2601AC1E">
                  <w:pPr>
                    <w:rPr>
                      <w:color w:val="000000" w:themeColor="text1"/>
                      <w:kern w:val="0"/>
                      <w:szCs w:val="21"/>
                      <w14:textFill>
                        <w14:solidFill>
                          <w14:schemeClr w14:val="tx1"/>
                        </w14:solidFill>
                      </w14:textFill>
                    </w:rPr>
                  </w:pPr>
                  <w:r>
                    <w:rPr>
                      <w:rFonts w:hint="eastAsia"/>
                      <w:color w:val="000000" w:themeColor="text1"/>
                      <w14:textFill>
                        <w14:solidFill>
                          <w14:schemeClr w14:val="tx1"/>
                        </w14:solidFill>
                      </w14:textFill>
                    </w:rPr>
                    <w:t>本项目生产过程中发酵区产生的渗滤液经收集沟（共110m）收集至</w:t>
                  </w:r>
                  <w:r>
                    <w:rPr>
                      <w:rFonts w:hint="eastAsia" w:eastAsiaTheme="minorEastAsia"/>
                      <w:bCs/>
                      <w:color w:val="000000" w:themeColor="text1"/>
                      <w:szCs w:val="21"/>
                      <w14:textFill>
                        <w14:solidFill>
                          <w14:schemeClr w14:val="tx1"/>
                        </w14:solidFill>
                      </w14:textFill>
                    </w:rPr>
                    <w:t>1个容积为2</w:t>
                  </w:r>
                  <w:r>
                    <w:rPr>
                      <w:rFonts w:eastAsiaTheme="minorEastAsia"/>
                      <w:bCs/>
                      <w:color w:val="000000" w:themeColor="text1"/>
                      <w:szCs w:val="21"/>
                      <w14:textFill>
                        <w14:solidFill>
                          <w14:schemeClr w14:val="tx1"/>
                        </w14:solidFill>
                      </w14:textFill>
                    </w:rPr>
                    <w:t>m</w:t>
                  </w:r>
                  <w:r>
                    <w:rPr>
                      <w:rFonts w:eastAsiaTheme="minorEastAsia"/>
                      <w:bCs/>
                      <w:color w:val="000000" w:themeColor="text1"/>
                      <w:szCs w:val="21"/>
                      <w:vertAlign w:val="superscript"/>
                      <w14:textFill>
                        <w14:solidFill>
                          <w14:schemeClr w14:val="tx1"/>
                        </w14:solidFill>
                      </w14:textFill>
                    </w:rPr>
                    <w:t>3</w:t>
                  </w:r>
                  <w:r>
                    <w:rPr>
                      <w:rFonts w:hint="eastAsia" w:eastAsiaTheme="minorEastAsia"/>
                      <w:bCs/>
                      <w:color w:val="000000" w:themeColor="text1"/>
                      <w:szCs w:val="21"/>
                      <w14:textFill>
                        <w14:solidFill>
                          <w14:schemeClr w14:val="tx1"/>
                        </w14:solidFill>
                      </w14:textFill>
                    </w:rPr>
                    <w:t>的</w:t>
                  </w:r>
                  <w:r>
                    <w:rPr>
                      <w:rFonts w:hint="eastAsia"/>
                      <w:color w:val="000000" w:themeColor="text1"/>
                      <w14:textFill>
                        <w14:solidFill>
                          <w14:schemeClr w14:val="tx1"/>
                        </w14:solidFill>
                      </w14:textFill>
                    </w:rPr>
                    <w:t>收集池暂存后，全部回用于发酵过程，不外排。</w:t>
                  </w:r>
                </w:p>
              </w:tc>
              <w:tc>
                <w:tcPr>
                  <w:tcW w:w="799" w:type="dxa"/>
                  <w:vAlign w:val="center"/>
                </w:tcPr>
                <w:p w14:paraId="40A912F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tr w14:paraId="5DE1D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jc w:val="center"/>
              </w:trPr>
              <w:tc>
                <w:tcPr>
                  <w:tcW w:w="754" w:type="dxa"/>
                  <w:vMerge w:val="continue"/>
                  <w:vAlign w:val="center"/>
                </w:tcPr>
                <w:p w14:paraId="6637E921">
                  <w:pPr>
                    <w:jc w:val="center"/>
                    <w:rPr>
                      <w:b/>
                      <w:bCs/>
                      <w:color w:val="000000" w:themeColor="text1"/>
                      <w:szCs w:val="21"/>
                      <w14:textFill>
                        <w14:solidFill>
                          <w14:schemeClr w14:val="tx1"/>
                        </w14:solidFill>
                      </w14:textFill>
                    </w:rPr>
                  </w:pPr>
                </w:p>
              </w:tc>
              <w:tc>
                <w:tcPr>
                  <w:tcW w:w="673" w:type="dxa"/>
                  <w:vMerge w:val="continue"/>
                  <w:vAlign w:val="center"/>
                </w:tcPr>
                <w:p w14:paraId="7E4EBC3F">
                  <w:pPr>
                    <w:jc w:val="center"/>
                    <w:rPr>
                      <w:color w:val="000000" w:themeColor="text1"/>
                      <w:szCs w:val="21"/>
                      <w14:textFill>
                        <w14:solidFill>
                          <w14:schemeClr w14:val="tx1"/>
                        </w14:solidFill>
                      </w14:textFill>
                    </w:rPr>
                  </w:pPr>
                </w:p>
              </w:tc>
              <w:tc>
                <w:tcPr>
                  <w:tcW w:w="1304" w:type="dxa"/>
                  <w:vAlign w:val="center"/>
                </w:tcPr>
                <w:p w14:paraId="09F9EC99">
                  <w:pPr>
                    <w:jc w:val="center"/>
                    <w:rPr>
                      <w:color w:val="000000" w:themeColor="text1"/>
                      <w:kern w:val="0"/>
                      <w:szCs w:val="21"/>
                      <w14:textFill>
                        <w14:solidFill>
                          <w14:schemeClr w14:val="tx1"/>
                        </w14:solidFill>
                      </w14:textFill>
                    </w:rPr>
                  </w:pPr>
                  <w:r>
                    <w:rPr>
                      <w:rFonts w:hint="eastAsia"/>
                      <w:color w:val="000000" w:themeColor="text1"/>
                      <w:kern w:val="0"/>
                      <w:szCs w:val="21"/>
                      <w14:textFill>
                        <w14:solidFill>
                          <w14:schemeClr w14:val="tx1"/>
                        </w14:solidFill>
                      </w14:textFill>
                    </w:rPr>
                    <w:t>生活污水</w:t>
                  </w:r>
                </w:p>
              </w:tc>
              <w:tc>
                <w:tcPr>
                  <w:tcW w:w="4405" w:type="dxa"/>
                  <w:vAlign w:val="center"/>
                </w:tcPr>
                <w:p w14:paraId="30EA0B43">
                  <w:pPr>
                    <w:rPr>
                      <w:bCs/>
                      <w:color w:val="000000" w:themeColor="text1"/>
                      <w:szCs w:val="21"/>
                      <w14:textFill>
                        <w14:solidFill>
                          <w14:schemeClr w14:val="tx1"/>
                        </w14:solidFill>
                      </w14:textFill>
                    </w:rPr>
                  </w:pPr>
                  <w:r>
                    <w:rPr>
                      <w:rFonts w:hint="eastAsia"/>
                      <w:color w:val="000000" w:themeColor="text1"/>
                      <w14:textFill>
                        <w14:solidFill>
                          <w14:schemeClr w14:val="tx1"/>
                        </w14:solidFill>
                      </w14:textFill>
                    </w:rPr>
                    <w:t>员工不在厂区内食宿，依托</w:t>
                  </w:r>
                  <w:r>
                    <w:rPr>
                      <w:color w:val="000000" w:themeColor="text1"/>
                      <w:szCs w:val="21"/>
                      <w14:textFill>
                        <w14:solidFill>
                          <w14:schemeClr w14:val="tx1"/>
                        </w14:solidFill>
                      </w14:textFill>
                    </w:rPr>
                    <w:t>云南建工云岭水泥有限公司已建</w:t>
                  </w:r>
                  <w:r>
                    <w:rPr>
                      <w:rFonts w:hint="eastAsia"/>
                      <w:color w:val="000000" w:themeColor="text1"/>
                      <w:szCs w:val="21"/>
                      <w14:textFill>
                        <w14:solidFill>
                          <w14:schemeClr w14:val="tx1"/>
                        </w14:solidFill>
                      </w14:textFill>
                    </w:rPr>
                    <w:t>办公生活设施。所产生的</w:t>
                  </w:r>
                  <w:r>
                    <w:rPr>
                      <w:color w:val="000000" w:themeColor="text1"/>
                      <w:szCs w:val="21"/>
                      <w14:textFill>
                        <w14:solidFill>
                          <w14:schemeClr w14:val="tx1"/>
                        </w14:solidFill>
                      </w14:textFill>
                    </w:rPr>
                    <w:t>生活污水进入云南建工云岭水泥有限公司已建</w:t>
                  </w:r>
                  <w:r>
                    <w:rPr>
                      <w:rFonts w:hint="eastAsia"/>
                      <w:color w:val="000000" w:themeColor="text1"/>
                      <w:szCs w:val="21"/>
                      <w14:textFill>
                        <w14:solidFill>
                          <w14:schemeClr w14:val="tx1"/>
                        </w14:solidFill>
                      </w14:textFill>
                    </w:rPr>
                    <w:t>隔油池、</w:t>
                  </w:r>
                  <w:r>
                    <w:rPr>
                      <w:color w:val="000000" w:themeColor="text1"/>
                      <w:szCs w:val="21"/>
                      <w14:textFill>
                        <w14:solidFill>
                          <w14:schemeClr w14:val="tx1"/>
                        </w14:solidFill>
                      </w14:textFill>
                    </w:rPr>
                    <w:t>化粪池</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一体化污水处理设备进行处理达标后，回用于绿化和洒水降尘</w:t>
                  </w:r>
                  <w:r>
                    <w:rPr>
                      <w:rFonts w:hint="eastAsia"/>
                      <w:color w:val="000000" w:themeColor="text1"/>
                      <w:szCs w:val="21"/>
                      <w14:textFill>
                        <w14:solidFill>
                          <w14:schemeClr w14:val="tx1"/>
                        </w14:solidFill>
                      </w14:textFill>
                    </w:rPr>
                    <w:t>，不外排。</w:t>
                  </w:r>
                </w:p>
              </w:tc>
              <w:tc>
                <w:tcPr>
                  <w:tcW w:w="799" w:type="dxa"/>
                  <w:vAlign w:val="center"/>
                </w:tcPr>
                <w:p w14:paraId="382282A6">
                  <w:pPr>
                    <w:pStyle w:val="51"/>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依托</w:t>
                  </w:r>
                </w:p>
              </w:tc>
            </w:tr>
            <w:tr w14:paraId="4808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4" w:type="dxa"/>
                  <w:vMerge w:val="continue"/>
                  <w:vAlign w:val="center"/>
                </w:tcPr>
                <w:p w14:paraId="7FF334F8">
                  <w:pPr>
                    <w:jc w:val="center"/>
                    <w:rPr>
                      <w:b/>
                      <w:bCs/>
                      <w:color w:val="000000" w:themeColor="text1"/>
                      <w:szCs w:val="21"/>
                      <w14:textFill>
                        <w14:solidFill>
                          <w14:schemeClr w14:val="tx1"/>
                        </w14:solidFill>
                      </w14:textFill>
                    </w:rPr>
                  </w:pPr>
                </w:p>
              </w:tc>
              <w:tc>
                <w:tcPr>
                  <w:tcW w:w="673" w:type="dxa"/>
                  <w:vMerge w:val="restart"/>
                  <w:vAlign w:val="center"/>
                </w:tcPr>
                <w:p w14:paraId="1618A93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固废</w:t>
                  </w:r>
                </w:p>
              </w:tc>
              <w:tc>
                <w:tcPr>
                  <w:tcW w:w="1304" w:type="dxa"/>
                  <w:vAlign w:val="center"/>
                </w:tcPr>
                <w:p w14:paraId="6CDE7480">
                  <w:pPr>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危险废物</w:t>
                  </w:r>
                </w:p>
              </w:tc>
              <w:tc>
                <w:tcPr>
                  <w:tcW w:w="4405" w:type="dxa"/>
                  <w:vAlign w:val="center"/>
                </w:tcPr>
                <w:p w14:paraId="17F9894D">
                  <w:pP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位于东厂房东南面设置1间5m</w:t>
                  </w:r>
                  <w:r>
                    <w:rPr>
                      <w:rFonts w:hint="eastAsia"/>
                      <w:bCs/>
                      <w:color w:val="000000" w:themeColor="text1"/>
                      <w:szCs w:val="21"/>
                      <w:vertAlign w:val="superscript"/>
                      <w14:textFill>
                        <w14:solidFill>
                          <w14:schemeClr w14:val="tx1"/>
                        </w14:solidFill>
                      </w14:textFill>
                    </w:rPr>
                    <w:t>2</w:t>
                  </w:r>
                  <w:r>
                    <w:rPr>
                      <w:rFonts w:hint="eastAsia"/>
                      <w:bCs/>
                      <w:color w:val="000000" w:themeColor="text1"/>
                      <w:szCs w:val="21"/>
                      <w14:textFill>
                        <w14:solidFill>
                          <w14:schemeClr w14:val="tx1"/>
                        </w14:solidFill>
                      </w14:textFill>
                    </w:rPr>
                    <w:t>危险废物暂存库，并设置</w:t>
                  </w:r>
                  <w:r>
                    <w:rPr>
                      <w:bCs/>
                      <w:color w:val="000000" w:themeColor="text1"/>
                      <w:szCs w:val="21"/>
                      <w14:textFill>
                        <w14:solidFill>
                          <w14:schemeClr w14:val="tx1"/>
                        </w14:solidFill>
                      </w14:textFill>
                    </w:rPr>
                    <w:t>危废收集桶，危废统一收集后委托</w:t>
                  </w:r>
                  <w:r>
                    <w:rPr>
                      <w:rFonts w:hint="eastAsia"/>
                      <w:bCs/>
                      <w:color w:val="000000" w:themeColor="text1"/>
                      <w:szCs w:val="21"/>
                      <w14:textFill>
                        <w14:solidFill>
                          <w14:schemeClr w14:val="tx1"/>
                        </w14:solidFill>
                      </w14:textFill>
                    </w:rPr>
                    <w:t>有资质单位进行</w:t>
                  </w:r>
                  <w:r>
                    <w:rPr>
                      <w:bCs/>
                      <w:color w:val="000000" w:themeColor="text1"/>
                      <w:szCs w:val="21"/>
                      <w14:textFill>
                        <w14:solidFill>
                          <w14:schemeClr w14:val="tx1"/>
                        </w14:solidFill>
                      </w14:textFill>
                    </w:rPr>
                    <w:t>处理处置</w:t>
                  </w:r>
                  <w:r>
                    <w:rPr>
                      <w:rFonts w:hint="eastAsia"/>
                      <w:bCs/>
                      <w:color w:val="000000" w:themeColor="text1"/>
                      <w:szCs w:val="21"/>
                      <w14:textFill>
                        <w14:solidFill>
                          <w14:schemeClr w14:val="tx1"/>
                        </w14:solidFill>
                      </w14:textFill>
                    </w:rPr>
                    <w:t>。</w:t>
                  </w:r>
                </w:p>
              </w:tc>
              <w:tc>
                <w:tcPr>
                  <w:tcW w:w="799" w:type="dxa"/>
                  <w:vAlign w:val="center"/>
                </w:tcPr>
                <w:p w14:paraId="7249B388">
                  <w:pPr>
                    <w:pStyle w:val="51"/>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新建</w:t>
                  </w:r>
                </w:p>
              </w:tc>
            </w:tr>
            <w:tr w14:paraId="60FE2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4" w:type="dxa"/>
                  <w:vMerge w:val="continue"/>
                  <w:vAlign w:val="center"/>
                </w:tcPr>
                <w:p w14:paraId="6F9D0C82">
                  <w:pPr>
                    <w:jc w:val="center"/>
                    <w:rPr>
                      <w:b/>
                      <w:bCs/>
                      <w:color w:val="000000" w:themeColor="text1"/>
                      <w:szCs w:val="21"/>
                      <w14:textFill>
                        <w14:solidFill>
                          <w14:schemeClr w14:val="tx1"/>
                        </w14:solidFill>
                      </w14:textFill>
                    </w:rPr>
                  </w:pPr>
                  <w:bookmarkStart w:id="22" w:name="OLE_LINK3" w:colFirst="2" w:colLast="2"/>
                  <w:bookmarkStart w:id="23" w:name="_Hlk495418723"/>
                  <w:bookmarkStart w:id="24" w:name="OLE_LINK4" w:colFirst="2" w:colLast="2"/>
                </w:p>
              </w:tc>
              <w:tc>
                <w:tcPr>
                  <w:tcW w:w="673" w:type="dxa"/>
                  <w:vMerge w:val="continue"/>
                  <w:vAlign w:val="center"/>
                </w:tcPr>
                <w:p w14:paraId="51F50330">
                  <w:pPr>
                    <w:jc w:val="center"/>
                    <w:rPr>
                      <w:color w:val="000000" w:themeColor="text1"/>
                      <w:szCs w:val="21"/>
                      <w14:textFill>
                        <w14:solidFill>
                          <w14:schemeClr w14:val="tx1"/>
                        </w14:solidFill>
                      </w14:textFill>
                    </w:rPr>
                  </w:pPr>
                </w:p>
              </w:tc>
              <w:tc>
                <w:tcPr>
                  <w:tcW w:w="1304" w:type="dxa"/>
                  <w:vAlign w:val="center"/>
                </w:tcPr>
                <w:p w14:paraId="658ED19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垃圾桶</w:t>
                  </w:r>
                </w:p>
              </w:tc>
              <w:tc>
                <w:tcPr>
                  <w:tcW w:w="4405" w:type="dxa"/>
                  <w:vAlign w:val="center"/>
                </w:tcPr>
                <w:p w14:paraId="00E9D6E3">
                  <w:pPr>
                    <w:rPr>
                      <w:color w:val="000000" w:themeColor="text1"/>
                      <w:szCs w:val="21"/>
                      <w14:textFill>
                        <w14:solidFill>
                          <w14:schemeClr w14:val="tx1"/>
                        </w14:solidFill>
                      </w14:textFill>
                    </w:rPr>
                  </w:pPr>
                  <w:r>
                    <w:rPr>
                      <w:color w:val="000000" w:themeColor="text1"/>
                      <w:szCs w:val="21"/>
                      <w14:textFill>
                        <w14:solidFill>
                          <w14:schemeClr w14:val="tx1"/>
                        </w14:solidFill>
                      </w14:textFill>
                    </w:rPr>
                    <w:t>在</w:t>
                  </w:r>
                  <w:r>
                    <w:rPr>
                      <w:rFonts w:hint="eastAsia"/>
                      <w:color w:val="000000" w:themeColor="text1"/>
                      <w:szCs w:val="21"/>
                      <w14:textFill>
                        <w14:solidFill>
                          <w14:schemeClr w14:val="tx1"/>
                        </w14:solidFill>
                      </w14:textFill>
                    </w:rPr>
                    <w:t>项目区不同位置设置生活垃圾收集桶</w:t>
                  </w:r>
                </w:p>
              </w:tc>
              <w:tc>
                <w:tcPr>
                  <w:tcW w:w="799" w:type="dxa"/>
                  <w:vAlign w:val="center"/>
                </w:tcPr>
                <w:p w14:paraId="2CD096DA">
                  <w:pPr>
                    <w:autoSpaceDE w:val="0"/>
                    <w:autoSpaceDN w:val="0"/>
                    <w:adjustRightIn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新建</w:t>
                  </w:r>
                </w:p>
              </w:tc>
            </w:tr>
            <w:tr w14:paraId="3BE5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4" w:type="dxa"/>
                  <w:vMerge w:val="continue"/>
                  <w:vAlign w:val="center"/>
                </w:tcPr>
                <w:p w14:paraId="18B5B2F8">
                  <w:pPr>
                    <w:jc w:val="center"/>
                    <w:rPr>
                      <w:b/>
                      <w:bCs/>
                      <w:color w:val="000000" w:themeColor="text1"/>
                      <w:szCs w:val="21"/>
                      <w14:textFill>
                        <w14:solidFill>
                          <w14:schemeClr w14:val="tx1"/>
                        </w14:solidFill>
                      </w14:textFill>
                    </w:rPr>
                  </w:pPr>
                </w:p>
              </w:tc>
              <w:tc>
                <w:tcPr>
                  <w:tcW w:w="673" w:type="dxa"/>
                  <w:vMerge w:val="continue"/>
                  <w:vAlign w:val="center"/>
                </w:tcPr>
                <w:p w14:paraId="07E723A0">
                  <w:pPr>
                    <w:jc w:val="center"/>
                    <w:rPr>
                      <w:color w:val="000000" w:themeColor="text1"/>
                      <w:szCs w:val="21"/>
                      <w14:textFill>
                        <w14:solidFill>
                          <w14:schemeClr w14:val="tx1"/>
                        </w14:solidFill>
                      </w14:textFill>
                    </w:rPr>
                  </w:pPr>
                </w:p>
              </w:tc>
              <w:tc>
                <w:tcPr>
                  <w:tcW w:w="1304" w:type="dxa"/>
                  <w:vAlign w:val="center"/>
                </w:tcPr>
                <w:p w14:paraId="64FBDFC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一般固废</w:t>
                  </w:r>
                  <w:r>
                    <w:rPr>
                      <w:rFonts w:hint="eastAsia"/>
                      <w:color w:val="000000" w:themeColor="text1"/>
                      <w:szCs w:val="21"/>
                      <w14:textFill>
                        <w14:solidFill>
                          <w14:schemeClr w14:val="tx1"/>
                        </w14:solidFill>
                      </w14:textFill>
                    </w:rPr>
                    <w:t>暂存库</w:t>
                  </w:r>
                </w:p>
              </w:tc>
              <w:tc>
                <w:tcPr>
                  <w:tcW w:w="4405" w:type="dxa"/>
                  <w:vAlign w:val="center"/>
                </w:tcPr>
                <w:p w14:paraId="22FFBC8A">
                  <w:pPr>
                    <w:rPr>
                      <w:color w:val="000000" w:themeColor="text1"/>
                      <w:kern w:val="0"/>
                      <w:szCs w:val="21"/>
                      <w14:textFill>
                        <w14:solidFill>
                          <w14:schemeClr w14:val="tx1"/>
                        </w14:solidFill>
                      </w14:textFill>
                    </w:rPr>
                  </w:pPr>
                  <w:r>
                    <w:rPr>
                      <w:rFonts w:hint="eastAsia"/>
                      <w:bCs/>
                      <w:color w:val="000000" w:themeColor="text1"/>
                      <w:szCs w:val="21"/>
                      <w14:textFill>
                        <w14:solidFill>
                          <w14:schemeClr w14:val="tx1"/>
                        </w14:solidFill>
                      </w14:textFill>
                    </w:rPr>
                    <w:t>位于西厂房中部设置1间5m</w:t>
                  </w:r>
                  <w:r>
                    <w:rPr>
                      <w:rFonts w:hint="eastAsia"/>
                      <w:bCs/>
                      <w:color w:val="000000" w:themeColor="text1"/>
                      <w:szCs w:val="21"/>
                      <w:vertAlign w:val="superscript"/>
                      <w14:textFill>
                        <w14:solidFill>
                          <w14:schemeClr w14:val="tx1"/>
                        </w14:solidFill>
                      </w14:textFill>
                    </w:rPr>
                    <w:t>2</w:t>
                  </w:r>
                  <w:r>
                    <w:rPr>
                      <w:rFonts w:hint="eastAsia"/>
                      <w:bCs/>
                      <w:color w:val="000000" w:themeColor="text1"/>
                      <w:szCs w:val="21"/>
                      <w14:textFill>
                        <w14:solidFill>
                          <w14:schemeClr w14:val="tx1"/>
                        </w14:solidFill>
                      </w14:textFill>
                    </w:rPr>
                    <w:t>一般固废暂存库，暂存后外售资源回收公司。</w:t>
                  </w:r>
                </w:p>
              </w:tc>
              <w:tc>
                <w:tcPr>
                  <w:tcW w:w="799" w:type="dxa"/>
                  <w:vAlign w:val="center"/>
                </w:tcPr>
                <w:p w14:paraId="3C23596D">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新建</w:t>
                  </w:r>
                </w:p>
              </w:tc>
            </w:tr>
            <w:bookmarkEnd w:id="22"/>
            <w:bookmarkEnd w:id="23"/>
            <w:bookmarkEnd w:id="24"/>
            <w:tr w14:paraId="1BEF8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754" w:type="dxa"/>
                  <w:vMerge w:val="continue"/>
                  <w:vAlign w:val="center"/>
                </w:tcPr>
                <w:p w14:paraId="1E6AA7DC">
                  <w:pPr>
                    <w:jc w:val="center"/>
                    <w:rPr>
                      <w:b/>
                      <w:bCs/>
                      <w:color w:val="000000" w:themeColor="text1"/>
                      <w:szCs w:val="21"/>
                      <w14:textFill>
                        <w14:solidFill>
                          <w14:schemeClr w14:val="tx1"/>
                        </w14:solidFill>
                      </w14:textFill>
                    </w:rPr>
                  </w:pPr>
                </w:p>
              </w:tc>
              <w:tc>
                <w:tcPr>
                  <w:tcW w:w="673" w:type="dxa"/>
                  <w:vMerge w:val="restart"/>
                  <w:vAlign w:val="center"/>
                </w:tcPr>
                <w:p w14:paraId="768C2AC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废气</w:t>
                  </w:r>
                </w:p>
              </w:tc>
              <w:tc>
                <w:tcPr>
                  <w:tcW w:w="1304" w:type="dxa"/>
                  <w:vMerge w:val="restart"/>
                  <w:vAlign w:val="center"/>
                </w:tcPr>
                <w:p w14:paraId="02FBE114">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生产车间</w:t>
                  </w:r>
                </w:p>
              </w:tc>
              <w:tc>
                <w:tcPr>
                  <w:tcW w:w="4405" w:type="dxa"/>
                  <w:vAlign w:val="center"/>
                </w:tcPr>
                <w:p w14:paraId="745D5018">
                  <w:pPr>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2个生产厂房设置为密闭式，生产过程中严格控制原料的含水率，混合、配料喷水降尘，在2个厂房分别设置1台移动式雾炮机进行喷雾降尘。</w:t>
                  </w:r>
                </w:p>
              </w:tc>
              <w:tc>
                <w:tcPr>
                  <w:tcW w:w="799" w:type="dxa"/>
                  <w:vAlign w:val="center"/>
                </w:tcPr>
                <w:p w14:paraId="48FE192B">
                  <w:pPr>
                    <w:tabs>
                      <w:tab w:val="left" w:pos="3255"/>
                    </w:tabs>
                    <w:adjustRightInd w:val="0"/>
                    <w:snapToGrid w:val="0"/>
                    <w:jc w:val="center"/>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新建</w:t>
                  </w:r>
                </w:p>
              </w:tc>
            </w:tr>
            <w:tr w14:paraId="767EC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4" w:type="dxa"/>
                  <w:vMerge w:val="continue"/>
                  <w:vAlign w:val="center"/>
                </w:tcPr>
                <w:p w14:paraId="18C3ACB6">
                  <w:pPr>
                    <w:jc w:val="center"/>
                    <w:rPr>
                      <w:b/>
                      <w:bCs/>
                      <w:color w:val="000000" w:themeColor="text1"/>
                      <w:szCs w:val="21"/>
                      <w14:textFill>
                        <w14:solidFill>
                          <w14:schemeClr w14:val="tx1"/>
                        </w14:solidFill>
                      </w14:textFill>
                    </w:rPr>
                  </w:pPr>
                </w:p>
              </w:tc>
              <w:tc>
                <w:tcPr>
                  <w:tcW w:w="673" w:type="dxa"/>
                  <w:vMerge w:val="continue"/>
                  <w:vAlign w:val="center"/>
                </w:tcPr>
                <w:p w14:paraId="0A715333">
                  <w:pPr>
                    <w:jc w:val="center"/>
                    <w:rPr>
                      <w:color w:val="000000" w:themeColor="text1"/>
                      <w:szCs w:val="21"/>
                      <w14:textFill>
                        <w14:solidFill>
                          <w14:schemeClr w14:val="tx1"/>
                        </w14:solidFill>
                      </w14:textFill>
                    </w:rPr>
                  </w:pPr>
                </w:p>
              </w:tc>
              <w:tc>
                <w:tcPr>
                  <w:tcW w:w="1304" w:type="dxa"/>
                  <w:vMerge w:val="continue"/>
                  <w:vAlign w:val="center"/>
                </w:tcPr>
                <w:p w14:paraId="191D6B12">
                  <w:pPr>
                    <w:jc w:val="center"/>
                    <w:rPr>
                      <w:color w:val="000000" w:themeColor="text1"/>
                      <w:szCs w:val="21"/>
                      <w14:textFill>
                        <w14:solidFill>
                          <w14:schemeClr w14:val="tx1"/>
                        </w14:solidFill>
                      </w14:textFill>
                    </w:rPr>
                  </w:pPr>
                </w:p>
              </w:tc>
              <w:tc>
                <w:tcPr>
                  <w:tcW w:w="4405" w:type="dxa"/>
                  <w:vAlign w:val="center"/>
                </w:tcPr>
                <w:p w14:paraId="037FCDC1">
                  <w:pPr>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生产厂房密闭，生产过程中通过喷洒生物除臭剂进行除臭，车间安装抽排风系统。</w:t>
                  </w:r>
                </w:p>
              </w:tc>
              <w:tc>
                <w:tcPr>
                  <w:tcW w:w="799" w:type="dxa"/>
                  <w:vAlign w:val="center"/>
                </w:tcPr>
                <w:p w14:paraId="683B3C67">
                  <w:pPr>
                    <w:tabs>
                      <w:tab w:val="left" w:pos="3255"/>
                    </w:tabs>
                    <w:adjustRightInd w:val="0"/>
                    <w:snapToGrid w:val="0"/>
                    <w:jc w:val="center"/>
                    <w:outlineLvl w:val="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新建</w:t>
                  </w:r>
                </w:p>
              </w:tc>
            </w:tr>
            <w:tr w14:paraId="3E701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4" w:type="dxa"/>
                  <w:vMerge w:val="continue"/>
                  <w:vAlign w:val="center"/>
                </w:tcPr>
                <w:p w14:paraId="7F729CFB">
                  <w:pPr>
                    <w:jc w:val="center"/>
                    <w:rPr>
                      <w:b/>
                      <w:bCs/>
                      <w:color w:val="000000" w:themeColor="text1"/>
                      <w:szCs w:val="21"/>
                      <w14:textFill>
                        <w14:solidFill>
                          <w14:schemeClr w14:val="tx1"/>
                        </w14:solidFill>
                      </w14:textFill>
                    </w:rPr>
                  </w:pPr>
                </w:p>
              </w:tc>
              <w:tc>
                <w:tcPr>
                  <w:tcW w:w="673" w:type="dxa"/>
                  <w:vAlign w:val="center"/>
                </w:tcPr>
                <w:p w14:paraId="32AAC010">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地下水</w:t>
                  </w:r>
                </w:p>
              </w:tc>
              <w:tc>
                <w:tcPr>
                  <w:tcW w:w="1304" w:type="dxa"/>
                  <w:vAlign w:val="center"/>
                </w:tcPr>
                <w:p w14:paraId="41B44CDE">
                  <w:pPr>
                    <w:jc w:val="cente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防渗处理</w:t>
                  </w:r>
                </w:p>
              </w:tc>
              <w:tc>
                <w:tcPr>
                  <w:tcW w:w="4405" w:type="dxa"/>
                  <w:vAlign w:val="center"/>
                </w:tcPr>
                <w:p w14:paraId="73105F32">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简易防渗：</w:t>
                  </w:r>
                  <w:r>
                    <w:rPr>
                      <w:rFonts w:hint="eastAsia" w:eastAsiaTheme="minorEastAsia"/>
                      <w:color w:val="000000" w:themeColor="text1"/>
                      <w14:textFill>
                        <w14:solidFill>
                          <w14:schemeClr w14:val="tx1"/>
                        </w14:solidFill>
                      </w14:textFill>
                    </w:rPr>
                    <w:t>除重点防渗区和一般防渗区外的其他车间区域</w:t>
                  </w:r>
                  <w:r>
                    <w:rPr>
                      <w:rFonts w:eastAsiaTheme="minorEastAsia"/>
                      <w:color w:val="000000" w:themeColor="text1"/>
                      <w14:textFill>
                        <w14:solidFill>
                          <w14:schemeClr w14:val="tx1"/>
                        </w14:solidFill>
                      </w14:textFill>
                    </w:rPr>
                    <w:t>进行地面硬化。</w:t>
                  </w:r>
                </w:p>
                <w:p w14:paraId="42C4754F">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一般防渗区：</w:t>
                  </w:r>
                  <w:r>
                    <w:rPr>
                      <w:rFonts w:hint="eastAsia" w:eastAsiaTheme="minorEastAsia"/>
                      <w:color w:val="000000" w:themeColor="text1"/>
                      <w14:textFill>
                        <w14:solidFill>
                          <w14:schemeClr w14:val="tx1"/>
                        </w14:solidFill>
                      </w14:textFill>
                    </w:rPr>
                    <w:t>原料库、一般固废暂存库、渗滤液收集池、发酵区、初期雨水收集池</w:t>
                  </w:r>
                  <w:r>
                    <w:rPr>
                      <w:rFonts w:eastAsiaTheme="minorEastAsia"/>
                      <w:color w:val="000000" w:themeColor="text1"/>
                      <w14:textFill>
                        <w14:solidFill>
                          <w14:schemeClr w14:val="tx1"/>
                        </w14:solidFill>
                      </w14:textFill>
                    </w:rPr>
                    <w:t>，防渗要求：渗透系数≤10</w:t>
                  </w:r>
                  <w:r>
                    <w:rPr>
                      <w:rFonts w:eastAsiaTheme="minorEastAsia"/>
                      <w:color w:val="000000" w:themeColor="text1"/>
                      <w:vertAlign w:val="superscript"/>
                      <w14:textFill>
                        <w14:solidFill>
                          <w14:schemeClr w14:val="tx1"/>
                        </w14:solidFill>
                      </w14:textFill>
                    </w:rPr>
                    <w:t>-7</w:t>
                  </w:r>
                  <w:r>
                    <w:rPr>
                      <w:rFonts w:eastAsiaTheme="minorEastAsia"/>
                      <w:color w:val="000000" w:themeColor="text1"/>
                      <w14:textFill>
                        <w14:solidFill>
                          <w14:schemeClr w14:val="tx1"/>
                        </w14:solidFill>
                      </w14:textFill>
                    </w:rPr>
                    <w:t>cm/s，等效黏土防渗层Mb≥1.5m。施工时采用</w:t>
                  </w:r>
                  <w:r>
                    <w:rPr>
                      <w:rFonts w:hint="eastAsia" w:eastAsiaTheme="minorEastAsia"/>
                      <w:color w:val="000000" w:themeColor="text1"/>
                      <w14:textFill>
                        <w14:solidFill>
                          <w14:schemeClr w14:val="tx1"/>
                        </w14:solidFill>
                      </w14:textFill>
                    </w:rPr>
                    <w:t>具有同等隔水效力的其他人工防渗衬层进行防渗</w:t>
                  </w:r>
                  <w:r>
                    <w:rPr>
                      <w:rFonts w:eastAsiaTheme="minorEastAsia"/>
                      <w:color w:val="000000" w:themeColor="text1"/>
                      <w14:textFill>
                        <w14:solidFill>
                          <w14:schemeClr w14:val="tx1"/>
                        </w14:solidFill>
                      </w14:textFill>
                    </w:rPr>
                    <w:t>。</w:t>
                  </w:r>
                </w:p>
                <w:p w14:paraId="67804311">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重点防渗区：</w:t>
                  </w:r>
                  <w:r>
                    <w:rPr>
                      <w:rFonts w:hint="eastAsia" w:eastAsiaTheme="minorEastAsia"/>
                      <w:color w:val="000000" w:themeColor="text1"/>
                      <w14:textFill>
                        <w14:solidFill>
                          <w14:schemeClr w14:val="tx1"/>
                        </w14:solidFill>
                      </w14:textFill>
                    </w:rPr>
                    <w:t>危废暂存库</w:t>
                  </w:r>
                  <w:r>
                    <w:rPr>
                      <w:rFonts w:eastAsiaTheme="minorEastAsia"/>
                      <w:color w:val="000000" w:themeColor="text1"/>
                      <w14:textFill>
                        <w14:solidFill>
                          <w14:schemeClr w14:val="tx1"/>
                        </w14:solidFill>
                      </w14:textFill>
                    </w:rPr>
                    <w:t>，防渗要求：渗透系数≤10</w:t>
                  </w:r>
                  <w:r>
                    <w:rPr>
                      <w:rFonts w:eastAsiaTheme="minorEastAsia"/>
                      <w:color w:val="000000" w:themeColor="text1"/>
                      <w:vertAlign w:val="superscript"/>
                      <w14:textFill>
                        <w14:solidFill>
                          <w14:schemeClr w14:val="tx1"/>
                        </w14:solidFill>
                      </w14:textFill>
                    </w:rPr>
                    <w:t>-10</w:t>
                  </w:r>
                  <w:r>
                    <w:rPr>
                      <w:rFonts w:eastAsiaTheme="minorEastAsia"/>
                      <w:color w:val="000000" w:themeColor="text1"/>
                      <w14:textFill>
                        <w14:solidFill>
                          <w14:schemeClr w14:val="tx1"/>
                        </w14:solidFill>
                      </w14:textFill>
                    </w:rPr>
                    <w:t>cm/s，等效黏土防渗层Mb≥6.0m。施工时采用</w:t>
                  </w:r>
                  <w:r>
                    <w:rPr>
                      <w:rFonts w:hint="eastAsia" w:eastAsiaTheme="minorEastAsia"/>
                      <w:color w:val="000000" w:themeColor="text1"/>
                      <w14:textFill>
                        <w14:solidFill>
                          <w14:schemeClr w14:val="tx1"/>
                        </w14:solidFill>
                      </w14:textFill>
                    </w:rPr>
                    <w:t>至少2 mm 厚高密度聚乙烯膜等人工防渗材料（渗透系数不大于10</w:t>
                  </w:r>
                  <w:r>
                    <w:rPr>
                      <w:rFonts w:hint="eastAsia" w:eastAsiaTheme="minorEastAsia"/>
                      <w:color w:val="000000" w:themeColor="text1"/>
                      <w:vertAlign w:val="superscript"/>
                      <w14:textFill>
                        <w14:solidFill>
                          <w14:schemeClr w14:val="tx1"/>
                        </w14:solidFill>
                      </w14:textFill>
                    </w:rPr>
                    <w:t xml:space="preserve">-10 </w:t>
                  </w:r>
                  <w:r>
                    <w:rPr>
                      <w:rFonts w:hint="eastAsia" w:eastAsiaTheme="minorEastAsia"/>
                      <w:color w:val="000000" w:themeColor="text1"/>
                      <w14:textFill>
                        <w14:solidFill>
                          <w14:schemeClr w14:val="tx1"/>
                        </w14:solidFill>
                      </w14:textFill>
                    </w:rPr>
                    <w:t>cm/s），或其他防渗性能等效的材料</w:t>
                  </w:r>
                  <w:r>
                    <w:rPr>
                      <w:rFonts w:eastAsiaTheme="minorEastAsia"/>
                      <w:color w:val="000000" w:themeColor="text1"/>
                      <w14:textFill>
                        <w14:solidFill>
                          <w14:schemeClr w14:val="tx1"/>
                        </w14:solidFill>
                      </w14:textFill>
                    </w:rPr>
                    <w:t>。</w:t>
                  </w:r>
                </w:p>
              </w:tc>
              <w:tc>
                <w:tcPr>
                  <w:tcW w:w="799" w:type="dxa"/>
                  <w:vAlign w:val="center"/>
                </w:tcPr>
                <w:p w14:paraId="601AF51C">
                  <w:pPr>
                    <w:pStyle w:val="51"/>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地面已硬化，对防渗层进行改造</w:t>
                  </w:r>
                </w:p>
              </w:tc>
            </w:tr>
            <w:tr w14:paraId="0811A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4" w:type="dxa"/>
                  <w:vMerge w:val="restart"/>
                  <w:vAlign w:val="center"/>
                </w:tcPr>
                <w:p w14:paraId="28672C84">
                  <w:pPr>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依托工程</w:t>
                  </w:r>
                </w:p>
              </w:tc>
              <w:tc>
                <w:tcPr>
                  <w:tcW w:w="1977" w:type="dxa"/>
                  <w:gridSpan w:val="2"/>
                  <w:vAlign w:val="center"/>
                </w:tcPr>
                <w:p w14:paraId="487379CC">
                  <w:pPr>
                    <w:jc w:val="center"/>
                    <w:rPr>
                      <w:rFonts w:eastAsiaTheme="minorEastAsia"/>
                      <w:color w:val="000000" w:themeColor="text1"/>
                      <w14:textFill>
                        <w14:solidFill>
                          <w14:schemeClr w14:val="tx1"/>
                        </w14:solidFill>
                      </w14:textFill>
                    </w:rPr>
                  </w:pPr>
                  <w:r>
                    <w:rPr>
                      <w:rFonts w:hint="eastAsia" w:eastAsiaTheme="minorEastAsia"/>
                      <w:color w:val="000000" w:themeColor="text1"/>
                      <w14:textFill>
                        <w14:solidFill>
                          <w14:schemeClr w14:val="tx1"/>
                        </w14:solidFill>
                      </w14:textFill>
                    </w:rPr>
                    <w:t>办公生活区</w:t>
                  </w:r>
                </w:p>
              </w:tc>
              <w:tc>
                <w:tcPr>
                  <w:tcW w:w="4405" w:type="dxa"/>
                  <w:vAlign w:val="center"/>
                </w:tcPr>
                <w:p w14:paraId="77D9E4CE">
                  <w:pPr>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项目区不设置办公生活区，依托云南建工云岭水泥有限公司已建的配套设施，位于项目东区生产厂房的东面150m处，</w:t>
                  </w:r>
                  <w:r>
                    <w:rPr>
                      <w:color w:val="000000" w:themeColor="text1"/>
                      <w:szCs w:val="21"/>
                      <w14:textFill>
                        <w14:solidFill>
                          <w14:schemeClr w14:val="tx1"/>
                        </w14:solidFill>
                      </w14:textFill>
                    </w:rPr>
                    <w:t>为</w:t>
                  </w:r>
                  <w:r>
                    <w:rPr>
                      <w:rFonts w:hint="eastAsia"/>
                      <w:color w:val="000000" w:themeColor="text1"/>
                      <w:szCs w:val="21"/>
                      <w14:textFill>
                        <w14:solidFill>
                          <w14:schemeClr w14:val="tx1"/>
                        </w14:solidFill>
                      </w14:textFill>
                    </w:rPr>
                    <w:t>4幢5层的砖混</w:t>
                  </w:r>
                  <w:r>
                    <w:rPr>
                      <w:color w:val="000000" w:themeColor="text1"/>
                      <w:szCs w:val="21"/>
                      <w14:textFill>
                        <w14:solidFill>
                          <w14:schemeClr w14:val="tx1"/>
                        </w14:solidFill>
                      </w14:textFill>
                    </w:rPr>
                    <w:t>结构，包含办公室</w:t>
                  </w:r>
                  <w:r>
                    <w:rPr>
                      <w:rFonts w:hint="eastAsia"/>
                      <w:color w:val="000000" w:themeColor="text1"/>
                      <w:szCs w:val="21"/>
                      <w14:textFill>
                        <w14:solidFill>
                          <w14:schemeClr w14:val="tx1"/>
                        </w14:solidFill>
                      </w14:textFill>
                    </w:rPr>
                    <w:t>、食堂</w:t>
                  </w:r>
                  <w:r>
                    <w:rPr>
                      <w:color w:val="000000" w:themeColor="text1"/>
                      <w:szCs w:val="21"/>
                      <w14:textFill>
                        <w14:solidFill>
                          <w14:schemeClr w14:val="tx1"/>
                        </w14:solidFill>
                      </w14:textFill>
                    </w:rPr>
                    <w:t>等</w:t>
                  </w:r>
                  <w:r>
                    <w:rPr>
                      <w:rFonts w:hint="eastAsia"/>
                      <w:color w:val="000000" w:themeColor="text1"/>
                      <w:szCs w:val="21"/>
                      <w14:textFill>
                        <w14:solidFill>
                          <w14:schemeClr w14:val="tx1"/>
                        </w14:solidFill>
                      </w14:textFill>
                    </w:rPr>
                    <w:t>。本项目租用其中一层，可满足项目办公生活需求。云南建工云岭水泥有限公司目前有非生产性员工办公，宿舍、食堂和办公楼正常使用。</w:t>
                  </w:r>
                </w:p>
              </w:tc>
              <w:tc>
                <w:tcPr>
                  <w:tcW w:w="799" w:type="dxa"/>
                  <w:vAlign w:val="center"/>
                </w:tcPr>
                <w:p w14:paraId="1FBBFF10">
                  <w:pPr>
                    <w:pStyle w:val="51"/>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依托可行</w:t>
                  </w:r>
                </w:p>
              </w:tc>
            </w:tr>
            <w:tr w14:paraId="4175C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54" w:type="dxa"/>
                  <w:vMerge w:val="continue"/>
                  <w:vAlign w:val="center"/>
                </w:tcPr>
                <w:p w14:paraId="314CC14F">
                  <w:pPr>
                    <w:jc w:val="center"/>
                    <w:rPr>
                      <w:b/>
                      <w:bCs/>
                      <w:color w:val="000000" w:themeColor="text1"/>
                      <w:szCs w:val="21"/>
                      <w14:textFill>
                        <w14:solidFill>
                          <w14:schemeClr w14:val="tx1"/>
                        </w14:solidFill>
                      </w14:textFill>
                    </w:rPr>
                  </w:pPr>
                </w:p>
              </w:tc>
              <w:tc>
                <w:tcPr>
                  <w:tcW w:w="1977" w:type="dxa"/>
                  <w:gridSpan w:val="2"/>
                  <w:vAlign w:val="center"/>
                </w:tcPr>
                <w:p w14:paraId="71D6EA35">
                  <w:pPr>
                    <w:jc w:val="center"/>
                    <w:rPr>
                      <w:rFonts w:eastAsiaTheme="minorEastAsia"/>
                      <w:color w:val="000000" w:themeColor="text1"/>
                      <w14:textFill>
                        <w14:solidFill>
                          <w14:schemeClr w14:val="tx1"/>
                        </w14:solidFill>
                      </w14:textFill>
                    </w:rPr>
                  </w:pPr>
                  <w:r>
                    <w:rPr>
                      <w:rFonts w:hint="eastAsia" w:eastAsiaTheme="minorEastAsia"/>
                      <w:color w:val="000000" w:themeColor="text1"/>
                      <w14:textFill>
                        <w14:solidFill>
                          <w14:schemeClr w14:val="tx1"/>
                        </w14:solidFill>
                      </w14:textFill>
                    </w:rPr>
                    <w:t>污水处理设备</w:t>
                  </w:r>
                </w:p>
              </w:tc>
              <w:tc>
                <w:tcPr>
                  <w:tcW w:w="4405" w:type="dxa"/>
                  <w:vAlign w:val="center"/>
                </w:tcPr>
                <w:p w14:paraId="061253CC">
                  <w:pPr>
                    <w:rPr>
                      <w:color w:val="000000" w:themeColor="text1"/>
                      <w:szCs w:val="21"/>
                      <w14:textFill>
                        <w14:solidFill>
                          <w14:schemeClr w14:val="tx1"/>
                        </w14:solidFill>
                      </w14:textFill>
                    </w:rPr>
                  </w:pPr>
                  <w:r>
                    <w:rPr>
                      <w:rFonts w:hint="eastAsia"/>
                      <w:color w:val="000000" w:themeColor="text1"/>
                      <w14:textFill>
                        <w14:solidFill>
                          <w14:schemeClr w14:val="tx1"/>
                        </w14:solidFill>
                      </w14:textFill>
                    </w:rPr>
                    <w:t>本项目员工不在厂区内食宿，依托</w:t>
                  </w:r>
                  <w:r>
                    <w:rPr>
                      <w:color w:val="000000" w:themeColor="text1"/>
                      <w:szCs w:val="21"/>
                      <w14:textFill>
                        <w14:solidFill>
                          <w14:schemeClr w14:val="tx1"/>
                        </w14:solidFill>
                      </w14:textFill>
                    </w:rPr>
                    <w:t>云南建工云岭水泥有限公司已建</w:t>
                  </w:r>
                  <w:r>
                    <w:rPr>
                      <w:rFonts w:hint="eastAsia"/>
                      <w:color w:val="000000" w:themeColor="text1"/>
                      <w:szCs w:val="21"/>
                      <w14:textFill>
                        <w14:solidFill>
                          <w14:schemeClr w14:val="tx1"/>
                        </w14:solidFill>
                      </w14:textFill>
                    </w:rPr>
                    <w:t>办公生活设施。云南建工云岭水泥有限公司宿舍、食堂和办公楼目前正常使用，生活污水总产生量约为11m</w:t>
                  </w:r>
                  <w:r>
                    <w:rPr>
                      <w:rFonts w:hint="eastAsia"/>
                      <w:color w:val="000000" w:themeColor="text1"/>
                      <w:szCs w:val="21"/>
                      <w:vertAlign w:val="superscript"/>
                      <w14:textFill>
                        <w14:solidFill>
                          <w14:schemeClr w14:val="tx1"/>
                        </w14:solidFill>
                      </w14:textFill>
                    </w:rPr>
                    <w:t>3</w:t>
                  </w:r>
                  <w:r>
                    <w:rPr>
                      <w:rFonts w:hint="eastAsia"/>
                      <w:color w:val="000000" w:themeColor="text1"/>
                      <w:szCs w:val="21"/>
                      <w14:textFill>
                        <w14:solidFill>
                          <w14:schemeClr w14:val="tx1"/>
                        </w14:solidFill>
                      </w14:textFill>
                    </w:rPr>
                    <w:t>/d，经5m</w:t>
                  </w:r>
                  <w:r>
                    <w:rPr>
                      <w:rFonts w:hint="eastAsia"/>
                      <w:color w:val="000000" w:themeColor="text1"/>
                      <w:szCs w:val="21"/>
                      <w:vertAlign w:val="superscript"/>
                      <w14:textFill>
                        <w14:solidFill>
                          <w14:schemeClr w14:val="tx1"/>
                        </w14:solidFill>
                      </w14:textFill>
                    </w:rPr>
                    <w:t>3</w:t>
                  </w:r>
                  <w:r>
                    <w:rPr>
                      <w:rFonts w:hint="eastAsia"/>
                      <w:color w:val="000000" w:themeColor="text1"/>
                      <w:szCs w:val="21"/>
                      <w14:textFill>
                        <w14:solidFill>
                          <w14:schemeClr w14:val="tx1"/>
                        </w14:solidFill>
                      </w14:textFill>
                    </w:rPr>
                    <w:t>的隔油池和60m</w:t>
                  </w:r>
                  <w:r>
                    <w:rPr>
                      <w:rFonts w:hint="eastAsia"/>
                      <w:color w:val="000000" w:themeColor="text1"/>
                      <w:szCs w:val="21"/>
                      <w:vertAlign w:val="superscript"/>
                      <w14:textFill>
                        <w14:solidFill>
                          <w14:schemeClr w14:val="tx1"/>
                        </w14:solidFill>
                      </w14:textFill>
                    </w:rPr>
                    <w:t>3</w:t>
                  </w:r>
                  <w:r>
                    <w:rPr>
                      <w:rFonts w:hint="eastAsia"/>
                      <w:color w:val="000000" w:themeColor="text1"/>
                      <w:szCs w:val="21"/>
                      <w14:textFill>
                        <w14:solidFill>
                          <w14:schemeClr w14:val="tx1"/>
                        </w14:solidFill>
                      </w14:textFill>
                    </w:rPr>
                    <w:t>化粪池预处理后排入污水处理站处理，达标后排至200m</w:t>
                  </w:r>
                  <w:r>
                    <w:rPr>
                      <w:rFonts w:hint="eastAsia"/>
                      <w:color w:val="000000" w:themeColor="text1"/>
                      <w:szCs w:val="21"/>
                      <w:vertAlign w:val="superscript"/>
                      <w14:textFill>
                        <w14:solidFill>
                          <w14:schemeClr w14:val="tx1"/>
                        </w14:solidFill>
                      </w14:textFill>
                    </w:rPr>
                    <w:t>3</w:t>
                  </w:r>
                  <w:r>
                    <w:rPr>
                      <w:rFonts w:hint="eastAsia"/>
                      <w:color w:val="000000" w:themeColor="text1"/>
                      <w:szCs w:val="21"/>
                      <w14:textFill>
                        <w14:solidFill>
                          <w14:schemeClr w14:val="tx1"/>
                        </w14:solidFill>
                      </w14:textFill>
                    </w:rPr>
                    <w:t>的蓄水池储存，用于厂区的绿化和洒水降尘，各污水处理设施可满足要求。</w:t>
                  </w:r>
                </w:p>
              </w:tc>
              <w:tc>
                <w:tcPr>
                  <w:tcW w:w="799" w:type="dxa"/>
                  <w:vAlign w:val="center"/>
                </w:tcPr>
                <w:p w14:paraId="4666491B">
                  <w:pPr>
                    <w:pStyle w:val="51"/>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依托可行</w:t>
                  </w:r>
                </w:p>
              </w:tc>
            </w:tr>
          </w:tbl>
          <w:p w14:paraId="5CF80546">
            <w:pPr>
              <w:adjustRightInd w:val="0"/>
              <w:snapToGrid w:val="0"/>
              <w:spacing w:before="120" w:beforeLines="50" w:line="360" w:lineRule="auto"/>
              <w:rPr>
                <w:b/>
                <w:color w:val="000000" w:themeColor="text1"/>
                <w:sz w:val="24"/>
                <w14:textFill>
                  <w14:solidFill>
                    <w14:schemeClr w14:val="tx1"/>
                  </w14:solidFill>
                </w14:textFill>
              </w:rPr>
            </w:pPr>
            <w:r>
              <w:rPr>
                <w:b/>
                <w:color w:val="000000" w:themeColor="text1"/>
                <w:sz w:val="24"/>
                <w14:textFill>
                  <w14:solidFill>
                    <w14:schemeClr w14:val="tx1"/>
                  </w14:solidFill>
                </w14:textFill>
              </w:rPr>
              <w:t>二、主要产品及产能</w:t>
            </w:r>
          </w:p>
          <w:p w14:paraId="045B2F16">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本项目主要产品及产能详见下表。</w:t>
            </w:r>
          </w:p>
          <w:p w14:paraId="6149D8E8">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表2-</w:t>
            </w:r>
            <w:r>
              <w:rPr>
                <w:rFonts w:hint="eastAsia"/>
                <w:b/>
                <w:color w:val="000000" w:themeColor="text1"/>
                <w:szCs w:val="21"/>
                <w14:textFill>
                  <w14:solidFill>
                    <w14:schemeClr w14:val="tx1"/>
                  </w14:solidFill>
                </w14:textFill>
              </w:rPr>
              <w:t>2</w:t>
            </w:r>
            <w:r>
              <w:rPr>
                <w:b/>
                <w:color w:val="000000" w:themeColor="text1"/>
                <w:szCs w:val="21"/>
                <w14:textFill>
                  <w14:solidFill>
                    <w14:schemeClr w14:val="tx1"/>
                  </w14:solidFill>
                </w14:textFill>
              </w:rPr>
              <w:t xml:space="preserve">   本项目产品方案一览表</w:t>
            </w:r>
          </w:p>
          <w:tbl>
            <w:tblPr>
              <w:tblStyle w:val="25"/>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9"/>
              <w:gridCol w:w="800"/>
              <w:gridCol w:w="1150"/>
              <w:gridCol w:w="1000"/>
              <w:gridCol w:w="1516"/>
              <w:gridCol w:w="2309"/>
            </w:tblGrid>
            <w:tr w14:paraId="3B44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09" w:type="dxa"/>
                  <w:vAlign w:val="center"/>
                </w:tcPr>
                <w:p w14:paraId="4480BEC2">
                  <w:pPr>
                    <w:jc w:val="center"/>
                    <w:rPr>
                      <w:bCs/>
                      <w:snapToGrid w:val="0"/>
                      <w:color w:val="000000" w:themeColor="text1"/>
                      <w:kern w:val="0"/>
                      <w:szCs w:val="21"/>
                      <w14:textFill>
                        <w14:solidFill>
                          <w14:schemeClr w14:val="tx1"/>
                        </w14:solidFill>
                      </w14:textFill>
                    </w:rPr>
                  </w:pPr>
                  <w:r>
                    <w:rPr>
                      <w:bCs/>
                      <w:snapToGrid w:val="0"/>
                      <w:color w:val="000000" w:themeColor="text1"/>
                      <w:kern w:val="0"/>
                      <w:szCs w:val="21"/>
                      <w14:textFill>
                        <w14:solidFill>
                          <w14:schemeClr w14:val="tx1"/>
                        </w14:solidFill>
                      </w14:textFill>
                    </w:rPr>
                    <w:t>产品名称</w:t>
                  </w:r>
                </w:p>
              </w:tc>
              <w:tc>
                <w:tcPr>
                  <w:tcW w:w="800" w:type="dxa"/>
                  <w:vAlign w:val="center"/>
                </w:tcPr>
                <w:p w14:paraId="3D5C022E">
                  <w:pPr>
                    <w:jc w:val="center"/>
                    <w:rPr>
                      <w:bCs/>
                      <w:snapToGrid w:val="0"/>
                      <w:color w:val="000000" w:themeColor="text1"/>
                      <w:kern w:val="0"/>
                      <w:szCs w:val="21"/>
                      <w14:textFill>
                        <w14:solidFill>
                          <w14:schemeClr w14:val="tx1"/>
                        </w14:solidFill>
                      </w14:textFill>
                    </w:rPr>
                  </w:pPr>
                  <w:r>
                    <w:rPr>
                      <w:bCs/>
                      <w:snapToGrid w:val="0"/>
                      <w:color w:val="000000" w:themeColor="text1"/>
                      <w:kern w:val="0"/>
                      <w:szCs w:val="21"/>
                      <w14:textFill>
                        <w14:solidFill>
                          <w14:schemeClr w14:val="tx1"/>
                        </w14:solidFill>
                      </w14:textFill>
                    </w:rPr>
                    <w:t>生产线</w:t>
                  </w:r>
                </w:p>
              </w:tc>
              <w:tc>
                <w:tcPr>
                  <w:tcW w:w="1150" w:type="dxa"/>
                  <w:vAlign w:val="center"/>
                </w:tcPr>
                <w:p w14:paraId="779EA052">
                  <w:pPr>
                    <w:jc w:val="center"/>
                    <w:rPr>
                      <w:bCs/>
                      <w:snapToGrid w:val="0"/>
                      <w:color w:val="000000" w:themeColor="text1"/>
                      <w:kern w:val="0"/>
                      <w:szCs w:val="21"/>
                      <w14:textFill>
                        <w14:solidFill>
                          <w14:schemeClr w14:val="tx1"/>
                        </w14:solidFill>
                      </w14:textFill>
                    </w:rPr>
                  </w:pPr>
                  <w:r>
                    <w:rPr>
                      <w:bCs/>
                      <w:snapToGrid w:val="0"/>
                      <w:color w:val="000000" w:themeColor="text1"/>
                      <w:kern w:val="0"/>
                      <w:szCs w:val="21"/>
                      <w14:textFill>
                        <w14:solidFill>
                          <w14:schemeClr w14:val="tx1"/>
                        </w14:solidFill>
                      </w14:textFill>
                    </w:rPr>
                    <w:t>产能（</w:t>
                  </w:r>
                  <w:r>
                    <w:rPr>
                      <w:rFonts w:hint="eastAsia"/>
                      <w:bCs/>
                      <w:snapToGrid w:val="0"/>
                      <w:color w:val="000000" w:themeColor="text1"/>
                      <w:kern w:val="0"/>
                      <w:szCs w:val="21"/>
                      <w14:textFill>
                        <w14:solidFill>
                          <w14:schemeClr w14:val="tx1"/>
                        </w14:solidFill>
                      </w14:textFill>
                    </w:rPr>
                    <w:t>t</w:t>
                  </w:r>
                  <w:r>
                    <w:rPr>
                      <w:bCs/>
                      <w:snapToGrid w:val="0"/>
                      <w:color w:val="000000" w:themeColor="text1"/>
                      <w:kern w:val="0"/>
                      <w:szCs w:val="21"/>
                      <w14:textFill>
                        <w14:solidFill>
                          <w14:schemeClr w14:val="tx1"/>
                        </w14:solidFill>
                      </w14:textFill>
                    </w:rPr>
                    <w:t>/a）</w:t>
                  </w:r>
                </w:p>
              </w:tc>
              <w:tc>
                <w:tcPr>
                  <w:tcW w:w="1000" w:type="dxa"/>
                  <w:vAlign w:val="center"/>
                </w:tcPr>
                <w:p w14:paraId="26E53A66">
                  <w:pPr>
                    <w:jc w:val="center"/>
                    <w:rPr>
                      <w:bCs/>
                      <w:snapToGrid w:val="0"/>
                      <w:color w:val="000000" w:themeColor="text1"/>
                      <w:kern w:val="0"/>
                      <w:szCs w:val="21"/>
                      <w14:textFill>
                        <w14:solidFill>
                          <w14:schemeClr w14:val="tx1"/>
                        </w14:solidFill>
                      </w14:textFill>
                    </w:rPr>
                  </w:pPr>
                  <w:r>
                    <w:rPr>
                      <w:bCs/>
                      <w:snapToGrid w:val="0"/>
                      <w:color w:val="000000" w:themeColor="text1"/>
                      <w:kern w:val="0"/>
                      <w:szCs w:val="21"/>
                      <w14:textFill>
                        <w14:solidFill>
                          <w14:schemeClr w14:val="tx1"/>
                        </w14:solidFill>
                      </w14:textFill>
                    </w:rPr>
                    <w:t>产品形态</w:t>
                  </w:r>
                </w:p>
              </w:tc>
              <w:tc>
                <w:tcPr>
                  <w:tcW w:w="1516" w:type="dxa"/>
                  <w:vAlign w:val="center"/>
                </w:tcPr>
                <w:p w14:paraId="7639519B">
                  <w:pPr>
                    <w:jc w:val="center"/>
                    <w:rPr>
                      <w:bCs/>
                      <w:snapToGrid w:val="0"/>
                      <w:color w:val="000000" w:themeColor="text1"/>
                      <w:kern w:val="0"/>
                      <w:szCs w:val="21"/>
                      <w14:textFill>
                        <w14:solidFill>
                          <w14:schemeClr w14:val="tx1"/>
                        </w14:solidFill>
                      </w14:textFill>
                    </w:rPr>
                  </w:pPr>
                  <w:r>
                    <w:rPr>
                      <w:bCs/>
                      <w:snapToGrid w:val="0"/>
                      <w:color w:val="000000" w:themeColor="text1"/>
                      <w:kern w:val="0"/>
                      <w:szCs w:val="21"/>
                      <w14:textFill>
                        <w14:solidFill>
                          <w14:schemeClr w14:val="tx1"/>
                        </w14:solidFill>
                      </w14:textFill>
                    </w:rPr>
                    <w:t>包装形式</w:t>
                  </w:r>
                </w:p>
              </w:tc>
              <w:tc>
                <w:tcPr>
                  <w:tcW w:w="2309" w:type="dxa"/>
                  <w:vAlign w:val="center"/>
                </w:tcPr>
                <w:p w14:paraId="11FCA027">
                  <w:pPr>
                    <w:jc w:val="center"/>
                    <w:rPr>
                      <w:bCs/>
                      <w:snapToGrid w:val="0"/>
                      <w:color w:val="000000" w:themeColor="text1"/>
                      <w:kern w:val="0"/>
                      <w:szCs w:val="21"/>
                      <w14:textFill>
                        <w14:solidFill>
                          <w14:schemeClr w14:val="tx1"/>
                        </w14:solidFill>
                      </w14:textFill>
                    </w:rPr>
                  </w:pPr>
                  <w:r>
                    <w:rPr>
                      <w:rFonts w:hint="eastAsia"/>
                      <w:bCs/>
                      <w:snapToGrid w:val="0"/>
                      <w:color w:val="000000" w:themeColor="text1"/>
                      <w:kern w:val="0"/>
                      <w:szCs w:val="21"/>
                      <w14:textFill>
                        <w14:solidFill>
                          <w14:schemeClr w14:val="tx1"/>
                        </w14:solidFill>
                      </w14:textFill>
                    </w:rPr>
                    <w:t>备注</w:t>
                  </w:r>
                </w:p>
              </w:tc>
            </w:tr>
            <w:tr w14:paraId="03C1D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209" w:type="dxa"/>
                  <w:vAlign w:val="center"/>
                </w:tcPr>
                <w:p w14:paraId="4995EB54">
                  <w:pPr>
                    <w:pStyle w:val="54"/>
                    <w:ind w:firstLine="0" w:firstLineChars="0"/>
                    <w:jc w:val="center"/>
                    <w:rPr>
                      <w:snapToGrid w:val="0"/>
                      <w:color w:val="000000" w:themeColor="text1"/>
                      <w:kern w:val="0"/>
                      <w:szCs w:val="21"/>
                      <w14:textFill>
                        <w14:solidFill>
                          <w14:schemeClr w14:val="tx1"/>
                        </w14:solidFill>
                      </w14:textFill>
                    </w:rPr>
                  </w:pPr>
                  <w:r>
                    <w:rPr>
                      <w:rFonts w:hint="eastAsia"/>
                      <w:snapToGrid w:val="0"/>
                      <w:color w:val="000000" w:themeColor="text1"/>
                      <w:kern w:val="0"/>
                      <w:szCs w:val="21"/>
                      <w14:textFill>
                        <w14:solidFill>
                          <w14:schemeClr w14:val="tx1"/>
                        </w14:solidFill>
                      </w14:textFill>
                    </w:rPr>
                    <w:t>有机肥</w:t>
                  </w:r>
                </w:p>
              </w:tc>
              <w:tc>
                <w:tcPr>
                  <w:tcW w:w="800" w:type="dxa"/>
                  <w:vAlign w:val="center"/>
                </w:tcPr>
                <w:p w14:paraId="0F0D0BAC">
                  <w:pPr>
                    <w:jc w:val="center"/>
                    <w:rPr>
                      <w:snapToGrid w:val="0"/>
                      <w:color w:val="000000" w:themeColor="text1"/>
                      <w:kern w:val="0"/>
                      <w:szCs w:val="21"/>
                      <w14:textFill>
                        <w14:solidFill>
                          <w14:schemeClr w14:val="tx1"/>
                        </w14:solidFill>
                      </w14:textFill>
                    </w:rPr>
                  </w:pPr>
                  <w:r>
                    <w:rPr>
                      <w:rFonts w:hint="eastAsia"/>
                      <w:snapToGrid w:val="0"/>
                      <w:color w:val="000000" w:themeColor="text1"/>
                      <w:kern w:val="0"/>
                      <w:szCs w:val="21"/>
                      <w14:textFill>
                        <w14:solidFill>
                          <w14:schemeClr w14:val="tx1"/>
                        </w14:solidFill>
                      </w14:textFill>
                    </w:rPr>
                    <w:t>1条</w:t>
                  </w:r>
                </w:p>
              </w:tc>
              <w:tc>
                <w:tcPr>
                  <w:tcW w:w="1150" w:type="dxa"/>
                  <w:vAlign w:val="center"/>
                </w:tcPr>
                <w:p w14:paraId="36760F7B">
                  <w:pPr>
                    <w:pStyle w:val="54"/>
                    <w:ind w:firstLine="0" w:firstLineChars="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50000</w:t>
                  </w:r>
                </w:p>
              </w:tc>
              <w:tc>
                <w:tcPr>
                  <w:tcW w:w="1000" w:type="dxa"/>
                  <w:vAlign w:val="center"/>
                </w:tcPr>
                <w:p w14:paraId="38F9C23E">
                  <w:pPr>
                    <w:pStyle w:val="54"/>
                    <w:ind w:firstLine="0" w:firstLineChars="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粉状</w:t>
                  </w:r>
                </w:p>
              </w:tc>
              <w:tc>
                <w:tcPr>
                  <w:tcW w:w="1516" w:type="dxa"/>
                  <w:vAlign w:val="center"/>
                </w:tcPr>
                <w:p w14:paraId="7F75D4D1">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袋装</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40kg</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袋</w:t>
                  </w:r>
                </w:p>
              </w:tc>
              <w:tc>
                <w:tcPr>
                  <w:tcW w:w="2309" w:type="dxa"/>
                  <w:vAlign w:val="center"/>
                </w:tcPr>
                <w:p w14:paraId="20D3A448">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产品执行《有机肥料》（NY/T525-2026）</w:t>
                  </w:r>
                </w:p>
              </w:tc>
            </w:tr>
          </w:tbl>
          <w:p w14:paraId="47ED802F">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根据</w:t>
            </w:r>
            <w:r>
              <w:rPr>
                <w:bCs/>
                <w:color w:val="000000" w:themeColor="text1"/>
                <w:sz w:val="24"/>
                <w14:textFill>
                  <w14:solidFill>
                    <w14:schemeClr w14:val="tx1"/>
                  </w14:solidFill>
                </w14:textFill>
              </w:rPr>
              <w:t>《有机肥料》（NY/T525-</w:t>
            </w:r>
            <w:r>
              <w:rPr>
                <w:rFonts w:hint="eastAsia"/>
                <w:bCs/>
                <w:color w:val="000000" w:themeColor="text1"/>
                <w:sz w:val="24"/>
                <w14:textFill>
                  <w14:solidFill>
                    <w14:schemeClr w14:val="tx1"/>
                  </w14:solidFill>
                </w14:textFill>
              </w:rPr>
              <w:t>2026</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中有机肥料定义：“主要来源于植物和/或动物，经过发酵腐熟的含碳有机肥料，其功能是改善土壤肥力、提供植物营养，提高作物品质”。根据项目生产工艺，项目采用低变质褐煤、锯木屑、尿素，在添加发酵菌剂的同时，通过严格控制含水率、碳氮比等条件下进行发酵，属于生产有机肥料的范畴。本项目有机肥年生产量为50000t，产品质量执行</w:t>
            </w:r>
            <w:r>
              <w:rPr>
                <w:bCs/>
                <w:color w:val="000000" w:themeColor="text1"/>
                <w:sz w:val="24"/>
                <w14:textFill>
                  <w14:solidFill>
                    <w14:schemeClr w14:val="tx1"/>
                  </w14:solidFill>
                </w14:textFill>
              </w:rPr>
              <w:t>《有机肥料》（NY/T525-</w:t>
            </w:r>
            <w:r>
              <w:rPr>
                <w:rFonts w:hint="eastAsia"/>
                <w:bCs/>
                <w:color w:val="000000" w:themeColor="text1"/>
                <w:sz w:val="24"/>
                <w14:textFill>
                  <w14:solidFill>
                    <w14:schemeClr w14:val="tx1"/>
                  </w14:solidFill>
                </w14:textFill>
              </w:rPr>
              <w:t>2026</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w:t>
            </w:r>
          </w:p>
          <w:p w14:paraId="5432721E">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《有机肥料》（NY/T525-</w:t>
            </w:r>
            <w:r>
              <w:rPr>
                <w:rFonts w:hint="eastAsia"/>
                <w:bCs/>
                <w:color w:val="000000" w:themeColor="text1"/>
                <w:sz w:val="24"/>
                <w14:textFill>
                  <w14:solidFill>
                    <w14:schemeClr w14:val="tx1"/>
                  </w14:solidFill>
                </w14:textFill>
              </w:rPr>
              <w:t>2026</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：要求产品外观均匀，粉状或粒（柱）状，无恶臭，目视、鼻嗅测定。产品技术指标应符合表2-3的要求，有机肥料中重金属的限量指标应符合表2-4的要求。</w:t>
            </w:r>
          </w:p>
          <w:p w14:paraId="62CDADEA">
            <w:pPr>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表2-3  有机肥技术指标</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02"/>
              <w:gridCol w:w="1433"/>
            </w:tblGrid>
            <w:tr w14:paraId="2CE0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6502" w:type="dxa"/>
                  <w:vAlign w:val="center"/>
                </w:tcPr>
                <w:p w14:paraId="74BF068C">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项目</w:t>
                  </w:r>
                </w:p>
              </w:tc>
              <w:tc>
                <w:tcPr>
                  <w:tcW w:w="1433" w:type="dxa"/>
                  <w:vAlign w:val="center"/>
                </w:tcPr>
                <w:p w14:paraId="0C91257C">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指标</w:t>
                  </w:r>
                </w:p>
              </w:tc>
            </w:tr>
            <w:tr w14:paraId="163FB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6502" w:type="dxa"/>
                  <w:vAlign w:val="center"/>
                </w:tcPr>
                <w:p w14:paraId="37E710F2">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有机质的质量分数（以烘干基计）/（%）</w:t>
                  </w:r>
                </w:p>
              </w:tc>
              <w:tc>
                <w:tcPr>
                  <w:tcW w:w="1433" w:type="dxa"/>
                  <w:vAlign w:val="center"/>
                </w:tcPr>
                <w:p w14:paraId="39FBB007">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w:t>
                  </w:r>
                  <w:r>
                    <w:rPr>
                      <w:color w:val="000000" w:themeColor="text1"/>
                      <w:szCs w:val="21"/>
                      <w14:textFill>
                        <w14:solidFill>
                          <w14:schemeClr w14:val="tx1"/>
                        </w14:solidFill>
                      </w14:textFill>
                    </w:rPr>
                    <w:t>30</w:t>
                  </w:r>
                </w:p>
              </w:tc>
            </w:tr>
            <w:tr w14:paraId="761FE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6502" w:type="dxa"/>
                  <w:vAlign w:val="center"/>
                </w:tcPr>
                <w:p w14:paraId="5408038C">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总养分（氮+五氧化二磷+氧化钾）的质量分数（以烘干基计）/（%）</w:t>
                  </w:r>
                </w:p>
              </w:tc>
              <w:tc>
                <w:tcPr>
                  <w:tcW w:w="1433" w:type="dxa"/>
                  <w:vAlign w:val="center"/>
                </w:tcPr>
                <w:p w14:paraId="66B4AE8F">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≥4.0</w:t>
                  </w:r>
                </w:p>
              </w:tc>
            </w:tr>
            <w:tr w14:paraId="79820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6502" w:type="dxa"/>
                  <w:vAlign w:val="center"/>
                </w:tcPr>
                <w:p w14:paraId="69779944">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水分（鲜样）的质量分数/（%）</w:t>
                  </w:r>
                </w:p>
              </w:tc>
              <w:tc>
                <w:tcPr>
                  <w:tcW w:w="1433" w:type="dxa"/>
                  <w:vAlign w:val="center"/>
                </w:tcPr>
                <w:p w14:paraId="3F9FE3F1">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≤30</w:t>
                  </w:r>
                </w:p>
              </w:tc>
            </w:tr>
            <w:tr w14:paraId="33EA4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6502" w:type="dxa"/>
                  <w:vAlign w:val="center"/>
                </w:tcPr>
                <w:p w14:paraId="10F70D1B">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酸碱度（pH）</w:t>
                  </w:r>
                </w:p>
              </w:tc>
              <w:tc>
                <w:tcPr>
                  <w:tcW w:w="1433" w:type="dxa"/>
                  <w:vAlign w:val="center"/>
                </w:tcPr>
                <w:p w14:paraId="13F2670D">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5.5—8.5</w:t>
                  </w:r>
                </w:p>
              </w:tc>
            </w:tr>
            <w:tr w14:paraId="738DB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6502" w:type="dxa"/>
                  <w:vAlign w:val="center"/>
                </w:tcPr>
                <w:p w14:paraId="3D35719A">
                  <w:pPr>
                    <w:widowControl/>
                    <w:adjustRightInd w:val="0"/>
                    <w:snapToGrid w:val="0"/>
                    <w:jc w:val="center"/>
                    <w:textAlignment w:val="baseline"/>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机械杂质的质量分数，%</w:t>
                  </w:r>
                </w:p>
              </w:tc>
              <w:tc>
                <w:tcPr>
                  <w:tcW w:w="1433" w:type="dxa"/>
                  <w:vAlign w:val="center"/>
                </w:tcPr>
                <w:p w14:paraId="47C22218">
                  <w:pPr>
                    <w:widowControl/>
                    <w:adjustRightInd w:val="0"/>
                    <w:snapToGrid w:val="0"/>
                    <w:jc w:val="center"/>
                    <w:textAlignment w:val="baseline"/>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≤0.5</w:t>
                  </w:r>
                </w:p>
              </w:tc>
            </w:tr>
          </w:tbl>
          <w:p w14:paraId="296FD20F">
            <w:pPr>
              <w:adjustRightInd w:val="0"/>
              <w:snapToGrid w:val="0"/>
              <w:spacing w:before="120" w:beforeLines="50"/>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表2-4  有机肥料中重金属的限量指标</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390"/>
              <w:gridCol w:w="938"/>
              <w:gridCol w:w="3607"/>
            </w:tblGrid>
            <w:tr w14:paraId="0DD37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90" w:type="dxa"/>
                  <w:vAlign w:val="center"/>
                </w:tcPr>
                <w:p w14:paraId="5A4A2E9E">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项目</w:t>
                  </w:r>
                </w:p>
              </w:tc>
              <w:tc>
                <w:tcPr>
                  <w:tcW w:w="938" w:type="dxa"/>
                  <w:vAlign w:val="center"/>
                </w:tcPr>
                <w:p w14:paraId="5B92E73B">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限量指标</w:t>
                  </w:r>
                </w:p>
              </w:tc>
              <w:tc>
                <w:tcPr>
                  <w:tcW w:w="3607" w:type="dxa"/>
                  <w:vAlign w:val="center"/>
                </w:tcPr>
                <w:p w14:paraId="74011884">
                  <w:pPr>
                    <w:widowControl/>
                    <w:adjustRightInd w:val="0"/>
                    <w:snapToGrid w:val="0"/>
                    <w:jc w:val="center"/>
                    <w:textAlignment w:val="baseline"/>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检测方法</w:t>
                  </w:r>
                </w:p>
              </w:tc>
            </w:tr>
            <w:tr w14:paraId="4EF6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90" w:type="dxa"/>
                  <w:vAlign w:val="center"/>
                </w:tcPr>
                <w:p w14:paraId="59D6271A">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总砷（As）（以烘干基计）/（mg/kg）</w:t>
                  </w:r>
                </w:p>
              </w:tc>
              <w:tc>
                <w:tcPr>
                  <w:tcW w:w="938" w:type="dxa"/>
                  <w:vAlign w:val="center"/>
                </w:tcPr>
                <w:p w14:paraId="3096D485">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≤15</w:t>
                  </w:r>
                </w:p>
              </w:tc>
              <w:tc>
                <w:tcPr>
                  <w:tcW w:w="3607" w:type="dxa"/>
                  <w:vMerge w:val="restart"/>
                  <w:vAlign w:val="center"/>
                </w:tcPr>
                <w:p w14:paraId="7332EDC7">
                  <w:pPr>
                    <w:widowControl/>
                    <w:adjustRightInd w:val="0"/>
                    <w:snapToGrid w:val="0"/>
                    <w:jc w:val="center"/>
                    <w:textAlignment w:val="baseline"/>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按照NY/T1987的规定执行，以烘干基计算</w:t>
                  </w:r>
                </w:p>
              </w:tc>
            </w:tr>
            <w:tr w14:paraId="10E7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90" w:type="dxa"/>
                  <w:vAlign w:val="center"/>
                </w:tcPr>
                <w:p w14:paraId="2AB97945">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总汞（Hg）（以烘干基计）/（mg/kg）</w:t>
                  </w:r>
                </w:p>
              </w:tc>
              <w:tc>
                <w:tcPr>
                  <w:tcW w:w="938" w:type="dxa"/>
                  <w:vAlign w:val="center"/>
                </w:tcPr>
                <w:p w14:paraId="14A70544">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≤2</w:t>
                  </w:r>
                </w:p>
              </w:tc>
              <w:tc>
                <w:tcPr>
                  <w:tcW w:w="3607" w:type="dxa"/>
                  <w:vMerge w:val="continue"/>
                  <w:vAlign w:val="center"/>
                </w:tcPr>
                <w:p w14:paraId="1794E117">
                  <w:pPr>
                    <w:widowControl/>
                    <w:adjustRightInd w:val="0"/>
                    <w:snapToGrid w:val="0"/>
                    <w:jc w:val="center"/>
                    <w:textAlignment w:val="baseline"/>
                    <w:rPr>
                      <w:color w:val="000000" w:themeColor="text1"/>
                      <w:kern w:val="0"/>
                      <w:szCs w:val="21"/>
                      <w:lang w:bidi="ar"/>
                      <w14:textFill>
                        <w14:solidFill>
                          <w14:schemeClr w14:val="tx1"/>
                        </w14:solidFill>
                      </w14:textFill>
                    </w:rPr>
                  </w:pPr>
                </w:p>
              </w:tc>
            </w:tr>
            <w:tr w14:paraId="1EB31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90" w:type="dxa"/>
                  <w:vAlign w:val="center"/>
                </w:tcPr>
                <w:p w14:paraId="52FD2C7D">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总铅（Pb）（以烘干基计）/（mg/kg）</w:t>
                  </w:r>
                </w:p>
              </w:tc>
              <w:tc>
                <w:tcPr>
                  <w:tcW w:w="938" w:type="dxa"/>
                  <w:vAlign w:val="center"/>
                </w:tcPr>
                <w:p w14:paraId="096C6F84">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≤50</w:t>
                  </w:r>
                </w:p>
              </w:tc>
              <w:tc>
                <w:tcPr>
                  <w:tcW w:w="3607" w:type="dxa"/>
                  <w:vMerge w:val="continue"/>
                  <w:vAlign w:val="center"/>
                </w:tcPr>
                <w:p w14:paraId="7642B050">
                  <w:pPr>
                    <w:widowControl/>
                    <w:adjustRightInd w:val="0"/>
                    <w:snapToGrid w:val="0"/>
                    <w:jc w:val="center"/>
                    <w:textAlignment w:val="baseline"/>
                    <w:rPr>
                      <w:color w:val="000000" w:themeColor="text1"/>
                      <w:kern w:val="0"/>
                      <w:szCs w:val="21"/>
                      <w:lang w:bidi="ar"/>
                      <w14:textFill>
                        <w14:solidFill>
                          <w14:schemeClr w14:val="tx1"/>
                        </w14:solidFill>
                      </w14:textFill>
                    </w:rPr>
                  </w:pPr>
                </w:p>
              </w:tc>
            </w:tr>
            <w:tr w14:paraId="02A99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90" w:type="dxa"/>
                  <w:vAlign w:val="center"/>
                </w:tcPr>
                <w:p w14:paraId="7CF04A4F">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总镉（Cd）（以烘干基计）/（mg/kg）</w:t>
                  </w:r>
                </w:p>
              </w:tc>
              <w:tc>
                <w:tcPr>
                  <w:tcW w:w="938" w:type="dxa"/>
                  <w:vAlign w:val="center"/>
                </w:tcPr>
                <w:p w14:paraId="0C57EEF8">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≤3</w:t>
                  </w:r>
                </w:p>
              </w:tc>
              <w:tc>
                <w:tcPr>
                  <w:tcW w:w="3607" w:type="dxa"/>
                  <w:vMerge w:val="continue"/>
                  <w:vAlign w:val="center"/>
                </w:tcPr>
                <w:p w14:paraId="387E168A">
                  <w:pPr>
                    <w:widowControl/>
                    <w:adjustRightInd w:val="0"/>
                    <w:snapToGrid w:val="0"/>
                    <w:jc w:val="center"/>
                    <w:textAlignment w:val="baseline"/>
                    <w:rPr>
                      <w:color w:val="000000" w:themeColor="text1"/>
                      <w:kern w:val="0"/>
                      <w:szCs w:val="21"/>
                      <w:lang w:bidi="ar"/>
                      <w14:textFill>
                        <w14:solidFill>
                          <w14:schemeClr w14:val="tx1"/>
                        </w14:solidFill>
                      </w14:textFill>
                    </w:rPr>
                  </w:pPr>
                </w:p>
              </w:tc>
            </w:tr>
            <w:tr w14:paraId="4BD6E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90" w:type="dxa"/>
                  <w:vAlign w:val="center"/>
                </w:tcPr>
                <w:p w14:paraId="61E03C68">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总铬（Cr）（以烘干基计）/（mg/kg）</w:t>
                  </w:r>
                </w:p>
              </w:tc>
              <w:tc>
                <w:tcPr>
                  <w:tcW w:w="938" w:type="dxa"/>
                  <w:vAlign w:val="center"/>
                </w:tcPr>
                <w:p w14:paraId="7677B30A">
                  <w:pPr>
                    <w:widowControl/>
                    <w:adjustRightInd w:val="0"/>
                    <w:snapToGrid w:val="0"/>
                    <w:jc w:val="center"/>
                    <w:textAlignment w:val="baseline"/>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≤150</w:t>
                  </w:r>
                </w:p>
              </w:tc>
              <w:tc>
                <w:tcPr>
                  <w:tcW w:w="3607" w:type="dxa"/>
                  <w:vMerge w:val="continue"/>
                  <w:vAlign w:val="center"/>
                </w:tcPr>
                <w:p w14:paraId="3D8E540F">
                  <w:pPr>
                    <w:widowControl/>
                    <w:adjustRightInd w:val="0"/>
                    <w:snapToGrid w:val="0"/>
                    <w:jc w:val="center"/>
                    <w:textAlignment w:val="baseline"/>
                    <w:rPr>
                      <w:color w:val="000000" w:themeColor="text1"/>
                      <w:kern w:val="0"/>
                      <w:szCs w:val="21"/>
                      <w:lang w:bidi="ar"/>
                      <w14:textFill>
                        <w14:solidFill>
                          <w14:schemeClr w14:val="tx1"/>
                        </w14:solidFill>
                      </w14:textFill>
                    </w:rPr>
                  </w:pPr>
                </w:p>
              </w:tc>
            </w:tr>
            <w:tr w14:paraId="6334C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90" w:type="dxa"/>
                  <w:vAlign w:val="center"/>
                </w:tcPr>
                <w:p w14:paraId="371BF3E6">
                  <w:pPr>
                    <w:widowControl/>
                    <w:adjustRightInd w:val="0"/>
                    <w:snapToGrid w:val="0"/>
                    <w:jc w:val="center"/>
                    <w:textAlignment w:val="baseline"/>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粪大肠菌群数，个/g</w:t>
                  </w:r>
                </w:p>
              </w:tc>
              <w:tc>
                <w:tcPr>
                  <w:tcW w:w="938" w:type="dxa"/>
                  <w:vAlign w:val="center"/>
                </w:tcPr>
                <w:p w14:paraId="25079BAD">
                  <w:pPr>
                    <w:widowControl/>
                    <w:adjustRightInd w:val="0"/>
                    <w:snapToGrid w:val="0"/>
                    <w:jc w:val="center"/>
                    <w:textAlignment w:val="baseline"/>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w:t>
                  </w:r>
                  <w:r>
                    <w:rPr>
                      <w:rFonts w:hint="eastAsia"/>
                      <w:color w:val="000000" w:themeColor="text1"/>
                      <w:kern w:val="0"/>
                      <w:szCs w:val="21"/>
                      <w:lang w:bidi="ar"/>
                      <w14:textFill>
                        <w14:solidFill>
                          <w14:schemeClr w14:val="tx1"/>
                        </w14:solidFill>
                      </w14:textFill>
                    </w:rPr>
                    <w:t>100</w:t>
                  </w:r>
                </w:p>
              </w:tc>
              <w:tc>
                <w:tcPr>
                  <w:tcW w:w="3607" w:type="dxa"/>
                  <w:vAlign w:val="center"/>
                </w:tcPr>
                <w:p w14:paraId="753F5577">
                  <w:pPr>
                    <w:widowControl/>
                    <w:adjustRightInd w:val="0"/>
                    <w:snapToGrid w:val="0"/>
                    <w:jc w:val="center"/>
                    <w:textAlignment w:val="baseline"/>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按照GB/T19524.1规定执行</w:t>
                  </w:r>
                </w:p>
              </w:tc>
            </w:tr>
            <w:tr w14:paraId="6950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3390" w:type="dxa"/>
                  <w:vAlign w:val="center"/>
                </w:tcPr>
                <w:p w14:paraId="2B51FC60">
                  <w:pPr>
                    <w:widowControl/>
                    <w:adjustRightInd w:val="0"/>
                    <w:snapToGrid w:val="0"/>
                    <w:jc w:val="center"/>
                    <w:textAlignment w:val="baseline"/>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蛔虫卵死亡率，%</w:t>
                  </w:r>
                </w:p>
              </w:tc>
              <w:tc>
                <w:tcPr>
                  <w:tcW w:w="938" w:type="dxa"/>
                  <w:vAlign w:val="center"/>
                </w:tcPr>
                <w:p w14:paraId="0D3F7680">
                  <w:pPr>
                    <w:widowControl/>
                    <w:adjustRightInd w:val="0"/>
                    <w:snapToGrid w:val="0"/>
                    <w:jc w:val="center"/>
                    <w:textAlignment w:val="baseline"/>
                    <w:rPr>
                      <w:color w:val="000000" w:themeColor="text1"/>
                      <w:kern w:val="0"/>
                      <w:szCs w:val="21"/>
                      <w:lang w:bidi="ar"/>
                      <w14:textFill>
                        <w14:solidFill>
                          <w14:schemeClr w14:val="tx1"/>
                        </w14:solidFill>
                      </w14:textFill>
                    </w:rPr>
                  </w:pPr>
                  <w:r>
                    <w:rPr>
                      <w:color w:val="000000" w:themeColor="text1"/>
                      <w:kern w:val="0"/>
                      <w:szCs w:val="21"/>
                      <w:lang w:bidi="ar"/>
                      <w14:textFill>
                        <w14:solidFill>
                          <w14:schemeClr w14:val="tx1"/>
                        </w14:solidFill>
                      </w14:textFill>
                    </w:rPr>
                    <w:t>≥</w:t>
                  </w:r>
                  <w:r>
                    <w:rPr>
                      <w:rFonts w:hint="eastAsia"/>
                      <w:color w:val="000000" w:themeColor="text1"/>
                      <w:kern w:val="0"/>
                      <w:szCs w:val="21"/>
                      <w:lang w:bidi="ar"/>
                      <w14:textFill>
                        <w14:solidFill>
                          <w14:schemeClr w14:val="tx1"/>
                        </w14:solidFill>
                      </w14:textFill>
                    </w:rPr>
                    <w:t>95</w:t>
                  </w:r>
                </w:p>
              </w:tc>
              <w:tc>
                <w:tcPr>
                  <w:tcW w:w="3607" w:type="dxa"/>
                  <w:vAlign w:val="center"/>
                </w:tcPr>
                <w:p w14:paraId="080706E9">
                  <w:pPr>
                    <w:widowControl/>
                    <w:adjustRightInd w:val="0"/>
                    <w:snapToGrid w:val="0"/>
                    <w:jc w:val="center"/>
                    <w:textAlignment w:val="baseline"/>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按照GB/T19524.2规定执行</w:t>
                  </w:r>
                </w:p>
              </w:tc>
            </w:tr>
          </w:tbl>
          <w:p w14:paraId="66BEEFD5">
            <w:pPr>
              <w:pStyle w:val="78"/>
              <w:snapToGrid w:val="0"/>
              <w:spacing w:before="0" w:after="0" w:line="360" w:lineRule="auto"/>
              <w:jc w:val="center"/>
              <w:rPr>
                <w:rFonts w:ascii="Times New Roman" w:hAnsi="Times New Roman" w:eastAsia="宋体" w:cs="Times New Roman"/>
                <w:bCs/>
                <w:color w:val="000000" w:themeColor="text1"/>
                <w:sz w:val="21"/>
                <w:szCs w:val="21"/>
                <w14:textFill>
                  <w14:solidFill>
                    <w14:schemeClr w14:val="tx1"/>
                  </w14:solidFill>
                </w14:textFill>
              </w:rPr>
            </w:pPr>
          </w:p>
          <w:p w14:paraId="4D6DAD45">
            <w:pPr>
              <w:adjustRightInd w:val="0"/>
              <w:snapToGrid w:val="0"/>
              <w:spacing w:line="36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三</w:t>
            </w:r>
            <w:r>
              <w:rPr>
                <w:b/>
                <w:color w:val="000000" w:themeColor="text1"/>
                <w:sz w:val="24"/>
                <w14:textFill>
                  <w14:solidFill>
                    <w14:schemeClr w14:val="tx1"/>
                  </w14:solidFill>
                </w14:textFill>
              </w:rPr>
              <w:t>、主要生产设施及设施参数</w:t>
            </w:r>
          </w:p>
          <w:p w14:paraId="3ED9307D">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本项目主要的生产设施及设施参数详见下表</w:t>
            </w:r>
            <w:r>
              <w:rPr>
                <w:rFonts w:hint="eastAsia"/>
                <w:bCs/>
                <w:color w:val="000000" w:themeColor="text1"/>
                <w:sz w:val="24"/>
                <w14:textFill>
                  <w14:solidFill>
                    <w14:schemeClr w14:val="tx1"/>
                  </w14:solidFill>
                </w14:textFill>
              </w:rPr>
              <w:t>。</w:t>
            </w:r>
          </w:p>
          <w:p w14:paraId="304E40E9">
            <w:pPr>
              <w:adjustRightInd w:val="0"/>
              <w:snapToGrid w:val="0"/>
              <w:ind w:firstLine="422" w:firstLineChars="20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表2-</w:t>
            </w:r>
            <w:r>
              <w:rPr>
                <w:rFonts w:hint="eastAsia"/>
                <w:b/>
                <w:color w:val="000000" w:themeColor="text1"/>
                <w:szCs w:val="21"/>
                <w14:textFill>
                  <w14:solidFill>
                    <w14:schemeClr w14:val="tx1"/>
                  </w14:solidFill>
                </w14:textFill>
              </w:rPr>
              <w:t>5</w:t>
            </w:r>
            <w:r>
              <w:rPr>
                <w:b/>
                <w:color w:val="000000" w:themeColor="text1"/>
                <w:szCs w:val="21"/>
                <w14:textFill>
                  <w14:solidFill>
                    <w14:schemeClr w14:val="tx1"/>
                  </w14:solidFill>
                </w14:textFill>
              </w:rPr>
              <w:t xml:space="preserve">  </w:t>
            </w:r>
            <w:r>
              <w:rPr>
                <w:rFonts w:hint="eastAsia"/>
                <w:b/>
                <w:color w:val="000000" w:themeColor="text1"/>
                <w:szCs w:val="21"/>
                <w14:textFill>
                  <w14:solidFill>
                    <w14:schemeClr w14:val="tx1"/>
                  </w14:solidFill>
                </w14:textFill>
              </w:rPr>
              <w:t>本项目的</w:t>
            </w:r>
            <w:r>
              <w:rPr>
                <w:b/>
                <w:color w:val="000000" w:themeColor="text1"/>
                <w:szCs w:val="21"/>
                <w14:textFill>
                  <w14:solidFill>
                    <w14:schemeClr w14:val="tx1"/>
                  </w14:solidFill>
                </w14:textFill>
              </w:rPr>
              <w:t>设备清单一览表</w:t>
            </w:r>
          </w:p>
          <w:tbl>
            <w:tblPr>
              <w:tblStyle w:val="25"/>
              <w:tblW w:w="7945" w:type="dxa"/>
              <w:jc w:val="center"/>
              <w:tblLayout w:type="fixed"/>
              <w:tblCellMar>
                <w:top w:w="15" w:type="dxa"/>
                <w:left w:w="15" w:type="dxa"/>
                <w:bottom w:w="15" w:type="dxa"/>
                <w:right w:w="15" w:type="dxa"/>
              </w:tblCellMar>
            </w:tblPr>
            <w:tblGrid>
              <w:gridCol w:w="751"/>
              <w:gridCol w:w="3850"/>
              <w:gridCol w:w="2591"/>
              <w:gridCol w:w="753"/>
            </w:tblGrid>
            <w:tr w14:paraId="785254C0">
              <w:tblPrEx>
                <w:tblCellMar>
                  <w:top w:w="15" w:type="dxa"/>
                  <w:left w:w="15" w:type="dxa"/>
                  <w:bottom w:w="15" w:type="dxa"/>
                  <w:right w:w="15" w:type="dxa"/>
                </w:tblCellMar>
              </w:tblPrEx>
              <w:trPr>
                <w:trHeight w:val="369" w:hRule="atLeast"/>
                <w:jc w:val="center"/>
              </w:trPr>
              <w:tc>
                <w:tcPr>
                  <w:tcW w:w="751" w:type="dxa"/>
                  <w:tcBorders>
                    <w:top w:val="single" w:color="000000" w:sz="4" w:space="0"/>
                    <w:left w:val="single" w:color="000000" w:sz="4" w:space="0"/>
                    <w:bottom w:val="single" w:color="000000" w:sz="4" w:space="0"/>
                    <w:right w:val="single" w:color="000000" w:sz="4" w:space="0"/>
                  </w:tcBorders>
                  <w:vAlign w:val="center"/>
                </w:tcPr>
                <w:p w14:paraId="0B7C068D">
                  <w:pPr>
                    <w:widowControl/>
                    <w:adjustRightInd w:val="0"/>
                    <w:snapToGrid w:val="0"/>
                    <w:jc w:val="center"/>
                    <w:textAlignment w:val="bottom"/>
                    <w:rPr>
                      <w:rFonts w:eastAsiaTheme="minorEastAsia"/>
                      <w:bCs/>
                      <w:color w:val="000000" w:themeColor="text1"/>
                      <w:spacing w:val="-2"/>
                      <w:kern w:val="0"/>
                      <w:szCs w:val="21"/>
                      <w:lang w:bidi="ar"/>
                      <w14:textFill>
                        <w14:solidFill>
                          <w14:schemeClr w14:val="tx1"/>
                        </w14:solidFill>
                      </w14:textFill>
                    </w:rPr>
                  </w:pPr>
                  <w:r>
                    <w:rPr>
                      <w:rFonts w:eastAsiaTheme="minorEastAsia"/>
                      <w:bCs/>
                      <w:color w:val="000000" w:themeColor="text1"/>
                      <w:spacing w:val="-2"/>
                      <w:kern w:val="0"/>
                      <w:szCs w:val="21"/>
                      <w:lang w:bidi="ar"/>
                      <w14:textFill>
                        <w14:solidFill>
                          <w14:schemeClr w14:val="tx1"/>
                        </w14:solidFill>
                      </w14:textFill>
                    </w:rPr>
                    <w:t>序号</w:t>
                  </w:r>
                </w:p>
              </w:tc>
              <w:tc>
                <w:tcPr>
                  <w:tcW w:w="3850" w:type="dxa"/>
                  <w:tcBorders>
                    <w:top w:val="single" w:color="000000" w:sz="4" w:space="0"/>
                    <w:left w:val="single" w:color="000000" w:sz="4" w:space="0"/>
                    <w:bottom w:val="single" w:color="000000" w:sz="4" w:space="0"/>
                    <w:right w:val="single" w:color="000000" w:sz="4" w:space="0"/>
                  </w:tcBorders>
                  <w:vAlign w:val="center"/>
                </w:tcPr>
                <w:p w14:paraId="60739A50">
                  <w:pPr>
                    <w:widowControl/>
                    <w:adjustRightInd w:val="0"/>
                    <w:snapToGrid w:val="0"/>
                    <w:jc w:val="center"/>
                    <w:textAlignment w:val="bottom"/>
                    <w:rPr>
                      <w:rFonts w:eastAsiaTheme="minorEastAsia"/>
                      <w:bCs/>
                      <w:color w:val="000000" w:themeColor="text1"/>
                      <w:spacing w:val="-2"/>
                      <w:kern w:val="0"/>
                      <w:szCs w:val="21"/>
                      <w:lang w:bidi="ar"/>
                      <w14:textFill>
                        <w14:solidFill>
                          <w14:schemeClr w14:val="tx1"/>
                        </w14:solidFill>
                      </w14:textFill>
                    </w:rPr>
                  </w:pPr>
                  <w:r>
                    <w:rPr>
                      <w:rFonts w:eastAsiaTheme="minorEastAsia"/>
                      <w:bCs/>
                      <w:color w:val="000000" w:themeColor="text1"/>
                      <w:spacing w:val="-2"/>
                      <w:kern w:val="0"/>
                      <w:szCs w:val="21"/>
                      <w:lang w:bidi="ar"/>
                      <w14:textFill>
                        <w14:solidFill>
                          <w14:schemeClr w14:val="tx1"/>
                        </w14:solidFill>
                      </w14:textFill>
                    </w:rPr>
                    <w:t>名称</w:t>
                  </w:r>
                </w:p>
              </w:tc>
              <w:tc>
                <w:tcPr>
                  <w:tcW w:w="2591" w:type="dxa"/>
                  <w:tcBorders>
                    <w:top w:val="single" w:color="000000" w:sz="4" w:space="0"/>
                    <w:left w:val="single" w:color="000000" w:sz="4" w:space="0"/>
                    <w:bottom w:val="single" w:color="000000" w:sz="4" w:space="0"/>
                    <w:right w:val="single" w:color="000000" w:sz="4" w:space="0"/>
                  </w:tcBorders>
                  <w:vAlign w:val="center"/>
                </w:tcPr>
                <w:p w14:paraId="1B1624B0">
                  <w:pPr>
                    <w:widowControl/>
                    <w:adjustRightInd w:val="0"/>
                    <w:snapToGrid w:val="0"/>
                    <w:jc w:val="center"/>
                    <w:textAlignment w:val="bottom"/>
                    <w:rPr>
                      <w:rFonts w:eastAsiaTheme="minorEastAsia"/>
                      <w:bCs/>
                      <w:color w:val="000000" w:themeColor="text1"/>
                      <w:spacing w:val="-2"/>
                      <w:kern w:val="0"/>
                      <w:szCs w:val="21"/>
                      <w:lang w:bidi="ar"/>
                      <w14:textFill>
                        <w14:solidFill>
                          <w14:schemeClr w14:val="tx1"/>
                        </w14:solidFill>
                      </w14:textFill>
                    </w:rPr>
                  </w:pPr>
                  <w:r>
                    <w:rPr>
                      <w:rFonts w:eastAsiaTheme="minorEastAsia"/>
                      <w:bCs/>
                      <w:color w:val="000000" w:themeColor="text1"/>
                      <w:spacing w:val="-2"/>
                      <w:kern w:val="0"/>
                      <w:szCs w:val="21"/>
                      <w:lang w:bidi="ar"/>
                      <w14:textFill>
                        <w14:solidFill>
                          <w14:schemeClr w14:val="tx1"/>
                        </w14:solidFill>
                      </w14:textFill>
                    </w:rPr>
                    <w:t>型号</w:t>
                  </w:r>
                </w:p>
              </w:tc>
              <w:tc>
                <w:tcPr>
                  <w:tcW w:w="753" w:type="dxa"/>
                  <w:tcBorders>
                    <w:top w:val="single" w:color="000000" w:sz="4" w:space="0"/>
                    <w:left w:val="single" w:color="000000" w:sz="4" w:space="0"/>
                    <w:bottom w:val="single" w:color="000000" w:sz="4" w:space="0"/>
                    <w:right w:val="single" w:color="000000" w:sz="4" w:space="0"/>
                  </w:tcBorders>
                  <w:vAlign w:val="center"/>
                </w:tcPr>
                <w:p w14:paraId="03814484">
                  <w:pPr>
                    <w:widowControl/>
                    <w:adjustRightInd w:val="0"/>
                    <w:snapToGrid w:val="0"/>
                    <w:jc w:val="center"/>
                    <w:textAlignment w:val="bottom"/>
                    <w:rPr>
                      <w:rFonts w:eastAsiaTheme="minorEastAsia"/>
                      <w:bCs/>
                      <w:color w:val="000000" w:themeColor="text1"/>
                      <w:spacing w:val="-2"/>
                      <w:kern w:val="0"/>
                      <w:szCs w:val="21"/>
                      <w:lang w:bidi="ar"/>
                      <w14:textFill>
                        <w14:solidFill>
                          <w14:schemeClr w14:val="tx1"/>
                        </w14:solidFill>
                      </w14:textFill>
                    </w:rPr>
                  </w:pPr>
                  <w:r>
                    <w:rPr>
                      <w:rFonts w:eastAsiaTheme="minorEastAsia"/>
                      <w:bCs/>
                      <w:color w:val="000000" w:themeColor="text1"/>
                      <w:spacing w:val="-2"/>
                      <w:kern w:val="0"/>
                      <w:szCs w:val="21"/>
                      <w:lang w:bidi="ar"/>
                      <w14:textFill>
                        <w14:solidFill>
                          <w14:schemeClr w14:val="tx1"/>
                        </w14:solidFill>
                      </w14:textFill>
                    </w:rPr>
                    <w:t>数量</w:t>
                  </w:r>
                </w:p>
              </w:tc>
            </w:tr>
            <w:tr w14:paraId="375D38D0">
              <w:tblPrEx>
                <w:tblCellMar>
                  <w:top w:w="15" w:type="dxa"/>
                  <w:left w:w="15" w:type="dxa"/>
                  <w:bottom w:w="15" w:type="dxa"/>
                  <w:right w:w="15" w:type="dxa"/>
                </w:tblCellMar>
              </w:tblPrEx>
              <w:trPr>
                <w:trHeight w:val="369"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6ADF7">
                  <w:pPr>
                    <w:widowControl/>
                    <w:adjustRightInd w:val="0"/>
                    <w:snapToGrid w:val="0"/>
                    <w:jc w:val="center"/>
                    <w:textAlignment w:val="bottom"/>
                    <w:rPr>
                      <w:rFonts w:eastAsiaTheme="minorEastAsia"/>
                      <w:color w:val="000000" w:themeColor="text1"/>
                      <w:spacing w:val="-2"/>
                      <w:kern w:val="0"/>
                      <w:szCs w:val="21"/>
                      <w:lang w:bidi="ar"/>
                      <w14:textFill>
                        <w14:solidFill>
                          <w14:schemeClr w14:val="tx1"/>
                        </w14:solidFill>
                      </w14:textFill>
                    </w:rPr>
                  </w:pPr>
                  <w:r>
                    <w:rPr>
                      <w:rFonts w:hint="eastAsia" w:eastAsiaTheme="minorEastAsia"/>
                      <w:color w:val="000000" w:themeColor="text1"/>
                      <w:spacing w:val="-2"/>
                      <w:kern w:val="0"/>
                      <w:szCs w:val="21"/>
                      <w:lang w:bidi="ar"/>
                      <w14:textFill>
                        <w14:solidFill>
                          <w14:schemeClr w14:val="tx1"/>
                        </w14:solidFill>
                      </w14:textFill>
                    </w:rPr>
                    <w:t>1</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21A0">
                  <w:pPr>
                    <w:widowControl/>
                    <w:adjustRightInd w:val="0"/>
                    <w:snapToGrid w:val="0"/>
                    <w:jc w:val="center"/>
                    <w:textAlignment w:val="bottom"/>
                    <w:rPr>
                      <w:rFonts w:eastAsiaTheme="minorEastAsia"/>
                      <w:color w:val="000000" w:themeColor="text1"/>
                      <w:spacing w:val="-2"/>
                      <w:kern w:val="0"/>
                      <w:szCs w:val="21"/>
                      <w:lang w:bidi="ar"/>
                      <w14:textFill>
                        <w14:solidFill>
                          <w14:schemeClr w14:val="tx1"/>
                        </w14:solidFill>
                      </w14:textFill>
                    </w:rPr>
                  </w:pPr>
                  <w:r>
                    <w:rPr>
                      <w:rFonts w:eastAsiaTheme="minorEastAsia"/>
                      <w:color w:val="000000" w:themeColor="text1"/>
                      <w:spacing w:val="-2"/>
                      <w:kern w:val="0"/>
                      <w:szCs w:val="21"/>
                      <w:lang w:bidi="ar"/>
                      <w14:textFill>
                        <w14:solidFill>
                          <w14:schemeClr w14:val="tx1"/>
                        </w14:solidFill>
                      </w14:textFill>
                    </w:rPr>
                    <w:t>装载机</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BF87E">
                  <w:pPr>
                    <w:widowControl/>
                    <w:adjustRightInd w:val="0"/>
                    <w:snapToGrid w:val="0"/>
                    <w:jc w:val="center"/>
                    <w:textAlignment w:val="bottom"/>
                    <w:rPr>
                      <w:rFonts w:eastAsiaTheme="minorEastAsia"/>
                      <w:color w:val="000000" w:themeColor="text1"/>
                      <w:spacing w:val="-2"/>
                      <w:kern w:val="0"/>
                      <w:szCs w:val="21"/>
                      <w:lang w:bidi="ar"/>
                      <w14:textFill>
                        <w14:solidFill>
                          <w14:schemeClr w14:val="tx1"/>
                        </w14:solidFill>
                      </w14:textFill>
                    </w:rPr>
                  </w:pPr>
                  <w:r>
                    <w:rPr>
                      <w:rFonts w:eastAsiaTheme="minorEastAsia"/>
                      <w:color w:val="000000" w:themeColor="text1"/>
                      <w:spacing w:val="-2"/>
                      <w:kern w:val="0"/>
                      <w:szCs w:val="21"/>
                      <w:lang w:bidi="ar"/>
                      <w14:textFill>
                        <w14:solidFill>
                          <w14:schemeClr w14:val="tx1"/>
                        </w14:solidFill>
                      </w14:textFill>
                    </w:rPr>
                    <w:t>ZL-30型</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4C5FC">
                  <w:pPr>
                    <w:widowControl/>
                    <w:adjustRightInd w:val="0"/>
                    <w:snapToGrid w:val="0"/>
                    <w:jc w:val="center"/>
                    <w:textAlignment w:val="bottom"/>
                    <w:rPr>
                      <w:rFonts w:eastAsiaTheme="minorEastAsia"/>
                      <w:color w:val="000000" w:themeColor="text1"/>
                      <w:spacing w:val="-2"/>
                      <w:kern w:val="0"/>
                      <w:szCs w:val="21"/>
                      <w:lang w:bidi="ar"/>
                      <w14:textFill>
                        <w14:solidFill>
                          <w14:schemeClr w14:val="tx1"/>
                        </w14:solidFill>
                      </w14:textFill>
                    </w:rPr>
                  </w:pPr>
                  <w:r>
                    <w:rPr>
                      <w:rFonts w:hint="eastAsia" w:eastAsiaTheme="minorEastAsia"/>
                      <w:color w:val="000000" w:themeColor="text1"/>
                      <w:spacing w:val="-2"/>
                      <w:kern w:val="0"/>
                      <w:szCs w:val="21"/>
                      <w:lang w:bidi="ar"/>
                      <w14:textFill>
                        <w14:solidFill>
                          <w14:schemeClr w14:val="tx1"/>
                        </w14:solidFill>
                      </w14:textFill>
                    </w:rPr>
                    <w:t>2</w:t>
                  </w:r>
                </w:p>
              </w:tc>
            </w:tr>
            <w:tr w14:paraId="108372ED">
              <w:tblPrEx>
                <w:tblCellMar>
                  <w:top w:w="15" w:type="dxa"/>
                  <w:left w:w="15" w:type="dxa"/>
                  <w:bottom w:w="15" w:type="dxa"/>
                  <w:right w:w="15" w:type="dxa"/>
                </w:tblCellMar>
              </w:tblPrEx>
              <w:trPr>
                <w:trHeight w:val="369" w:hRule="atLeast"/>
                <w:jc w:val="center"/>
              </w:trPr>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617E5">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hint="eastAsia" w:eastAsiaTheme="minorEastAsia"/>
                      <w:color w:val="000000" w:themeColor="text1"/>
                      <w:spacing w:val="-2"/>
                      <w:kern w:val="0"/>
                      <w:szCs w:val="21"/>
                      <w:lang w:bidi="ar"/>
                      <w14:textFill>
                        <w14:solidFill>
                          <w14:schemeClr w14:val="tx1"/>
                        </w14:solidFill>
                      </w14:textFill>
                    </w:rPr>
                    <w:t>2</w:t>
                  </w:r>
                </w:p>
              </w:tc>
              <w:tc>
                <w:tcPr>
                  <w:tcW w:w="3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A481C">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eastAsiaTheme="minorEastAsia"/>
                      <w:color w:val="000000" w:themeColor="text1"/>
                      <w:spacing w:val="-2"/>
                      <w:kern w:val="0"/>
                      <w:szCs w:val="21"/>
                      <w:lang w:bidi="ar"/>
                      <w14:textFill>
                        <w14:solidFill>
                          <w14:schemeClr w14:val="tx1"/>
                        </w14:solidFill>
                      </w14:textFill>
                    </w:rPr>
                    <w:t>翻抛机</w:t>
                  </w:r>
                </w:p>
              </w:tc>
              <w:tc>
                <w:tcPr>
                  <w:tcW w:w="25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1F3B4">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eastAsiaTheme="minorEastAsia"/>
                      <w:color w:val="000000" w:themeColor="text1"/>
                      <w:spacing w:val="-2"/>
                      <w:kern w:val="0"/>
                      <w:szCs w:val="21"/>
                      <w:lang w:bidi="ar"/>
                      <w14:textFill>
                        <w14:solidFill>
                          <w14:schemeClr w14:val="tx1"/>
                        </w14:solidFill>
                      </w14:textFill>
                    </w:rPr>
                    <w:t>20t/h</w:t>
                  </w:r>
                </w:p>
              </w:tc>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C89D7">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eastAsiaTheme="minorEastAsia"/>
                      <w:color w:val="000000" w:themeColor="text1"/>
                      <w:spacing w:val="-2"/>
                      <w:kern w:val="0"/>
                      <w:szCs w:val="21"/>
                      <w:lang w:bidi="ar"/>
                      <w14:textFill>
                        <w14:solidFill>
                          <w14:schemeClr w14:val="tx1"/>
                        </w14:solidFill>
                      </w14:textFill>
                    </w:rPr>
                    <w:t>1</w:t>
                  </w:r>
                </w:p>
              </w:tc>
            </w:tr>
            <w:tr w14:paraId="392CE9AE">
              <w:tblPrEx>
                <w:tblCellMar>
                  <w:top w:w="15" w:type="dxa"/>
                  <w:left w:w="15" w:type="dxa"/>
                  <w:bottom w:w="15" w:type="dxa"/>
                  <w:right w:w="15" w:type="dxa"/>
                </w:tblCellMar>
              </w:tblPrEx>
              <w:trPr>
                <w:trHeight w:val="369" w:hRule="atLeast"/>
                <w:jc w:val="center"/>
              </w:trPr>
              <w:tc>
                <w:tcPr>
                  <w:tcW w:w="751" w:type="dxa"/>
                  <w:tcBorders>
                    <w:top w:val="single" w:color="000000" w:sz="4" w:space="0"/>
                    <w:left w:val="single" w:color="000000" w:sz="4" w:space="0"/>
                    <w:bottom w:val="single" w:color="000000" w:sz="4" w:space="0"/>
                    <w:right w:val="single" w:color="000000" w:sz="4" w:space="0"/>
                  </w:tcBorders>
                  <w:vAlign w:val="center"/>
                </w:tcPr>
                <w:p w14:paraId="6A2571E1">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hint="eastAsia" w:eastAsiaTheme="minorEastAsia"/>
                      <w:color w:val="000000" w:themeColor="text1"/>
                      <w:spacing w:val="-2"/>
                      <w:kern w:val="0"/>
                      <w:szCs w:val="21"/>
                      <w:lang w:bidi="ar"/>
                      <w14:textFill>
                        <w14:solidFill>
                          <w14:schemeClr w14:val="tx1"/>
                        </w14:solidFill>
                      </w14:textFill>
                    </w:rPr>
                    <w:t>3</w:t>
                  </w:r>
                </w:p>
              </w:tc>
              <w:tc>
                <w:tcPr>
                  <w:tcW w:w="3850" w:type="dxa"/>
                  <w:tcBorders>
                    <w:top w:val="single" w:color="000000" w:sz="4" w:space="0"/>
                    <w:left w:val="single" w:color="000000" w:sz="4" w:space="0"/>
                    <w:bottom w:val="single" w:color="000000" w:sz="4" w:space="0"/>
                    <w:right w:val="single" w:color="000000" w:sz="4" w:space="0"/>
                  </w:tcBorders>
                  <w:vAlign w:val="center"/>
                </w:tcPr>
                <w:p w14:paraId="15A2E136">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hint="eastAsia" w:eastAsiaTheme="minorEastAsia"/>
                      <w:color w:val="000000" w:themeColor="text1"/>
                      <w:spacing w:val="-2"/>
                      <w:kern w:val="0"/>
                      <w:szCs w:val="21"/>
                      <w:lang w:bidi="ar"/>
                      <w14:textFill>
                        <w14:solidFill>
                          <w14:schemeClr w14:val="tx1"/>
                        </w14:solidFill>
                      </w14:textFill>
                    </w:rPr>
                    <w:t>菌种加料器</w:t>
                  </w:r>
                </w:p>
              </w:tc>
              <w:tc>
                <w:tcPr>
                  <w:tcW w:w="2591" w:type="dxa"/>
                  <w:tcBorders>
                    <w:top w:val="single" w:color="000000" w:sz="4" w:space="0"/>
                    <w:left w:val="single" w:color="000000" w:sz="4" w:space="0"/>
                    <w:bottom w:val="single" w:color="000000" w:sz="4" w:space="0"/>
                    <w:right w:val="single" w:color="000000" w:sz="4" w:space="0"/>
                  </w:tcBorders>
                  <w:vAlign w:val="center"/>
                </w:tcPr>
                <w:p w14:paraId="0AC02765">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hint="eastAsia" w:eastAsiaTheme="minorEastAsia"/>
                      <w:color w:val="000000" w:themeColor="text1"/>
                      <w:spacing w:val="-2"/>
                      <w:kern w:val="0"/>
                      <w:szCs w:val="21"/>
                      <w:lang w:bidi="ar"/>
                      <w14:textFill>
                        <w14:solidFill>
                          <w14:schemeClr w14:val="tx1"/>
                        </w14:solidFill>
                      </w14:textFill>
                    </w:rPr>
                    <w:t>/</w:t>
                  </w:r>
                </w:p>
              </w:tc>
              <w:tc>
                <w:tcPr>
                  <w:tcW w:w="753" w:type="dxa"/>
                  <w:tcBorders>
                    <w:top w:val="single" w:color="000000" w:sz="4" w:space="0"/>
                    <w:left w:val="single" w:color="000000" w:sz="4" w:space="0"/>
                    <w:bottom w:val="single" w:color="000000" w:sz="4" w:space="0"/>
                    <w:right w:val="single" w:color="000000" w:sz="4" w:space="0"/>
                  </w:tcBorders>
                  <w:vAlign w:val="center"/>
                </w:tcPr>
                <w:p w14:paraId="17E9EBAE">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hint="eastAsia" w:eastAsiaTheme="minorEastAsia"/>
                      <w:color w:val="000000" w:themeColor="text1"/>
                      <w:spacing w:val="-2"/>
                      <w:kern w:val="0"/>
                      <w:szCs w:val="21"/>
                      <w:lang w:bidi="ar"/>
                      <w14:textFill>
                        <w14:solidFill>
                          <w14:schemeClr w14:val="tx1"/>
                        </w14:solidFill>
                      </w14:textFill>
                    </w:rPr>
                    <w:t>1</w:t>
                  </w:r>
                </w:p>
              </w:tc>
            </w:tr>
            <w:tr w14:paraId="186139B1">
              <w:tblPrEx>
                <w:tblCellMar>
                  <w:top w:w="15" w:type="dxa"/>
                  <w:left w:w="15" w:type="dxa"/>
                  <w:bottom w:w="15" w:type="dxa"/>
                  <w:right w:w="15" w:type="dxa"/>
                </w:tblCellMar>
              </w:tblPrEx>
              <w:trPr>
                <w:trHeight w:val="369" w:hRule="atLeast"/>
                <w:jc w:val="center"/>
              </w:trPr>
              <w:tc>
                <w:tcPr>
                  <w:tcW w:w="751" w:type="dxa"/>
                  <w:tcBorders>
                    <w:top w:val="single" w:color="000000" w:sz="4" w:space="0"/>
                    <w:left w:val="single" w:color="000000" w:sz="4" w:space="0"/>
                    <w:bottom w:val="single" w:color="000000" w:sz="4" w:space="0"/>
                    <w:right w:val="single" w:color="000000" w:sz="4" w:space="0"/>
                  </w:tcBorders>
                  <w:vAlign w:val="center"/>
                </w:tcPr>
                <w:p w14:paraId="6330E93D">
                  <w:pPr>
                    <w:widowControl/>
                    <w:adjustRightInd w:val="0"/>
                    <w:snapToGrid w:val="0"/>
                    <w:jc w:val="center"/>
                    <w:textAlignment w:val="bottom"/>
                    <w:rPr>
                      <w:rFonts w:eastAsiaTheme="minorEastAsia"/>
                      <w:color w:val="000000" w:themeColor="text1"/>
                      <w:spacing w:val="-2"/>
                      <w:kern w:val="0"/>
                      <w:szCs w:val="21"/>
                      <w:lang w:bidi="ar"/>
                      <w14:textFill>
                        <w14:solidFill>
                          <w14:schemeClr w14:val="tx1"/>
                        </w14:solidFill>
                      </w14:textFill>
                    </w:rPr>
                  </w:pPr>
                  <w:r>
                    <w:rPr>
                      <w:rFonts w:hint="eastAsia" w:eastAsiaTheme="minorEastAsia"/>
                      <w:color w:val="000000" w:themeColor="text1"/>
                      <w:spacing w:val="-2"/>
                      <w:kern w:val="0"/>
                      <w:szCs w:val="21"/>
                      <w:lang w:bidi="ar"/>
                      <w14:textFill>
                        <w14:solidFill>
                          <w14:schemeClr w14:val="tx1"/>
                        </w14:solidFill>
                      </w14:textFill>
                    </w:rPr>
                    <w:t>4</w:t>
                  </w:r>
                </w:p>
              </w:tc>
              <w:tc>
                <w:tcPr>
                  <w:tcW w:w="3850" w:type="dxa"/>
                  <w:tcBorders>
                    <w:top w:val="single" w:color="000000" w:sz="4" w:space="0"/>
                    <w:left w:val="single" w:color="000000" w:sz="4" w:space="0"/>
                    <w:bottom w:val="single" w:color="000000" w:sz="4" w:space="0"/>
                    <w:right w:val="single" w:color="000000" w:sz="4" w:space="0"/>
                  </w:tcBorders>
                  <w:vAlign w:val="center"/>
                </w:tcPr>
                <w:p w14:paraId="179FE480">
                  <w:pPr>
                    <w:widowControl/>
                    <w:adjustRightInd w:val="0"/>
                    <w:snapToGrid w:val="0"/>
                    <w:jc w:val="center"/>
                    <w:textAlignment w:val="bottom"/>
                    <w:rPr>
                      <w:rFonts w:eastAsiaTheme="minorEastAsia"/>
                      <w:color w:val="000000" w:themeColor="text1"/>
                      <w:spacing w:val="-2"/>
                      <w:kern w:val="0"/>
                      <w:szCs w:val="21"/>
                      <w:lang w:bidi="ar"/>
                      <w14:textFill>
                        <w14:solidFill>
                          <w14:schemeClr w14:val="tx1"/>
                        </w14:solidFill>
                      </w14:textFill>
                    </w:rPr>
                  </w:pPr>
                  <w:r>
                    <w:rPr>
                      <w:rFonts w:hint="eastAsia" w:eastAsiaTheme="minorEastAsia"/>
                      <w:color w:val="000000" w:themeColor="text1"/>
                      <w:spacing w:val="-2"/>
                      <w:kern w:val="0"/>
                      <w:szCs w:val="21"/>
                      <w:lang w:bidi="ar"/>
                      <w14:textFill>
                        <w14:solidFill>
                          <w14:schemeClr w14:val="tx1"/>
                        </w14:solidFill>
                      </w14:textFill>
                    </w:rPr>
                    <w:t>皮带输送机</w:t>
                  </w:r>
                </w:p>
              </w:tc>
              <w:tc>
                <w:tcPr>
                  <w:tcW w:w="2591" w:type="dxa"/>
                  <w:tcBorders>
                    <w:top w:val="single" w:color="000000" w:sz="4" w:space="0"/>
                    <w:left w:val="single" w:color="000000" w:sz="4" w:space="0"/>
                    <w:bottom w:val="single" w:color="000000" w:sz="4" w:space="0"/>
                    <w:right w:val="single" w:color="000000" w:sz="4" w:space="0"/>
                  </w:tcBorders>
                  <w:vAlign w:val="center"/>
                </w:tcPr>
                <w:p w14:paraId="6A1BF6AF">
                  <w:pPr>
                    <w:widowControl/>
                    <w:adjustRightInd w:val="0"/>
                    <w:snapToGrid w:val="0"/>
                    <w:jc w:val="center"/>
                    <w:textAlignment w:val="bottom"/>
                    <w:rPr>
                      <w:rFonts w:eastAsiaTheme="minorEastAsia"/>
                      <w:color w:val="000000" w:themeColor="text1"/>
                      <w:spacing w:val="-2"/>
                      <w:kern w:val="0"/>
                      <w:szCs w:val="21"/>
                      <w:lang w:bidi="ar"/>
                      <w14:textFill>
                        <w14:solidFill>
                          <w14:schemeClr w14:val="tx1"/>
                        </w14:solidFill>
                      </w14:textFill>
                    </w:rPr>
                  </w:pPr>
                  <w:r>
                    <w:rPr>
                      <w:rFonts w:hint="eastAsia" w:eastAsiaTheme="minorEastAsia"/>
                      <w:color w:val="000000" w:themeColor="text1"/>
                      <w:spacing w:val="-2"/>
                      <w:kern w:val="0"/>
                      <w:szCs w:val="21"/>
                      <w:lang w:bidi="ar"/>
                      <w14:textFill>
                        <w14:solidFill>
                          <w14:schemeClr w14:val="tx1"/>
                        </w14:solidFill>
                      </w14:textFill>
                    </w:rPr>
                    <w:t>/</w:t>
                  </w:r>
                </w:p>
              </w:tc>
              <w:tc>
                <w:tcPr>
                  <w:tcW w:w="753" w:type="dxa"/>
                  <w:tcBorders>
                    <w:top w:val="single" w:color="000000" w:sz="4" w:space="0"/>
                    <w:left w:val="single" w:color="000000" w:sz="4" w:space="0"/>
                    <w:bottom w:val="single" w:color="000000" w:sz="4" w:space="0"/>
                    <w:right w:val="single" w:color="000000" w:sz="4" w:space="0"/>
                  </w:tcBorders>
                  <w:vAlign w:val="center"/>
                </w:tcPr>
                <w:p w14:paraId="590AC117">
                  <w:pPr>
                    <w:widowControl/>
                    <w:adjustRightInd w:val="0"/>
                    <w:snapToGrid w:val="0"/>
                    <w:jc w:val="center"/>
                    <w:textAlignment w:val="bottom"/>
                    <w:rPr>
                      <w:rFonts w:eastAsiaTheme="minorEastAsia"/>
                      <w:color w:val="000000" w:themeColor="text1"/>
                      <w:spacing w:val="-2"/>
                      <w:kern w:val="0"/>
                      <w:szCs w:val="21"/>
                      <w:lang w:bidi="ar"/>
                      <w14:textFill>
                        <w14:solidFill>
                          <w14:schemeClr w14:val="tx1"/>
                        </w14:solidFill>
                      </w14:textFill>
                    </w:rPr>
                  </w:pPr>
                  <w:r>
                    <w:rPr>
                      <w:rFonts w:hint="eastAsia" w:eastAsiaTheme="minorEastAsia"/>
                      <w:color w:val="000000" w:themeColor="text1"/>
                      <w:spacing w:val="-2"/>
                      <w:kern w:val="0"/>
                      <w:szCs w:val="21"/>
                      <w:lang w:bidi="ar"/>
                      <w14:textFill>
                        <w14:solidFill>
                          <w14:schemeClr w14:val="tx1"/>
                        </w14:solidFill>
                      </w14:textFill>
                    </w:rPr>
                    <w:t>2</w:t>
                  </w:r>
                </w:p>
              </w:tc>
            </w:tr>
            <w:tr w14:paraId="0E7804C6">
              <w:tblPrEx>
                <w:tblCellMar>
                  <w:top w:w="15" w:type="dxa"/>
                  <w:left w:w="15" w:type="dxa"/>
                  <w:bottom w:w="15" w:type="dxa"/>
                  <w:right w:w="15" w:type="dxa"/>
                </w:tblCellMar>
              </w:tblPrEx>
              <w:trPr>
                <w:trHeight w:val="369" w:hRule="atLeast"/>
                <w:jc w:val="center"/>
              </w:trPr>
              <w:tc>
                <w:tcPr>
                  <w:tcW w:w="751" w:type="dxa"/>
                  <w:tcBorders>
                    <w:top w:val="single" w:color="000000" w:sz="4" w:space="0"/>
                    <w:left w:val="single" w:color="000000" w:sz="4" w:space="0"/>
                    <w:bottom w:val="single" w:color="000000" w:sz="4" w:space="0"/>
                    <w:right w:val="single" w:color="000000" w:sz="4" w:space="0"/>
                  </w:tcBorders>
                  <w:vAlign w:val="center"/>
                </w:tcPr>
                <w:p w14:paraId="1405EF88">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hint="eastAsia" w:eastAsiaTheme="minorEastAsia"/>
                      <w:color w:val="000000" w:themeColor="text1"/>
                      <w:spacing w:val="-2"/>
                      <w:kern w:val="0"/>
                      <w:szCs w:val="21"/>
                      <w:lang w:bidi="ar"/>
                      <w14:textFill>
                        <w14:solidFill>
                          <w14:schemeClr w14:val="tx1"/>
                        </w14:solidFill>
                      </w14:textFill>
                    </w:rPr>
                    <w:t>5</w:t>
                  </w:r>
                </w:p>
              </w:tc>
              <w:tc>
                <w:tcPr>
                  <w:tcW w:w="3850" w:type="dxa"/>
                  <w:tcBorders>
                    <w:top w:val="single" w:color="000000" w:sz="4" w:space="0"/>
                    <w:left w:val="single" w:color="000000" w:sz="4" w:space="0"/>
                    <w:bottom w:val="single" w:color="000000" w:sz="4" w:space="0"/>
                    <w:right w:val="single" w:color="000000" w:sz="4" w:space="0"/>
                  </w:tcBorders>
                  <w:vAlign w:val="center"/>
                </w:tcPr>
                <w:p w14:paraId="1C296405">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eastAsiaTheme="minorEastAsia"/>
                      <w:color w:val="000000" w:themeColor="text1"/>
                      <w:spacing w:val="-2"/>
                      <w:kern w:val="0"/>
                      <w:szCs w:val="21"/>
                      <w:lang w:bidi="ar"/>
                      <w14:textFill>
                        <w14:solidFill>
                          <w14:schemeClr w14:val="tx1"/>
                        </w14:solidFill>
                      </w14:textFill>
                    </w:rPr>
                    <w:t>双斗自动</w:t>
                  </w:r>
                  <w:r>
                    <w:rPr>
                      <w:rFonts w:hint="eastAsia" w:eastAsiaTheme="minorEastAsia"/>
                      <w:color w:val="000000" w:themeColor="text1"/>
                      <w:spacing w:val="-2"/>
                      <w:kern w:val="0"/>
                      <w:szCs w:val="21"/>
                      <w:lang w:bidi="ar"/>
                      <w14:textFill>
                        <w14:solidFill>
                          <w14:schemeClr w14:val="tx1"/>
                        </w14:solidFill>
                      </w14:textFill>
                    </w:rPr>
                    <w:t>计量</w:t>
                  </w:r>
                  <w:r>
                    <w:rPr>
                      <w:rFonts w:eastAsiaTheme="minorEastAsia"/>
                      <w:color w:val="000000" w:themeColor="text1"/>
                      <w:spacing w:val="-2"/>
                      <w:kern w:val="0"/>
                      <w:szCs w:val="21"/>
                      <w:lang w:bidi="ar"/>
                      <w14:textFill>
                        <w14:solidFill>
                          <w14:schemeClr w14:val="tx1"/>
                        </w14:solidFill>
                      </w14:textFill>
                    </w:rPr>
                    <w:t>包装</w:t>
                  </w:r>
                  <w:r>
                    <w:rPr>
                      <w:rFonts w:hint="eastAsia" w:eastAsiaTheme="minorEastAsia"/>
                      <w:color w:val="000000" w:themeColor="text1"/>
                      <w:spacing w:val="-2"/>
                      <w:kern w:val="0"/>
                      <w:szCs w:val="21"/>
                      <w:lang w:bidi="ar"/>
                      <w14:textFill>
                        <w14:solidFill>
                          <w14:schemeClr w14:val="tx1"/>
                        </w14:solidFill>
                      </w14:textFill>
                    </w:rPr>
                    <w:t>机</w:t>
                  </w:r>
                </w:p>
              </w:tc>
              <w:tc>
                <w:tcPr>
                  <w:tcW w:w="2591" w:type="dxa"/>
                  <w:tcBorders>
                    <w:top w:val="single" w:color="000000" w:sz="4" w:space="0"/>
                    <w:left w:val="single" w:color="000000" w:sz="4" w:space="0"/>
                    <w:bottom w:val="single" w:color="000000" w:sz="4" w:space="0"/>
                    <w:right w:val="single" w:color="000000" w:sz="4" w:space="0"/>
                  </w:tcBorders>
                  <w:vAlign w:val="center"/>
                </w:tcPr>
                <w:p w14:paraId="56975FA5">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eastAsiaTheme="minorEastAsia"/>
                      <w:color w:val="000000" w:themeColor="text1"/>
                      <w:spacing w:val="-2"/>
                      <w:kern w:val="0"/>
                      <w:szCs w:val="21"/>
                      <w:lang w:bidi="ar"/>
                      <w14:textFill>
                        <w14:solidFill>
                          <w14:schemeClr w14:val="tx1"/>
                        </w14:solidFill>
                      </w14:textFill>
                    </w:rPr>
                    <w:t>3-4包/分钟</w:t>
                  </w:r>
                </w:p>
              </w:tc>
              <w:tc>
                <w:tcPr>
                  <w:tcW w:w="753" w:type="dxa"/>
                  <w:tcBorders>
                    <w:top w:val="single" w:color="000000" w:sz="4" w:space="0"/>
                    <w:left w:val="single" w:color="000000" w:sz="4" w:space="0"/>
                    <w:bottom w:val="single" w:color="000000" w:sz="4" w:space="0"/>
                    <w:right w:val="single" w:color="000000" w:sz="4" w:space="0"/>
                  </w:tcBorders>
                  <w:vAlign w:val="center"/>
                </w:tcPr>
                <w:p w14:paraId="5242F5F9">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hint="eastAsia" w:eastAsiaTheme="minorEastAsia"/>
                      <w:color w:val="000000" w:themeColor="text1"/>
                      <w:spacing w:val="-2"/>
                      <w:kern w:val="0"/>
                      <w:szCs w:val="21"/>
                      <w:lang w:bidi="ar"/>
                      <w14:textFill>
                        <w14:solidFill>
                          <w14:schemeClr w14:val="tx1"/>
                        </w14:solidFill>
                      </w14:textFill>
                    </w:rPr>
                    <w:t>1</w:t>
                  </w:r>
                </w:p>
              </w:tc>
            </w:tr>
            <w:tr w14:paraId="704720E0">
              <w:tblPrEx>
                <w:tblCellMar>
                  <w:top w:w="15" w:type="dxa"/>
                  <w:left w:w="15" w:type="dxa"/>
                  <w:bottom w:w="15" w:type="dxa"/>
                  <w:right w:w="15" w:type="dxa"/>
                </w:tblCellMar>
              </w:tblPrEx>
              <w:trPr>
                <w:trHeight w:val="369" w:hRule="atLeast"/>
                <w:jc w:val="center"/>
              </w:trPr>
              <w:tc>
                <w:tcPr>
                  <w:tcW w:w="751" w:type="dxa"/>
                  <w:tcBorders>
                    <w:top w:val="single" w:color="000000" w:sz="4" w:space="0"/>
                    <w:left w:val="single" w:color="000000" w:sz="4" w:space="0"/>
                    <w:bottom w:val="single" w:color="000000" w:sz="4" w:space="0"/>
                    <w:right w:val="single" w:color="000000" w:sz="4" w:space="0"/>
                  </w:tcBorders>
                  <w:vAlign w:val="center"/>
                </w:tcPr>
                <w:p w14:paraId="31885621">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hint="eastAsia" w:eastAsiaTheme="minorEastAsia"/>
                      <w:color w:val="000000" w:themeColor="text1"/>
                      <w:szCs w:val="21"/>
                      <w14:textFill>
                        <w14:solidFill>
                          <w14:schemeClr w14:val="tx1"/>
                        </w14:solidFill>
                      </w14:textFill>
                    </w:rPr>
                    <w:t>6</w:t>
                  </w:r>
                </w:p>
              </w:tc>
              <w:tc>
                <w:tcPr>
                  <w:tcW w:w="3850" w:type="dxa"/>
                  <w:tcBorders>
                    <w:top w:val="single" w:color="000000" w:sz="4" w:space="0"/>
                    <w:left w:val="single" w:color="000000" w:sz="4" w:space="0"/>
                    <w:bottom w:val="single" w:color="000000" w:sz="4" w:space="0"/>
                    <w:right w:val="single" w:color="000000" w:sz="4" w:space="0"/>
                  </w:tcBorders>
                  <w:vAlign w:val="center"/>
                </w:tcPr>
                <w:p w14:paraId="2ACCA6AE">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eastAsiaTheme="minorEastAsia"/>
                      <w:color w:val="000000" w:themeColor="text1"/>
                      <w:spacing w:val="-2"/>
                      <w:kern w:val="0"/>
                      <w:szCs w:val="21"/>
                      <w:lang w:bidi="ar"/>
                      <w14:textFill>
                        <w14:solidFill>
                          <w14:schemeClr w14:val="tx1"/>
                        </w14:solidFill>
                      </w14:textFill>
                    </w:rPr>
                    <w:t>运输车辆</w:t>
                  </w:r>
                </w:p>
              </w:tc>
              <w:tc>
                <w:tcPr>
                  <w:tcW w:w="2591" w:type="dxa"/>
                  <w:tcBorders>
                    <w:top w:val="single" w:color="000000" w:sz="4" w:space="0"/>
                    <w:left w:val="single" w:color="000000" w:sz="4" w:space="0"/>
                    <w:bottom w:val="single" w:color="000000" w:sz="4" w:space="0"/>
                    <w:right w:val="single" w:color="000000" w:sz="4" w:space="0"/>
                  </w:tcBorders>
                  <w:vAlign w:val="center"/>
                </w:tcPr>
                <w:p w14:paraId="6C733254">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eastAsiaTheme="minorEastAsia"/>
                      <w:color w:val="000000" w:themeColor="text1"/>
                      <w:spacing w:val="-2"/>
                      <w:kern w:val="0"/>
                      <w:szCs w:val="21"/>
                      <w:lang w:bidi="ar"/>
                      <w14:textFill>
                        <w14:solidFill>
                          <w14:schemeClr w14:val="tx1"/>
                        </w14:solidFill>
                      </w14:textFill>
                    </w:rPr>
                    <w:t>20-30T</w:t>
                  </w:r>
                </w:p>
              </w:tc>
              <w:tc>
                <w:tcPr>
                  <w:tcW w:w="753" w:type="dxa"/>
                  <w:tcBorders>
                    <w:top w:val="single" w:color="000000" w:sz="4" w:space="0"/>
                    <w:left w:val="single" w:color="000000" w:sz="4" w:space="0"/>
                    <w:bottom w:val="single" w:color="000000" w:sz="4" w:space="0"/>
                    <w:right w:val="single" w:color="000000" w:sz="4" w:space="0"/>
                  </w:tcBorders>
                  <w:vAlign w:val="center"/>
                </w:tcPr>
                <w:p w14:paraId="6EAFF76F">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hint="eastAsia" w:eastAsiaTheme="minorEastAsia"/>
                      <w:color w:val="000000" w:themeColor="text1"/>
                      <w:spacing w:val="-2"/>
                      <w:kern w:val="0"/>
                      <w:szCs w:val="21"/>
                      <w:lang w:bidi="ar"/>
                      <w14:textFill>
                        <w14:solidFill>
                          <w14:schemeClr w14:val="tx1"/>
                        </w14:solidFill>
                      </w14:textFill>
                    </w:rPr>
                    <w:t>1</w:t>
                  </w:r>
                </w:p>
              </w:tc>
            </w:tr>
            <w:tr w14:paraId="3EEBCA91">
              <w:tblPrEx>
                <w:tblCellMar>
                  <w:top w:w="15" w:type="dxa"/>
                  <w:left w:w="15" w:type="dxa"/>
                  <w:bottom w:w="15" w:type="dxa"/>
                  <w:right w:w="15" w:type="dxa"/>
                </w:tblCellMar>
              </w:tblPrEx>
              <w:trPr>
                <w:trHeight w:val="369" w:hRule="atLeast"/>
                <w:jc w:val="center"/>
              </w:trPr>
              <w:tc>
                <w:tcPr>
                  <w:tcW w:w="751" w:type="dxa"/>
                  <w:tcBorders>
                    <w:top w:val="single" w:color="000000" w:sz="4" w:space="0"/>
                    <w:left w:val="single" w:color="000000" w:sz="4" w:space="0"/>
                    <w:bottom w:val="single" w:color="000000" w:sz="4" w:space="0"/>
                    <w:right w:val="single" w:color="000000" w:sz="4" w:space="0"/>
                  </w:tcBorders>
                  <w:vAlign w:val="center"/>
                </w:tcPr>
                <w:p w14:paraId="690D25AF">
                  <w:pPr>
                    <w:widowControl/>
                    <w:adjustRightInd w:val="0"/>
                    <w:snapToGrid w:val="0"/>
                    <w:jc w:val="center"/>
                    <w:textAlignment w:val="bottom"/>
                    <w:rPr>
                      <w:rFonts w:eastAsiaTheme="minorEastAsia"/>
                      <w:color w:val="000000" w:themeColor="text1"/>
                      <w:spacing w:val="-2"/>
                      <w:kern w:val="0"/>
                      <w:szCs w:val="21"/>
                      <w:lang w:bidi="ar"/>
                      <w14:textFill>
                        <w14:solidFill>
                          <w14:schemeClr w14:val="tx1"/>
                        </w14:solidFill>
                      </w14:textFill>
                    </w:rPr>
                  </w:pPr>
                  <w:r>
                    <w:rPr>
                      <w:rFonts w:hint="eastAsia" w:eastAsiaTheme="minorEastAsia"/>
                      <w:color w:val="000000" w:themeColor="text1"/>
                      <w:spacing w:val="-2"/>
                      <w:kern w:val="0"/>
                      <w:szCs w:val="21"/>
                      <w:lang w:bidi="ar"/>
                      <w14:textFill>
                        <w14:solidFill>
                          <w14:schemeClr w14:val="tx1"/>
                        </w14:solidFill>
                      </w14:textFill>
                    </w:rPr>
                    <w:t>7</w:t>
                  </w:r>
                </w:p>
              </w:tc>
              <w:tc>
                <w:tcPr>
                  <w:tcW w:w="3850" w:type="dxa"/>
                  <w:tcBorders>
                    <w:top w:val="single" w:color="000000" w:sz="4" w:space="0"/>
                    <w:left w:val="single" w:color="000000" w:sz="4" w:space="0"/>
                    <w:bottom w:val="single" w:color="000000" w:sz="4" w:space="0"/>
                    <w:right w:val="single" w:color="000000" w:sz="4" w:space="0"/>
                  </w:tcBorders>
                  <w:vAlign w:val="center"/>
                </w:tcPr>
                <w:p w14:paraId="3EB94CFA">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hint="eastAsia" w:eastAsiaTheme="minorEastAsia"/>
                      <w:color w:val="000000" w:themeColor="text1"/>
                      <w:szCs w:val="21"/>
                      <w14:textFill>
                        <w14:solidFill>
                          <w14:schemeClr w14:val="tx1"/>
                        </w14:solidFill>
                      </w14:textFill>
                    </w:rPr>
                    <w:t>雾炮机</w:t>
                  </w:r>
                </w:p>
              </w:tc>
              <w:tc>
                <w:tcPr>
                  <w:tcW w:w="2591" w:type="dxa"/>
                  <w:tcBorders>
                    <w:top w:val="single" w:color="000000" w:sz="4" w:space="0"/>
                    <w:left w:val="single" w:color="000000" w:sz="4" w:space="0"/>
                    <w:bottom w:val="single" w:color="000000" w:sz="4" w:space="0"/>
                    <w:right w:val="single" w:color="000000" w:sz="4" w:space="0"/>
                  </w:tcBorders>
                  <w:vAlign w:val="center"/>
                </w:tcPr>
                <w:p w14:paraId="7A6D8197">
                  <w:pPr>
                    <w:widowControl/>
                    <w:adjustRightInd w:val="0"/>
                    <w:snapToGrid w:val="0"/>
                    <w:jc w:val="center"/>
                    <w:rPr>
                      <w:rFonts w:eastAsiaTheme="minorEastAsia"/>
                      <w:color w:val="000000" w:themeColor="text1"/>
                      <w:szCs w:val="21"/>
                      <w14:textFill>
                        <w14:solidFill>
                          <w14:schemeClr w14:val="tx1"/>
                        </w14:solidFill>
                      </w14:textFill>
                    </w:rPr>
                  </w:pPr>
                </w:p>
              </w:tc>
              <w:tc>
                <w:tcPr>
                  <w:tcW w:w="753" w:type="dxa"/>
                  <w:tcBorders>
                    <w:top w:val="single" w:color="000000" w:sz="4" w:space="0"/>
                    <w:left w:val="single" w:color="000000" w:sz="4" w:space="0"/>
                    <w:bottom w:val="single" w:color="000000" w:sz="4" w:space="0"/>
                    <w:right w:val="single" w:color="000000" w:sz="4" w:space="0"/>
                  </w:tcBorders>
                  <w:vAlign w:val="center"/>
                </w:tcPr>
                <w:p w14:paraId="6FA1D7D9">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hint="eastAsia" w:eastAsiaTheme="minorEastAsia"/>
                      <w:color w:val="000000" w:themeColor="text1"/>
                      <w:szCs w:val="21"/>
                      <w14:textFill>
                        <w14:solidFill>
                          <w14:schemeClr w14:val="tx1"/>
                        </w14:solidFill>
                      </w14:textFill>
                    </w:rPr>
                    <w:t>2</w:t>
                  </w:r>
                </w:p>
              </w:tc>
            </w:tr>
            <w:tr w14:paraId="47F38EDB">
              <w:tblPrEx>
                <w:tblCellMar>
                  <w:top w:w="15" w:type="dxa"/>
                  <w:left w:w="15" w:type="dxa"/>
                  <w:bottom w:w="15" w:type="dxa"/>
                  <w:right w:w="15" w:type="dxa"/>
                </w:tblCellMar>
              </w:tblPrEx>
              <w:trPr>
                <w:trHeight w:val="369" w:hRule="atLeast"/>
                <w:jc w:val="center"/>
              </w:trPr>
              <w:tc>
                <w:tcPr>
                  <w:tcW w:w="751" w:type="dxa"/>
                  <w:tcBorders>
                    <w:top w:val="single" w:color="000000" w:sz="4" w:space="0"/>
                    <w:left w:val="single" w:color="000000" w:sz="4" w:space="0"/>
                    <w:bottom w:val="single" w:color="000000" w:sz="4" w:space="0"/>
                    <w:right w:val="single" w:color="000000" w:sz="4" w:space="0"/>
                  </w:tcBorders>
                  <w:vAlign w:val="center"/>
                </w:tcPr>
                <w:p w14:paraId="38BF8AE3">
                  <w:pPr>
                    <w:widowControl/>
                    <w:adjustRightInd w:val="0"/>
                    <w:snapToGrid w:val="0"/>
                    <w:jc w:val="center"/>
                    <w:textAlignment w:val="bottom"/>
                    <w:rPr>
                      <w:rFonts w:eastAsiaTheme="minorEastAsia"/>
                      <w:color w:val="000000" w:themeColor="text1"/>
                      <w:spacing w:val="-2"/>
                      <w:kern w:val="0"/>
                      <w:szCs w:val="21"/>
                      <w:lang w:bidi="ar"/>
                      <w14:textFill>
                        <w14:solidFill>
                          <w14:schemeClr w14:val="tx1"/>
                        </w14:solidFill>
                      </w14:textFill>
                    </w:rPr>
                  </w:pPr>
                  <w:r>
                    <w:rPr>
                      <w:rFonts w:hint="eastAsia" w:eastAsiaTheme="minorEastAsia"/>
                      <w:color w:val="000000" w:themeColor="text1"/>
                      <w:spacing w:val="-2"/>
                      <w:kern w:val="0"/>
                      <w:szCs w:val="21"/>
                      <w:lang w:bidi="ar"/>
                      <w14:textFill>
                        <w14:solidFill>
                          <w14:schemeClr w14:val="tx1"/>
                        </w14:solidFill>
                      </w14:textFill>
                    </w:rPr>
                    <w:t>8</w:t>
                  </w:r>
                </w:p>
              </w:tc>
              <w:tc>
                <w:tcPr>
                  <w:tcW w:w="3850" w:type="dxa"/>
                  <w:tcBorders>
                    <w:top w:val="single" w:color="000000" w:sz="4" w:space="0"/>
                    <w:left w:val="single" w:color="000000" w:sz="4" w:space="0"/>
                    <w:bottom w:val="single" w:color="000000" w:sz="4" w:space="0"/>
                    <w:right w:val="single" w:color="000000" w:sz="4" w:space="0"/>
                  </w:tcBorders>
                  <w:vAlign w:val="center"/>
                </w:tcPr>
                <w:p w14:paraId="03F4B345">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hint="eastAsia" w:eastAsiaTheme="minorEastAsia"/>
                      <w:color w:val="000000" w:themeColor="text1"/>
                      <w:szCs w:val="21"/>
                      <w14:textFill>
                        <w14:solidFill>
                          <w14:schemeClr w14:val="tx1"/>
                        </w14:solidFill>
                      </w14:textFill>
                    </w:rPr>
                    <w:t>通风系统</w:t>
                  </w:r>
                </w:p>
              </w:tc>
              <w:tc>
                <w:tcPr>
                  <w:tcW w:w="2591" w:type="dxa"/>
                  <w:tcBorders>
                    <w:top w:val="single" w:color="000000" w:sz="4" w:space="0"/>
                    <w:left w:val="single" w:color="000000" w:sz="4" w:space="0"/>
                    <w:bottom w:val="single" w:color="000000" w:sz="4" w:space="0"/>
                    <w:right w:val="single" w:color="000000" w:sz="4" w:space="0"/>
                  </w:tcBorders>
                  <w:vAlign w:val="center"/>
                </w:tcPr>
                <w:p w14:paraId="6CDDA4A7">
                  <w:pPr>
                    <w:widowControl/>
                    <w:adjustRightInd w:val="0"/>
                    <w:snapToGrid w:val="0"/>
                    <w:jc w:val="center"/>
                    <w:rPr>
                      <w:rFonts w:eastAsiaTheme="minorEastAsia"/>
                      <w:color w:val="000000" w:themeColor="text1"/>
                      <w:szCs w:val="21"/>
                      <w14:textFill>
                        <w14:solidFill>
                          <w14:schemeClr w14:val="tx1"/>
                        </w14:solidFill>
                      </w14:textFill>
                    </w:rPr>
                  </w:pPr>
                  <w:r>
                    <w:rPr>
                      <w:rFonts w:hint="eastAsia" w:eastAsiaTheme="minorEastAsia"/>
                      <w:color w:val="000000" w:themeColor="text1"/>
                      <w:szCs w:val="21"/>
                      <w14:textFill>
                        <w14:solidFill>
                          <w14:schemeClr w14:val="tx1"/>
                        </w14:solidFill>
                      </w14:textFill>
                    </w:rPr>
                    <w:t>/</w:t>
                  </w:r>
                </w:p>
              </w:tc>
              <w:tc>
                <w:tcPr>
                  <w:tcW w:w="753" w:type="dxa"/>
                  <w:tcBorders>
                    <w:top w:val="single" w:color="000000" w:sz="4" w:space="0"/>
                    <w:left w:val="single" w:color="000000" w:sz="4" w:space="0"/>
                    <w:bottom w:val="single" w:color="000000" w:sz="4" w:space="0"/>
                    <w:right w:val="single" w:color="000000" w:sz="4" w:space="0"/>
                  </w:tcBorders>
                  <w:vAlign w:val="center"/>
                </w:tcPr>
                <w:p w14:paraId="7F7A7FED">
                  <w:pPr>
                    <w:widowControl/>
                    <w:adjustRightInd w:val="0"/>
                    <w:snapToGrid w:val="0"/>
                    <w:jc w:val="center"/>
                    <w:textAlignment w:val="bottom"/>
                    <w:rPr>
                      <w:rFonts w:eastAsiaTheme="minorEastAsia"/>
                      <w:color w:val="000000" w:themeColor="text1"/>
                      <w:szCs w:val="21"/>
                      <w14:textFill>
                        <w14:solidFill>
                          <w14:schemeClr w14:val="tx1"/>
                        </w14:solidFill>
                      </w14:textFill>
                    </w:rPr>
                  </w:pPr>
                  <w:r>
                    <w:rPr>
                      <w:rFonts w:hint="eastAsia" w:eastAsiaTheme="minorEastAsia"/>
                      <w:color w:val="000000" w:themeColor="text1"/>
                      <w:szCs w:val="21"/>
                      <w14:textFill>
                        <w14:solidFill>
                          <w14:schemeClr w14:val="tx1"/>
                        </w14:solidFill>
                      </w14:textFill>
                    </w:rPr>
                    <w:t>2</w:t>
                  </w:r>
                </w:p>
              </w:tc>
            </w:tr>
          </w:tbl>
          <w:p w14:paraId="54AD031C">
            <w:pPr>
              <w:adjustRightInd w:val="0"/>
              <w:snapToGrid w:val="0"/>
              <w:spacing w:before="120" w:beforeLines="50" w:line="36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 xml:space="preserve">    </w:t>
            </w:r>
            <w:r>
              <w:rPr>
                <w:rFonts w:hint="eastAsia"/>
                <w:bCs/>
                <w:color w:val="000000" w:themeColor="text1"/>
                <w:sz w:val="24"/>
                <w14:textFill>
                  <w14:solidFill>
                    <w14:schemeClr w14:val="tx1"/>
                  </w14:solidFill>
                </w14:textFill>
              </w:rPr>
              <w:t>本项目采购原料可满足生产需求，不需要进行破碎、烘干等环节，产品的质量检测每批次定期委托相应的检测机构进行，项目区不设置实验室和检测仪器。</w:t>
            </w:r>
          </w:p>
          <w:p w14:paraId="5DB50E2D">
            <w:pPr>
              <w:adjustRightInd w:val="0"/>
              <w:snapToGrid w:val="0"/>
              <w:spacing w:before="120" w:beforeLines="50" w:line="36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四</w:t>
            </w:r>
            <w:r>
              <w:rPr>
                <w:b/>
                <w:color w:val="000000" w:themeColor="text1"/>
                <w:sz w:val="24"/>
                <w14:textFill>
                  <w14:solidFill>
                    <w14:schemeClr w14:val="tx1"/>
                  </w14:solidFill>
                </w14:textFill>
              </w:rPr>
              <w:t>、主要原辅材料及燃料的种类、用量：</w:t>
            </w:r>
          </w:p>
          <w:p w14:paraId="4C7A0D82">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1、主要原辅料种类及用量</w:t>
            </w:r>
          </w:p>
          <w:p w14:paraId="2A4ABBD5">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本项目原辅材料及用量详见表2-</w:t>
            </w:r>
            <w:r>
              <w:rPr>
                <w:rFonts w:hint="eastAsia"/>
                <w:bCs/>
                <w:color w:val="000000" w:themeColor="text1"/>
                <w:sz w:val="24"/>
                <w14:textFill>
                  <w14:solidFill>
                    <w14:schemeClr w14:val="tx1"/>
                  </w14:solidFill>
                </w14:textFill>
              </w:rPr>
              <w:t>6</w:t>
            </w:r>
            <w:r>
              <w:rPr>
                <w:bCs/>
                <w:color w:val="000000" w:themeColor="text1"/>
                <w:sz w:val="24"/>
                <w14:textFill>
                  <w14:solidFill>
                    <w14:schemeClr w14:val="tx1"/>
                  </w14:solidFill>
                </w14:textFill>
              </w:rPr>
              <w:t>。</w:t>
            </w:r>
          </w:p>
          <w:p w14:paraId="77EBFB9C">
            <w:pPr>
              <w:pStyle w:val="2"/>
              <w:rPr>
                <w:color w:val="000000" w:themeColor="text1"/>
                <w14:textFill>
                  <w14:solidFill>
                    <w14:schemeClr w14:val="tx1"/>
                  </w14:solidFill>
                </w14:textFill>
              </w:rPr>
            </w:pPr>
          </w:p>
          <w:p w14:paraId="41AE41A5">
            <w:pPr>
              <w:adjustRightInd w:val="0"/>
              <w:snapToGrid w:val="0"/>
              <w:ind w:firstLine="422" w:firstLineChars="20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表2-</w:t>
            </w:r>
            <w:r>
              <w:rPr>
                <w:rFonts w:hint="eastAsia"/>
                <w:b/>
                <w:color w:val="000000" w:themeColor="text1"/>
                <w:szCs w:val="21"/>
                <w14:textFill>
                  <w14:solidFill>
                    <w14:schemeClr w14:val="tx1"/>
                  </w14:solidFill>
                </w14:textFill>
              </w:rPr>
              <w:t>6</w:t>
            </w:r>
            <w:r>
              <w:rPr>
                <w:b/>
                <w:color w:val="000000" w:themeColor="text1"/>
                <w:szCs w:val="21"/>
                <w14:textFill>
                  <w14:solidFill>
                    <w14:schemeClr w14:val="tx1"/>
                  </w14:solidFill>
                </w14:textFill>
              </w:rPr>
              <w:t xml:space="preserve">  </w:t>
            </w:r>
            <w:r>
              <w:rPr>
                <w:rFonts w:hint="eastAsia"/>
                <w:b/>
                <w:color w:val="000000" w:themeColor="text1"/>
                <w:szCs w:val="21"/>
                <w14:textFill>
                  <w14:solidFill>
                    <w14:schemeClr w14:val="tx1"/>
                  </w14:solidFill>
                </w14:textFill>
              </w:rPr>
              <w:t>本项目</w:t>
            </w:r>
            <w:r>
              <w:rPr>
                <w:b/>
                <w:color w:val="000000" w:themeColor="text1"/>
                <w:szCs w:val="21"/>
                <w14:textFill>
                  <w14:solidFill>
                    <w14:schemeClr w14:val="tx1"/>
                  </w14:solidFill>
                </w14:textFill>
              </w:rPr>
              <w:t>原辅料用量及来源</w:t>
            </w:r>
          </w:p>
          <w:tbl>
            <w:tblPr>
              <w:tblStyle w:val="25"/>
              <w:tblW w:w="7945" w:type="dxa"/>
              <w:jc w:val="center"/>
              <w:tblLayout w:type="fixed"/>
              <w:tblCellMar>
                <w:top w:w="15" w:type="dxa"/>
                <w:left w:w="15" w:type="dxa"/>
                <w:bottom w:w="15" w:type="dxa"/>
                <w:right w:w="15" w:type="dxa"/>
              </w:tblCellMar>
            </w:tblPr>
            <w:tblGrid>
              <w:gridCol w:w="553"/>
              <w:gridCol w:w="1100"/>
              <w:gridCol w:w="683"/>
              <w:gridCol w:w="1097"/>
              <w:gridCol w:w="1146"/>
              <w:gridCol w:w="1338"/>
              <w:gridCol w:w="2028"/>
            </w:tblGrid>
            <w:tr w14:paraId="7FAD623F">
              <w:tblPrEx>
                <w:tblCellMar>
                  <w:top w:w="15" w:type="dxa"/>
                  <w:left w:w="15" w:type="dxa"/>
                  <w:bottom w:w="15" w:type="dxa"/>
                  <w:right w:w="15" w:type="dxa"/>
                </w:tblCellMar>
              </w:tblPrEx>
              <w:trPr>
                <w:trHeight w:val="369" w:hRule="atLeast"/>
                <w:jc w:val="center"/>
              </w:trPr>
              <w:tc>
                <w:tcPr>
                  <w:tcW w:w="553" w:type="dxa"/>
                  <w:tcBorders>
                    <w:top w:val="single" w:color="000000" w:sz="4" w:space="0"/>
                    <w:left w:val="single" w:color="000000" w:sz="4" w:space="0"/>
                    <w:bottom w:val="single" w:color="000000" w:sz="4" w:space="0"/>
                    <w:right w:val="single" w:color="000000" w:sz="4" w:space="0"/>
                  </w:tcBorders>
                  <w:vAlign w:val="center"/>
                </w:tcPr>
                <w:p w14:paraId="09A8A6A7">
                  <w:pPr>
                    <w:widowControl/>
                    <w:adjustRightInd w:val="0"/>
                    <w:snapToGrid w:val="0"/>
                    <w:jc w:val="center"/>
                    <w:textAlignment w:val="top"/>
                    <w:rPr>
                      <w:color w:val="000000" w:themeColor="text1"/>
                      <w:szCs w:val="21"/>
                      <w14:textFill>
                        <w14:solidFill>
                          <w14:schemeClr w14:val="tx1"/>
                        </w14:solidFill>
                      </w14:textFill>
                    </w:rPr>
                  </w:pPr>
                  <w:r>
                    <w:rPr>
                      <w:color w:val="000000" w:themeColor="text1"/>
                      <w:spacing w:val="-2"/>
                      <w:kern w:val="0"/>
                      <w:szCs w:val="21"/>
                      <w:lang w:bidi="ar"/>
                      <w14:textFill>
                        <w14:solidFill>
                          <w14:schemeClr w14:val="tx1"/>
                        </w14:solidFill>
                      </w14:textFill>
                    </w:rPr>
                    <w:t>序号</w:t>
                  </w:r>
                </w:p>
              </w:tc>
              <w:tc>
                <w:tcPr>
                  <w:tcW w:w="1100" w:type="dxa"/>
                  <w:tcBorders>
                    <w:top w:val="single" w:color="000000" w:sz="4" w:space="0"/>
                    <w:left w:val="single" w:color="000000" w:sz="4" w:space="0"/>
                    <w:bottom w:val="single" w:color="000000" w:sz="4" w:space="0"/>
                    <w:right w:val="single" w:color="auto" w:sz="4" w:space="0"/>
                  </w:tcBorders>
                  <w:vAlign w:val="center"/>
                </w:tcPr>
                <w:p w14:paraId="199C520B">
                  <w:pPr>
                    <w:widowControl/>
                    <w:adjustRightInd w:val="0"/>
                    <w:snapToGrid w:val="0"/>
                    <w:jc w:val="center"/>
                    <w:textAlignment w:val="top"/>
                    <w:rPr>
                      <w:color w:val="000000" w:themeColor="text1"/>
                      <w:szCs w:val="21"/>
                      <w14:textFill>
                        <w14:solidFill>
                          <w14:schemeClr w14:val="tx1"/>
                        </w14:solidFill>
                      </w14:textFill>
                    </w:rPr>
                  </w:pPr>
                  <w:r>
                    <w:rPr>
                      <w:color w:val="000000" w:themeColor="text1"/>
                      <w:spacing w:val="-2"/>
                      <w:kern w:val="0"/>
                      <w:szCs w:val="21"/>
                      <w:lang w:bidi="ar"/>
                      <w14:textFill>
                        <w14:solidFill>
                          <w14:schemeClr w14:val="tx1"/>
                        </w14:solidFill>
                      </w14:textFill>
                    </w:rPr>
                    <w:t>原辅料名称</w:t>
                  </w:r>
                </w:p>
              </w:tc>
              <w:tc>
                <w:tcPr>
                  <w:tcW w:w="683" w:type="dxa"/>
                  <w:tcBorders>
                    <w:top w:val="single" w:color="000000" w:sz="4" w:space="0"/>
                    <w:left w:val="single" w:color="auto" w:sz="4" w:space="0"/>
                    <w:bottom w:val="single" w:color="000000" w:sz="4" w:space="0"/>
                    <w:right w:val="single" w:color="000000" w:sz="4" w:space="0"/>
                  </w:tcBorders>
                  <w:vAlign w:val="center"/>
                </w:tcPr>
                <w:p w14:paraId="6DDD5DEF">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形态</w:t>
                  </w:r>
                </w:p>
              </w:tc>
              <w:tc>
                <w:tcPr>
                  <w:tcW w:w="1097" w:type="dxa"/>
                  <w:tcBorders>
                    <w:top w:val="single" w:color="000000" w:sz="4" w:space="0"/>
                    <w:left w:val="single" w:color="000000" w:sz="4" w:space="0"/>
                    <w:bottom w:val="single" w:color="000000" w:sz="4" w:space="0"/>
                    <w:right w:val="single" w:color="000000" w:sz="4" w:space="0"/>
                  </w:tcBorders>
                  <w:vAlign w:val="center"/>
                </w:tcPr>
                <w:p w14:paraId="6845E1B3">
                  <w:pPr>
                    <w:widowControl/>
                    <w:adjustRightInd w:val="0"/>
                    <w:snapToGrid w:val="0"/>
                    <w:jc w:val="center"/>
                    <w:textAlignment w:val="top"/>
                    <w:rPr>
                      <w:color w:val="000000" w:themeColor="text1"/>
                      <w:szCs w:val="21"/>
                      <w14:textFill>
                        <w14:solidFill>
                          <w14:schemeClr w14:val="tx1"/>
                        </w14:solidFill>
                      </w14:textFill>
                    </w:rPr>
                  </w:pPr>
                  <w:r>
                    <w:rPr>
                      <w:color w:val="000000" w:themeColor="text1"/>
                      <w:spacing w:val="-2"/>
                      <w:kern w:val="0"/>
                      <w:szCs w:val="21"/>
                      <w:lang w:bidi="ar"/>
                      <w14:textFill>
                        <w14:solidFill>
                          <w14:schemeClr w14:val="tx1"/>
                        </w14:solidFill>
                      </w14:textFill>
                    </w:rPr>
                    <w:t>年耗量</w:t>
                  </w:r>
                  <w:r>
                    <w:rPr>
                      <w:rFonts w:hint="eastAsia"/>
                      <w:color w:val="000000" w:themeColor="text1"/>
                      <w:spacing w:val="-2"/>
                      <w:kern w:val="0"/>
                      <w:szCs w:val="21"/>
                      <w:lang w:bidi="ar"/>
                      <w14:textFill>
                        <w14:solidFill>
                          <w14:schemeClr w14:val="tx1"/>
                        </w14:solidFill>
                      </w14:textFill>
                    </w:rPr>
                    <w:t>（t）</w:t>
                  </w:r>
                </w:p>
              </w:tc>
              <w:tc>
                <w:tcPr>
                  <w:tcW w:w="1146" w:type="dxa"/>
                  <w:tcBorders>
                    <w:top w:val="single" w:color="000000" w:sz="4" w:space="0"/>
                    <w:left w:val="single" w:color="000000" w:sz="4" w:space="0"/>
                    <w:bottom w:val="single" w:color="000000" w:sz="4" w:space="0"/>
                    <w:right w:val="single" w:color="000000" w:sz="4" w:space="0"/>
                  </w:tcBorders>
                  <w:vAlign w:val="center"/>
                </w:tcPr>
                <w:p w14:paraId="1789144F">
                  <w:pPr>
                    <w:widowControl/>
                    <w:adjustRightInd w:val="0"/>
                    <w:snapToGrid w:val="0"/>
                    <w:jc w:val="center"/>
                    <w:textAlignment w:val="top"/>
                    <w:rPr>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含水率（%）</w:t>
                  </w:r>
                </w:p>
              </w:tc>
              <w:tc>
                <w:tcPr>
                  <w:tcW w:w="1338" w:type="dxa"/>
                  <w:tcBorders>
                    <w:top w:val="single" w:color="000000" w:sz="4" w:space="0"/>
                    <w:left w:val="single" w:color="000000" w:sz="4" w:space="0"/>
                    <w:bottom w:val="single" w:color="000000" w:sz="4" w:space="0"/>
                    <w:right w:val="single" w:color="000000" w:sz="4" w:space="0"/>
                  </w:tcBorders>
                  <w:vAlign w:val="center"/>
                </w:tcPr>
                <w:p w14:paraId="147D3756">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最大暂存量（t）</w:t>
                  </w:r>
                </w:p>
              </w:tc>
              <w:tc>
                <w:tcPr>
                  <w:tcW w:w="2028" w:type="dxa"/>
                  <w:tcBorders>
                    <w:top w:val="single" w:color="000000" w:sz="4" w:space="0"/>
                    <w:left w:val="single" w:color="000000" w:sz="4" w:space="0"/>
                    <w:bottom w:val="single" w:color="000000" w:sz="4" w:space="0"/>
                    <w:right w:val="single" w:color="000000" w:sz="4" w:space="0"/>
                  </w:tcBorders>
                  <w:vAlign w:val="center"/>
                </w:tcPr>
                <w:p w14:paraId="6C3D214C">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color w:val="000000" w:themeColor="text1"/>
                      <w:spacing w:val="-2"/>
                      <w:kern w:val="0"/>
                      <w:szCs w:val="21"/>
                      <w:lang w:bidi="ar"/>
                      <w14:textFill>
                        <w14:solidFill>
                          <w14:schemeClr w14:val="tx1"/>
                        </w14:solidFill>
                      </w14:textFill>
                    </w:rPr>
                    <w:t>备注</w:t>
                  </w:r>
                </w:p>
              </w:tc>
            </w:tr>
            <w:tr w14:paraId="660EA316">
              <w:tblPrEx>
                <w:tblCellMar>
                  <w:top w:w="15" w:type="dxa"/>
                  <w:left w:w="15" w:type="dxa"/>
                  <w:bottom w:w="15" w:type="dxa"/>
                  <w:right w:w="15" w:type="dxa"/>
                </w:tblCellMar>
              </w:tblPrEx>
              <w:trPr>
                <w:trHeight w:val="369" w:hRule="atLeast"/>
                <w:jc w:val="center"/>
              </w:trPr>
              <w:tc>
                <w:tcPr>
                  <w:tcW w:w="553" w:type="dxa"/>
                  <w:tcBorders>
                    <w:top w:val="single" w:color="000000" w:sz="4" w:space="0"/>
                    <w:left w:val="single" w:color="000000" w:sz="4" w:space="0"/>
                    <w:bottom w:val="single" w:color="000000" w:sz="4" w:space="0"/>
                    <w:right w:val="single" w:color="000000" w:sz="4" w:space="0"/>
                  </w:tcBorders>
                  <w:vAlign w:val="center"/>
                </w:tcPr>
                <w:p w14:paraId="1373B0E7">
                  <w:pPr>
                    <w:widowControl/>
                    <w:adjustRightInd w:val="0"/>
                    <w:snapToGrid w:val="0"/>
                    <w:jc w:val="center"/>
                    <w:textAlignment w:val="top"/>
                    <w:rPr>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1</w:t>
                  </w:r>
                </w:p>
              </w:tc>
              <w:tc>
                <w:tcPr>
                  <w:tcW w:w="1100" w:type="dxa"/>
                  <w:tcBorders>
                    <w:top w:val="single" w:color="000000" w:sz="4" w:space="0"/>
                    <w:left w:val="single" w:color="000000" w:sz="4" w:space="0"/>
                    <w:bottom w:val="single" w:color="000000" w:sz="4" w:space="0"/>
                    <w:right w:val="single" w:color="auto" w:sz="4" w:space="0"/>
                  </w:tcBorders>
                  <w:vAlign w:val="center"/>
                </w:tcPr>
                <w:p w14:paraId="35DA7752">
                  <w:pPr>
                    <w:widowControl/>
                    <w:adjustRightInd w:val="0"/>
                    <w:snapToGrid w:val="0"/>
                    <w:jc w:val="center"/>
                    <w:textAlignment w:val="top"/>
                    <w:rPr>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低变质褐煤</w:t>
                  </w:r>
                </w:p>
              </w:tc>
              <w:tc>
                <w:tcPr>
                  <w:tcW w:w="683" w:type="dxa"/>
                  <w:tcBorders>
                    <w:top w:val="single" w:color="000000" w:sz="4" w:space="0"/>
                    <w:left w:val="single" w:color="auto" w:sz="4" w:space="0"/>
                    <w:bottom w:val="single" w:color="000000" w:sz="4" w:space="0"/>
                    <w:right w:val="single" w:color="000000" w:sz="4" w:space="0"/>
                  </w:tcBorders>
                  <w:vAlign w:val="center"/>
                </w:tcPr>
                <w:p w14:paraId="6CBC7471">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粉状</w:t>
                  </w:r>
                </w:p>
              </w:tc>
              <w:tc>
                <w:tcPr>
                  <w:tcW w:w="1097" w:type="dxa"/>
                  <w:tcBorders>
                    <w:top w:val="single" w:color="000000" w:sz="4" w:space="0"/>
                    <w:left w:val="single" w:color="000000" w:sz="4" w:space="0"/>
                    <w:bottom w:val="single" w:color="000000" w:sz="4" w:space="0"/>
                    <w:right w:val="single" w:color="000000" w:sz="4" w:space="0"/>
                  </w:tcBorders>
                  <w:vAlign w:val="center"/>
                </w:tcPr>
                <w:p w14:paraId="446CDD88">
                  <w:pPr>
                    <w:widowControl/>
                    <w:adjustRightInd w:val="0"/>
                    <w:snapToGrid w:val="0"/>
                    <w:jc w:val="center"/>
                    <w:textAlignment w:val="top"/>
                    <w:rPr>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41000</w:t>
                  </w:r>
                </w:p>
              </w:tc>
              <w:tc>
                <w:tcPr>
                  <w:tcW w:w="1146" w:type="dxa"/>
                  <w:tcBorders>
                    <w:top w:val="single" w:color="000000" w:sz="4" w:space="0"/>
                    <w:left w:val="single" w:color="000000" w:sz="4" w:space="0"/>
                    <w:bottom w:val="single" w:color="000000" w:sz="4" w:space="0"/>
                    <w:right w:val="single" w:color="000000" w:sz="4" w:space="0"/>
                  </w:tcBorders>
                  <w:vAlign w:val="center"/>
                </w:tcPr>
                <w:p w14:paraId="5562EC2E">
                  <w:pPr>
                    <w:widowControl/>
                    <w:adjustRightInd w:val="0"/>
                    <w:snapToGrid w:val="0"/>
                    <w:jc w:val="center"/>
                    <w:textAlignment w:val="top"/>
                    <w:rPr>
                      <w:color w:val="000000" w:themeColor="text1"/>
                      <w:szCs w:val="21"/>
                      <w14:textFill>
                        <w14:solidFill>
                          <w14:schemeClr w14:val="tx1"/>
                        </w14:solidFill>
                      </w14:textFill>
                    </w:rPr>
                  </w:pPr>
                  <w:r>
                    <w:rPr>
                      <w:color w:val="000000" w:themeColor="text1"/>
                      <w:spacing w:val="-2"/>
                      <w:kern w:val="0"/>
                      <w:szCs w:val="21"/>
                      <w:lang w:bidi="ar"/>
                      <w14:textFill>
                        <w14:solidFill>
                          <w14:schemeClr w14:val="tx1"/>
                        </w14:solidFill>
                      </w14:textFill>
                    </w:rPr>
                    <w:t>30~4</w:t>
                  </w:r>
                  <w:r>
                    <w:rPr>
                      <w:rFonts w:hint="eastAsia"/>
                      <w:color w:val="000000" w:themeColor="text1"/>
                      <w:spacing w:val="-2"/>
                      <w:kern w:val="0"/>
                      <w:szCs w:val="21"/>
                      <w:lang w:bidi="ar"/>
                      <w14:textFill>
                        <w14:solidFill>
                          <w14:schemeClr w14:val="tx1"/>
                        </w14:solidFill>
                      </w14:textFill>
                    </w:rPr>
                    <w:t>0</w:t>
                  </w:r>
                </w:p>
              </w:tc>
              <w:tc>
                <w:tcPr>
                  <w:tcW w:w="1338" w:type="dxa"/>
                  <w:tcBorders>
                    <w:top w:val="single" w:color="000000" w:sz="4" w:space="0"/>
                    <w:left w:val="single" w:color="000000" w:sz="4" w:space="0"/>
                    <w:bottom w:val="single" w:color="auto" w:sz="4" w:space="0"/>
                    <w:right w:val="single" w:color="000000" w:sz="4" w:space="0"/>
                  </w:tcBorders>
                  <w:vAlign w:val="center"/>
                </w:tcPr>
                <w:p w14:paraId="059CFDEE">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0（即买即用，场内不堆存）</w:t>
                  </w:r>
                </w:p>
              </w:tc>
              <w:tc>
                <w:tcPr>
                  <w:tcW w:w="2028" w:type="dxa"/>
                  <w:tcBorders>
                    <w:top w:val="single" w:color="000000" w:sz="4" w:space="0"/>
                    <w:left w:val="single" w:color="000000" w:sz="4" w:space="0"/>
                    <w:bottom w:val="single" w:color="auto" w:sz="4" w:space="0"/>
                    <w:right w:val="single" w:color="000000" w:sz="4" w:space="0"/>
                  </w:tcBorders>
                  <w:vAlign w:val="center"/>
                </w:tcPr>
                <w:p w14:paraId="3795AE56">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寻甸周边购买，入厂时均为袋装，售卖方负责运输至厂区</w:t>
                  </w:r>
                </w:p>
              </w:tc>
            </w:tr>
            <w:tr w14:paraId="39310002">
              <w:tblPrEx>
                <w:tblCellMar>
                  <w:top w:w="15" w:type="dxa"/>
                  <w:left w:w="15" w:type="dxa"/>
                  <w:bottom w:w="15" w:type="dxa"/>
                  <w:right w:w="15" w:type="dxa"/>
                </w:tblCellMar>
              </w:tblPrEx>
              <w:trPr>
                <w:trHeight w:val="369" w:hRule="atLeast"/>
                <w:jc w:val="center"/>
              </w:trPr>
              <w:tc>
                <w:tcPr>
                  <w:tcW w:w="553" w:type="dxa"/>
                  <w:tcBorders>
                    <w:top w:val="single" w:color="000000" w:sz="4" w:space="0"/>
                    <w:left w:val="single" w:color="000000" w:sz="4" w:space="0"/>
                    <w:bottom w:val="single" w:color="000000" w:sz="4" w:space="0"/>
                    <w:right w:val="single" w:color="000000" w:sz="4" w:space="0"/>
                  </w:tcBorders>
                  <w:vAlign w:val="center"/>
                </w:tcPr>
                <w:p w14:paraId="0F45F621">
                  <w:pPr>
                    <w:widowControl/>
                    <w:adjustRightInd w:val="0"/>
                    <w:snapToGrid w:val="0"/>
                    <w:jc w:val="center"/>
                    <w:textAlignment w:val="top"/>
                    <w:rPr>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2</w:t>
                  </w:r>
                </w:p>
              </w:tc>
              <w:tc>
                <w:tcPr>
                  <w:tcW w:w="1100" w:type="dxa"/>
                  <w:tcBorders>
                    <w:top w:val="single" w:color="000000" w:sz="4" w:space="0"/>
                    <w:left w:val="single" w:color="000000" w:sz="4" w:space="0"/>
                    <w:bottom w:val="single" w:color="000000" w:sz="4" w:space="0"/>
                    <w:right w:val="single" w:color="auto" w:sz="4" w:space="0"/>
                  </w:tcBorders>
                  <w:vAlign w:val="center"/>
                </w:tcPr>
                <w:p w14:paraId="0CFE6390">
                  <w:pPr>
                    <w:widowControl/>
                    <w:adjustRightInd w:val="0"/>
                    <w:snapToGrid w:val="0"/>
                    <w:jc w:val="center"/>
                    <w:textAlignment w:val="top"/>
                    <w:rPr>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锯木屑</w:t>
                  </w:r>
                </w:p>
              </w:tc>
              <w:tc>
                <w:tcPr>
                  <w:tcW w:w="683" w:type="dxa"/>
                  <w:tcBorders>
                    <w:top w:val="single" w:color="000000" w:sz="4" w:space="0"/>
                    <w:left w:val="single" w:color="auto" w:sz="4" w:space="0"/>
                    <w:bottom w:val="single" w:color="000000" w:sz="4" w:space="0"/>
                    <w:right w:val="single" w:color="000000" w:sz="4" w:space="0"/>
                  </w:tcBorders>
                  <w:vAlign w:val="center"/>
                </w:tcPr>
                <w:p w14:paraId="16F666EE">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颗粒状</w:t>
                  </w:r>
                </w:p>
              </w:tc>
              <w:tc>
                <w:tcPr>
                  <w:tcW w:w="1097" w:type="dxa"/>
                  <w:tcBorders>
                    <w:top w:val="single" w:color="000000" w:sz="4" w:space="0"/>
                    <w:left w:val="single" w:color="000000" w:sz="4" w:space="0"/>
                    <w:bottom w:val="single" w:color="000000" w:sz="4" w:space="0"/>
                    <w:right w:val="single" w:color="000000" w:sz="4" w:space="0"/>
                  </w:tcBorders>
                  <w:vAlign w:val="center"/>
                </w:tcPr>
                <w:p w14:paraId="57E84658">
                  <w:pPr>
                    <w:widowControl/>
                    <w:adjustRightInd w:val="0"/>
                    <w:snapToGrid w:val="0"/>
                    <w:jc w:val="center"/>
                    <w:textAlignment w:val="top"/>
                    <w:rPr>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10000</w:t>
                  </w:r>
                </w:p>
              </w:tc>
              <w:tc>
                <w:tcPr>
                  <w:tcW w:w="1146" w:type="dxa"/>
                  <w:tcBorders>
                    <w:top w:val="single" w:color="000000" w:sz="4" w:space="0"/>
                    <w:left w:val="single" w:color="000000" w:sz="4" w:space="0"/>
                    <w:bottom w:val="single" w:color="000000" w:sz="4" w:space="0"/>
                    <w:right w:val="single" w:color="000000" w:sz="4" w:space="0"/>
                  </w:tcBorders>
                  <w:vAlign w:val="center"/>
                </w:tcPr>
                <w:p w14:paraId="4459FCFE">
                  <w:pPr>
                    <w:widowControl/>
                    <w:adjustRightInd w:val="0"/>
                    <w:snapToGrid w:val="0"/>
                    <w:jc w:val="center"/>
                    <w:textAlignment w:val="top"/>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10-15</w:t>
                  </w:r>
                </w:p>
              </w:tc>
              <w:tc>
                <w:tcPr>
                  <w:tcW w:w="1338" w:type="dxa"/>
                  <w:tcBorders>
                    <w:top w:val="single" w:color="auto" w:sz="4" w:space="0"/>
                    <w:left w:val="single" w:color="000000" w:sz="4" w:space="0"/>
                    <w:bottom w:val="single" w:color="000000" w:sz="4" w:space="0"/>
                    <w:right w:val="single" w:color="000000" w:sz="4" w:space="0"/>
                  </w:tcBorders>
                  <w:vAlign w:val="center"/>
                </w:tcPr>
                <w:p w14:paraId="233985AF">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500（610</w:t>
                  </w:r>
                  <w:r>
                    <w:rPr>
                      <w:rFonts w:hint="eastAsia"/>
                      <w:color w:val="000000" w:themeColor="text1"/>
                      <w:szCs w:val="21"/>
                      <w14:textFill>
                        <w14:solidFill>
                          <w14:schemeClr w14:val="tx1"/>
                        </w14:solidFill>
                      </w14:textFill>
                    </w:rPr>
                    <w:t>m</w:t>
                  </w:r>
                  <w:r>
                    <w:rPr>
                      <w:rFonts w:hint="eastAsia"/>
                      <w:color w:val="000000" w:themeColor="text1"/>
                      <w:szCs w:val="21"/>
                      <w:vertAlign w:val="superscript"/>
                      <w14:textFill>
                        <w14:solidFill>
                          <w14:schemeClr w14:val="tx1"/>
                        </w14:solidFill>
                      </w14:textFill>
                    </w:rPr>
                    <w:t>3</w:t>
                  </w:r>
                  <w:r>
                    <w:rPr>
                      <w:rFonts w:hint="eastAsia"/>
                      <w:color w:val="000000" w:themeColor="text1"/>
                      <w:spacing w:val="-2"/>
                      <w:kern w:val="0"/>
                      <w:szCs w:val="21"/>
                      <w:lang w:bidi="ar"/>
                      <w14:textFill>
                        <w14:solidFill>
                          <w14:schemeClr w14:val="tx1"/>
                        </w14:solidFill>
                      </w14:textFill>
                    </w:rPr>
                    <w:t>）</w:t>
                  </w:r>
                </w:p>
              </w:tc>
              <w:tc>
                <w:tcPr>
                  <w:tcW w:w="2028" w:type="dxa"/>
                  <w:vMerge w:val="restart"/>
                  <w:tcBorders>
                    <w:top w:val="single" w:color="auto" w:sz="4" w:space="0"/>
                    <w:left w:val="single" w:color="000000" w:sz="4" w:space="0"/>
                    <w:right w:val="single" w:color="000000" w:sz="4" w:space="0"/>
                  </w:tcBorders>
                  <w:vAlign w:val="center"/>
                </w:tcPr>
                <w:p w14:paraId="2F4BF1A0">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寻甸周边购买后储存于原料库</w:t>
                  </w:r>
                </w:p>
              </w:tc>
            </w:tr>
            <w:tr w14:paraId="47B14C83">
              <w:tblPrEx>
                <w:tblCellMar>
                  <w:top w:w="15" w:type="dxa"/>
                  <w:left w:w="15" w:type="dxa"/>
                  <w:bottom w:w="15" w:type="dxa"/>
                  <w:right w:w="15" w:type="dxa"/>
                </w:tblCellMar>
              </w:tblPrEx>
              <w:trPr>
                <w:trHeight w:val="369" w:hRule="atLeast"/>
                <w:jc w:val="center"/>
              </w:trPr>
              <w:tc>
                <w:tcPr>
                  <w:tcW w:w="553" w:type="dxa"/>
                  <w:tcBorders>
                    <w:top w:val="single" w:color="000000" w:sz="4" w:space="0"/>
                    <w:left w:val="single" w:color="000000" w:sz="4" w:space="0"/>
                    <w:bottom w:val="single" w:color="000000" w:sz="4" w:space="0"/>
                    <w:right w:val="single" w:color="000000" w:sz="4" w:space="0"/>
                  </w:tcBorders>
                  <w:vAlign w:val="center"/>
                </w:tcPr>
                <w:p w14:paraId="0262CFD8">
                  <w:pPr>
                    <w:widowControl/>
                    <w:adjustRightInd w:val="0"/>
                    <w:snapToGrid w:val="0"/>
                    <w:jc w:val="center"/>
                    <w:textAlignment w:val="top"/>
                    <w:rPr>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3</w:t>
                  </w:r>
                </w:p>
              </w:tc>
              <w:tc>
                <w:tcPr>
                  <w:tcW w:w="1100" w:type="dxa"/>
                  <w:tcBorders>
                    <w:top w:val="single" w:color="000000" w:sz="4" w:space="0"/>
                    <w:left w:val="single" w:color="000000" w:sz="4" w:space="0"/>
                    <w:bottom w:val="single" w:color="000000" w:sz="4" w:space="0"/>
                    <w:right w:val="single" w:color="auto" w:sz="4" w:space="0"/>
                  </w:tcBorders>
                  <w:vAlign w:val="center"/>
                </w:tcPr>
                <w:p w14:paraId="33002E8C">
                  <w:pPr>
                    <w:widowControl/>
                    <w:adjustRightInd w:val="0"/>
                    <w:snapToGrid w:val="0"/>
                    <w:jc w:val="center"/>
                    <w:textAlignment w:val="top"/>
                    <w:rPr>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尿素</w:t>
                  </w:r>
                </w:p>
              </w:tc>
              <w:tc>
                <w:tcPr>
                  <w:tcW w:w="683" w:type="dxa"/>
                  <w:tcBorders>
                    <w:top w:val="single" w:color="000000" w:sz="4" w:space="0"/>
                    <w:left w:val="single" w:color="auto" w:sz="4" w:space="0"/>
                    <w:bottom w:val="single" w:color="000000" w:sz="4" w:space="0"/>
                    <w:right w:val="single" w:color="000000" w:sz="4" w:space="0"/>
                  </w:tcBorders>
                  <w:vAlign w:val="center"/>
                </w:tcPr>
                <w:p w14:paraId="1656C7C9">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颗粒状</w:t>
                  </w:r>
                </w:p>
              </w:tc>
              <w:tc>
                <w:tcPr>
                  <w:tcW w:w="1097" w:type="dxa"/>
                  <w:tcBorders>
                    <w:top w:val="single" w:color="000000" w:sz="4" w:space="0"/>
                    <w:left w:val="single" w:color="000000" w:sz="4" w:space="0"/>
                    <w:bottom w:val="single" w:color="000000" w:sz="4" w:space="0"/>
                    <w:right w:val="single" w:color="000000" w:sz="4" w:space="0"/>
                  </w:tcBorders>
                  <w:vAlign w:val="center"/>
                </w:tcPr>
                <w:p w14:paraId="645DD6C8">
                  <w:pPr>
                    <w:widowControl/>
                    <w:adjustRightInd w:val="0"/>
                    <w:snapToGrid w:val="0"/>
                    <w:jc w:val="center"/>
                    <w:textAlignment w:val="top"/>
                    <w:rPr>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2600</w:t>
                  </w:r>
                </w:p>
              </w:tc>
              <w:tc>
                <w:tcPr>
                  <w:tcW w:w="1146" w:type="dxa"/>
                  <w:tcBorders>
                    <w:top w:val="single" w:color="000000" w:sz="4" w:space="0"/>
                    <w:left w:val="single" w:color="000000" w:sz="4" w:space="0"/>
                    <w:bottom w:val="single" w:color="000000" w:sz="4" w:space="0"/>
                    <w:right w:val="single" w:color="000000" w:sz="4" w:space="0"/>
                  </w:tcBorders>
                  <w:vAlign w:val="center"/>
                </w:tcPr>
                <w:p w14:paraId="1B5DE285">
                  <w:pPr>
                    <w:widowControl/>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＜0.1</w:t>
                  </w:r>
                </w:p>
              </w:tc>
              <w:tc>
                <w:tcPr>
                  <w:tcW w:w="1338" w:type="dxa"/>
                  <w:tcBorders>
                    <w:top w:val="single" w:color="000000" w:sz="4" w:space="0"/>
                    <w:left w:val="single" w:color="000000" w:sz="4" w:space="0"/>
                    <w:bottom w:val="single" w:color="000000" w:sz="4" w:space="0"/>
                    <w:right w:val="single" w:color="000000" w:sz="4" w:space="0"/>
                  </w:tcBorders>
                  <w:vAlign w:val="center"/>
                </w:tcPr>
                <w:p w14:paraId="1927E688">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130（110</w:t>
                  </w:r>
                  <w:r>
                    <w:rPr>
                      <w:rFonts w:hint="eastAsia"/>
                      <w:color w:val="000000" w:themeColor="text1"/>
                      <w:szCs w:val="21"/>
                      <w14:textFill>
                        <w14:solidFill>
                          <w14:schemeClr w14:val="tx1"/>
                        </w14:solidFill>
                      </w14:textFill>
                    </w:rPr>
                    <w:t>m</w:t>
                  </w:r>
                  <w:r>
                    <w:rPr>
                      <w:rFonts w:hint="eastAsia"/>
                      <w:color w:val="000000" w:themeColor="text1"/>
                      <w:szCs w:val="21"/>
                      <w:vertAlign w:val="superscript"/>
                      <w14:textFill>
                        <w14:solidFill>
                          <w14:schemeClr w14:val="tx1"/>
                        </w14:solidFill>
                      </w14:textFill>
                    </w:rPr>
                    <w:t>3</w:t>
                  </w:r>
                  <w:r>
                    <w:rPr>
                      <w:rFonts w:hint="eastAsia"/>
                      <w:color w:val="000000" w:themeColor="text1"/>
                      <w:spacing w:val="-2"/>
                      <w:kern w:val="0"/>
                      <w:szCs w:val="21"/>
                      <w:lang w:bidi="ar"/>
                      <w14:textFill>
                        <w14:solidFill>
                          <w14:schemeClr w14:val="tx1"/>
                        </w14:solidFill>
                      </w14:textFill>
                    </w:rPr>
                    <w:t>）</w:t>
                  </w:r>
                </w:p>
              </w:tc>
              <w:tc>
                <w:tcPr>
                  <w:tcW w:w="2028" w:type="dxa"/>
                  <w:vMerge w:val="continue"/>
                  <w:tcBorders>
                    <w:left w:val="single" w:color="000000" w:sz="4" w:space="0"/>
                    <w:bottom w:val="single" w:color="auto" w:sz="4" w:space="0"/>
                    <w:right w:val="single" w:color="000000" w:sz="4" w:space="0"/>
                  </w:tcBorders>
                  <w:vAlign w:val="center"/>
                </w:tcPr>
                <w:p w14:paraId="6176E0C6">
                  <w:pPr>
                    <w:widowControl/>
                    <w:adjustRightInd w:val="0"/>
                    <w:snapToGrid w:val="0"/>
                    <w:jc w:val="center"/>
                    <w:textAlignment w:val="top"/>
                    <w:rPr>
                      <w:color w:val="000000" w:themeColor="text1"/>
                      <w:spacing w:val="-2"/>
                      <w:kern w:val="0"/>
                      <w:szCs w:val="21"/>
                      <w:lang w:bidi="ar"/>
                      <w14:textFill>
                        <w14:solidFill>
                          <w14:schemeClr w14:val="tx1"/>
                        </w14:solidFill>
                      </w14:textFill>
                    </w:rPr>
                  </w:pPr>
                </w:p>
              </w:tc>
            </w:tr>
            <w:tr w14:paraId="467DA898">
              <w:tblPrEx>
                <w:tblCellMar>
                  <w:top w:w="15" w:type="dxa"/>
                  <w:left w:w="15" w:type="dxa"/>
                  <w:bottom w:w="15" w:type="dxa"/>
                  <w:right w:w="15" w:type="dxa"/>
                </w:tblCellMar>
              </w:tblPrEx>
              <w:trPr>
                <w:trHeight w:val="369" w:hRule="atLeast"/>
                <w:jc w:val="center"/>
              </w:trPr>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135B2">
                  <w:pPr>
                    <w:widowControl/>
                    <w:adjustRightInd w:val="0"/>
                    <w:snapToGrid w:val="0"/>
                    <w:jc w:val="center"/>
                    <w:textAlignment w:val="top"/>
                    <w:rPr>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4</w:t>
                  </w:r>
                </w:p>
              </w:tc>
              <w:tc>
                <w:tcPr>
                  <w:tcW w:w="1100" w:type="dxa"/>
                  <w:tcBorders>
                    <w:top w:val="single" w:color="000000" w:sz="4" w:space="0"/>
                    <w:left w:val="single" w:color="000000" w:sz="4" w:space="0"/>
                    <w:bottom w:val="single" w:color="000000" w:sz="4" w:space="0"/>
                    <w:right w:val="single" w:color="auto" w:sz="4" w:space="0"/>
                  </w:tcBorders>
                  <w:shd w:val="clear" w:color="auto" w:fill="auto"/>
                  <w:vAlign w:val="center"/>
                </w:tcPr>
                <w:p w14:paraId="6B4C26B9">
                  <w:pPr>
                    <w:widowControl/>
                    <w:adjustRightInd w:val="0"/>
                    <w:snapToGrid w:val="0"/>
                    <w:jc w:val="center"/>
                    <w:textAlignment w:val="bottom"/>
                    <w:rPr>
                      <w:color w:val="000000" w:themeColor="text1"/>
                      <w:szCs w:val="21"/>
                      <w14:textFill>
                        <w14:solidFill>
                          <w14:schemeClr w14:val="tx1"/>
                        </w14:solidFill>
                      </w14:textFill>
                    </w:rPr>
                  </w:pPr>
                  <w:r>
                    <w:rPr>
                      <w:color w:val="000000" w:themeColor="text1"/>
                      <w:spacing w:val="-2"/>
                      <w:kern w:val="0"/>
                      <w:szCs w:val="21"/>
                      <w:lang w:bidi="ar"/>
                      <w14:textFill>
                        <w14:solidFill>
                          <w14:schemeClr w14:val="tx1"/>
                        </w14:solidFill>
                      </w14:textFill>
                    </w:rPr>
                    <w:t>发酵剂菌种</w:t>
                  </w:r>
                </w:p>
              </w:tc>
              <w:tc>
                <w:tcPr>
                  <w:tcW w:w="683" w:type="dxa"/>
                  <w:tcBorders>
                    <w:top w:val="single" w:color="000000" w:sz="4" w:space="0"/>
                    <w:left w:val="single" w:color="auto" w:sz="4" w:space="0"/>
                    <w:bottom w:val="single" w:color="000000" w:sz="4" w:space="0"/>
                    <w:right w:val="single" w:color="000000" w:sz="4" w:space="0"/>
                  </w:tcBorders>
                  <w:shd w:val="clear" w:color="auto" w:fill="auto"/>
                  <w:vAlign w:val="center"/>
                </w:tcPr>
                <w:p w14:paraId="39B6021F">
                  <w:pPr>
                    <w:widowControl/>
                    <w:adjustRightInd w:val="0"/>
                    <w:snapToGrid w:val="0"/>
                    <w:jc w:val="center"/>
                    <w:textAlignment w:val="bottom"/>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粉状</w:t>
                  </w:r>
                </w:p>
              </w:tc>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4B94E">
                  <w:pPr>
                    <w:widowControl/>
                    <w:adjustRightInd w:val="0"/>
                    <w:snapToGrid w:val="0"/>
                    <w:jc w:val="center"/>
                    <w:textAlignment w:val="top"/>
                    <w:rPr>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20</w:t>
                  </w:r>
                </w:p>
              </w:tc>
              <w:tc>
                <w:tcPr>
                  <w:tcW w:w="1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C999">
                  <w:pPr>
                    <w:widowControl/>
                    <w:adjustRightInd w:val="0"/>
                    <w:snapToGrid w:val="0"/>
                    <w:jc w:val="center"/>
                    <w:textAlignment w:val="bottom"/>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p>
              </w:tc>
              <w:tc>
                <w:tcPr>
                  <w:tcW w:w="1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E6D2A">
                  <w:pPr>
                    <w:widowControl/>
                    <w:adjustRightInd w:val="0"/>
                    <w:snapToGrid w:val="0"/>
                    <w:jc w:val="center"/>
                    <w:textAlignment w:val="bottom"/>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1</w:t>
                  </w:r>
                </w:p>
              </w:tc>
              <w:tc>
                <w:tcPr>
                  <w:tcW w:w="2028" w:type="dxa"/>
                  <w:tcBorders>
                    <w:left w:val="single" w:color="000000" w:sz="4" w:space="0"/>
                    <w:bottom w:val="single" w:color="auto" w:sz="4" w:space="0"/>
                    <w:right w:val="single" w:color="000000" w:sz="4" w:space="0"/>
                  </w:tcBorders>
                  <w:shd w:val="clear" w:color="auto" w:fill="auto"/>
                  <w:vAlign w:val="center"/>
                </w:tcPr>
                <w:p w14:paraId="1FDD532E">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color w:val="000000" w:themeColor="text1"/>
                      <w:spacing w:val="-2"/>
                      <w:kern w:val="0"/>
                      <w:szCs w:val="21"/>
                      <w:lang w:bidi="ar"/>
                      <w14:textFill>
                        <w14:solidFill>
                          <w14:schemeClr w14:val="tx1"/>
                        </w14:solidFill>
                      </w14:textFill>
                    </w:rPr>
                    <w:t>地衣芽孢杆菌、枯草芽孢杆菌、酵母菌等</w:t>
                  </w:r>
                </w:p>
              </w:tc>
            </w:tr>
            <w:tr w14:paraId="7D84A535">
              <w:tblPrEx>
                <w:tblCellMar>
                  <w:top w:w="15" w:type="dxa"/>
                  <w:left w:w="15" w:type="dxa"/>
                  <w:bottom w:w="15" w:type="dxa"/>
                  <w:right w:w="15" w:type="dxa"/>
                </w:tblCellMar>
              </w:tblPrEx>
              <w:trPr>
                <w:trHeight w:val="369" w:hRule="atLeast"/>
                <w:jc w:val="center"/>
              </w:trPr>
              <w:tc>
                <w:tcPr>
                  <w:tcW w:w="553" w:type="dxa"/>
                  <w:tcBorders>
                    <w:top w:val="single" w:color="000000" w:sz="4" w:space="0"/>
                    <w:left w:val="single" w:color="000000" w:sz="4" w:space="0"/>
                    <w:bottom w:val="single" w:color="000000" w:sz="4" w:space="0"/>
                    <w:right w:val="single" w:color="000000" w:sz="4" w:space="0"/>
                  </w:tcBorders>
                  <w:vAlign w:val="center"/>
                </w:tcPr>
                <w:p w14:paraId="35DF608A">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5</w:t>
                  </w:r>
                </w:p>
              </w:tc>
              <w:tc>
                <w:tcPr>
                  <w:tcW w:w="1783" w:type="dxa"/>
                  <w:gridSpan w:val="2"/>
                  <w:tcBorders>
                    <w:top w:val="single" w:color="000000" w:sz="4" w:space="0"/>
                    <w:left w:val="single" w:color="000000" w:sz="4" w:space="0"/>
                    <w:bottom w:val="single" w:color="000000" w:sz="4" w:space="0"/>
                    <w:right w:val="single" w:color="000000" w:sz="4" w:space="0"/>
                  </w:tcBorders>
                  <w:vAlign w:val="center"/>
                </w:tcPr>
                <w:p w14:paraId="342A9AE7">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水</w:t>
                  </w:r>
                </w:p>
              </w:tc>
              <w:tc>
                <w:tcPr>
                  <w:tcW w:w="1097" w:type="dxa"/>
                  <w:tcBorders>
                    <w:top w:val="single" w:color="000000" w:sz="4" w:space="0"/>
                    <w:left w:val="single" w:color="000000" w:sz="4" w:space="0"/>
                    <w:bottom w:val="single" w:color="000000" w:sz="4" w:space="0"/>
                    <w:right w:val="single" w:color="000000" w:sz="4" w:space="0"/>
                  </w:tcBorders>
                  <w:vAlign w:val="center"/>
                </w:tcPr>
                <w:p w14:paraId="7F1A3B79">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5100</w:t>
                  </w:r>
                </w:p>
              </w:tc>
              <w:tc>
                <w:tcPr>
                  <w:tcW w:w="4512" w:type="dxa"/>
                  <w:gridSpan w:val="3"/>
                  <w:tcBorders>
                    <w:top w:val="single" w:color="000000" w:sz="4" w:space="0"/>
                    <w:left w:val="single" w:color="000000" w:sz="4" w:space="0"/>
                    <w:bottom w:val="single" w:color="000000" w:sz="4" w:space="0"/>
                    <w:right w:val="single" w:color="000000" w:sz="4" w:space="0"/>
                  </w:tcBorders>
                  <w:vAlign w:val="center"/>
                </w:tcPr>
                <w:p w14:paraId="71ABE452">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已建供水系统提供</w:t>
                  </w:r>
                </w:p>
              </w:tc>
            </w:tr>
            <w:tr w14:paraId="472CC629">
              <w:tblPrEx>
                <w:tblCellMar>
                  <w:top w:w="15" w:type="dxa"/>
                  <w:left w:w="15" w:type="dxa"/>
                  <w:bottom w:w="15" w:type="dxa"/>
                  <w:right w:w="15" w:type="dxa"/>
                </w:tblCellMar>
              </w:tblPrEx>
              <w:trPr>
                <w:trHeight w:val="369" w:hRule="atLeast"/>
                <w:jc w:val="center"/>
              </w:trPr>
              <w:tc>
                <w:tcPr>
                  <w:tcW w:w="7945" w:type="dxa"/>
                  <w:gridSpan w:val="7"/>
                  <w:tcBorders>
                    <w:top w:val="single" w:color="000000" w:sz="4" w:space="0"/>
                    <w:left w:val="single" w:color="000000" w:sz="4" w:space="0"/>
                    <w:bottom w:val="single" w:color="000000" w:sz="4" w:space="0"/>
                    <w:right w:val="single" w:color="000000" w:sz="4" w:space="0"/>
                  </w:tcBorders>
                  <w:vAlign w:val="center"/>
                </w:tcPr>
                <w:p w14:paraId="09DA37A8">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其他</w:t>
                  </w:r>
                </w:p>
              </w:tc>
            </w:tr>
            <w:tr w14:paraId="553591B2">
              <w:tblPrEx>
                <w:tblCellMar>
                  <w:top w:w="15" w:type="dxa"/>
                  <w:left w:w="15" w:type="dxa"/>
                  <w:bottom w:w="15" w:type="dxa"/>
                  <w:right w:w="15" w:type="dxa"/>
                </w:tblCellMar>
              </w:tblPrEx>
              <w:trPr>
                <w:trHeight w:val="369" w:hRule="atLeast"/>
                <w:jc w:val="center"/>
              </w:trPr>
              <w:tc>
                <w:tcPr>
                  <w:tcW w:w="553" w:type="dxa"/>
                  <w:tcBorders>
                    <w:top w:val="single" w:color="000000" w:sz="4" w:space="0"/>
                    <w:left w:val="single" w:color="000000" w:sz="4" w:space="0"/>
                    <w:bottom w:val="single" w:color="000000" w:sz="4" w:space="0"/>
                    <w:right w:val="single" w:color="000000" w:sz="4" w:space="0"/>
                  </w:tcBorders>
                  <w:vAlign w:val="center"/>
                </w:tcPr>
                <w:p w14:paraId="0B3F6B6D">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1</w:t>
                  </w:r>
                </w:p>
              </w:tc>
              <w:tc>
                <w:tcPr>
                  <w:tcW w:w="1783" w:type="dxa"/>
                  <w:gridSpan w:val="2"/>
                  <w:tcBorders>
                    <w:top w:val="single" w:color="000000" w:sz="4" w:space="0"/>
                    <w:left w:val="single" w:color="000000" w:sz="4" w:space="0"/>
                    <w:bottom w:val="single" w:color="000000" w:sz="4" w:space="0"/>
                    <w:right w:val="single" w:color="000000" w:sz="4" w:space="0"/>
                  </w:tcBorders>
                  <w:vAlign w:val="center"/>
                </w:tcPr>
                <w:p w14:paraId="5AE7A10A">
                  <w:pPr>
                    <w:widowControl/>
                    <w:adjustRightInd w:val="0"/>
                    <w:snapToGrid w:val="0"/>
                    <w:jc w:val="center"/>
                    <w:textAlignment w:val="bottom"/>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生物除臭剂</w:t>
                  </w:r>
                </w:p>
              </w:tc>
              <w:tc>
                <w:tcPr>
                  <w:tcW w:w="1097" w:type="dxa"/>
                  <w:tcBorders>
                    <w:top w:val="single" w:color="000000" w:sz="4" w:space="0"/>
                    <w:left w:val="single" w:color="000000" w:sz="4" w:space="0"/>
                    <w:bottom w:val="single" w:color="000000" w:sz="4" w:space="0"/>
                    <w:right w:val="single" w:color="000000" w:sz="4" w:space="0"/>
                  </w:tcBorders>
                  <w:vAlign w:val="center"/>
                </w:tcPr>
                <w:p w14:paraId="04489EB1">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2</w:t>
                  </w:r>
                </w:p>
              </w:tc>
              <w:tc>
                <w:tcPr>
                  <w:tcW w:w="1146" w:type="dxa"/>
                  <w:tcBorders>
                    <w:top w:val="single" w:color="000000" w:sz="4" w:space="0"/>
                    <w:left w:val="single" w:color="000000" w:sz="4" w:space="0"/>
                    <w:bottom w:val="single" w:color="000000" w:sz="4" w:space="0"/>
                    <w:right w:val="single" w:color="000000" w:sz="4" w:space="0"/>
                  </w:tcBorders>
                  <w:vAlign w:val="center"/>
                </w:tcPr>
                <w:p w14:paraId="0A5A924C">
                  <w:pPr>
                    <w:widowControl/>
                    <w:adjustRightInd w:val="0"/>
                    <w:snapToGrid w:val="0"/>
                    <w:jc w:val="center"/>
                    <w:textAlignment w:val="bottom"/>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w:t>
                  </w:r>
                </w:p>
              </w:tc>
              <w:tc>
                <w:tcPr>
                  <w:tcW w:w="1338" w:type="dxa"/>
                  <w:tcBorders>
                    <w:top w:val="single" w:color="000000" w:sz="4" w:space="0"/>
                    <w:left w:val="single" w:color="000000" w:sz="4" w:space="0"/>
                    <w:bottom w:val="single" w:color="000000" w:sz="4" w:space="0"/>
                    <w:right w:val="single" w:color="000000" w:sz="4" w:space="0"/>
                  </w:tcBorders>
                  <w:vAlign w:val="center"/>
                </w:tcPr>
                <w:p w14:paraId="584F0F8B">
                  <w:pPr>
                    <w:widowControl/>
                    <w:adjustRightInd w:val="0"/>
                    <w:snapToGrid w:val="0"/>
                    <w:jc w:val="center"/>
                    <w:textAlignment w:val="bottom"/>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0.1</w:t>
                  </w:r>
                </w:p>
              </w:tc>
              <w:tc>
                <w:tcPr>
                  <w:tcW w:w="2028" w:type="dxa"/>
                  <w:tcBorders>
                    <w:top w:val="single" w:color="000000" w:sz="4" w:space="0"/>
                    <w:left w:val="single" w:color="000000" w:sz="4" w:space="0"/>
                    <w:bottom w:val="single" w:color="000000" w:sz="4" w:space="0"/>
                    <w:right w:val="single" w:color="000000" w:sz="4" w:space="0"/>
                  </w:tcBorders>
                </w:tcPr>
                <w:p w14:paraId="4E2DFADD">
                  <w:pPr>
                    <w:adjustRightInd w:val="0"/>
                    <w:snapToGrid w:val="0"/>
                    <w:jc w:val="center"/>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寻甸周边购买</w:t>
                  </w:r>
                </w:p>
              </w:tc>
            </w:tr>
            <w:tr w14:paraId="707C6448">
              <w:tblPrEx>
                <w:tblCellMar>
                  <w:top w:w="15" w:type="dxa"/>
                  <w:left w:w="15" w:type="dxa"/>
                  <w:bottom w:w="15" w:type="dxa"/>
                  <w:right w:w="15" w:type="dxa"/>
                </w:tblCellMar>
              </w:tblPrEx>
              <w:trPr>
                <w:trHeight w:val="369" w:hRule="atLeast"/>
                <w:jc w:val="center"/>
              </w:trPr>
              <w:tc>
                <w:tcPr>
                  <w:tcW w:w="553" w:type="dxa"/>
                  <w:tcBorders>
                    <w:top w:val="single" w:color="000000" w:sz="4" w:space="0"/>
                    <w:left w:val="single" w:color="000000" w:sz="4" w:space="0"/>
                    <w:bottom w:val="single" w:color="000000" w:sz="4" w:space="0"/>
                    <w:right w:val="single" w:color="000000" w:sz="4" w:space="0"/>
                  </w:tcBorders>
                  <w:vAlign w:val="center"/>
                </w:tcPr>
                <w:p w14:paraId="4D398A7C">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2</w:t>
                  </w:r>
                </w:p>
              </w:tc>
              <w:tc>
                <w:tcPr>
                  <w:tcW w:w="1783" w:type="dxa"/>
                  <w:gridSpan w:val="2"/>
                  <w:tcBorders>
                    <w:top w:val="single" w:color="000000" w:sz="4" w:space="0"/>
                    <w:left w:val="single" w:color="000000" w:sz="4" w:space="0"/>
                    <w:bottom w:val="single" w:color="000000" w:sz="4" w:space="0"/>
                    <w:right w:val="single" w:color="000000" w:sz="4" w:space="0"/>
                  </w:tcBorders>
                  <w:vAlign w:val="center"/>
                </w:tcPr>
                <w:p w14:paraId="3C6618BC">
                  <w:pPr>
                    <w:widowControl/>
                    <w:adjustRightInd w:val="0"/>
                    <w:snapToGrid w:val="0"/>
                    <w:jc w:val="center"/>
                    <w:textAlignment w:val="bottom"/>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水</w:t>
                  </w:r>
                </w:p>
              </w:tc>
              <w:tc>
                <w:tcPr>
                  <w:tcW w:w="5609" w:type="dxa"/>
                  <w:gridSpan w:val="4"/>
                  <w:tcBorders>
                    <w:top w:val="single" w:color="000000" w:sz="4" w:space="0"/>
                    <w:left w:val="single" w:color="000000" w:sz="4" w:space="0"/>
                    <w:bottom w:val="single" w:color="000000" w:sz="4" w:space="0"/>
                    <w:right w:val="single" w:color="000000" w:sz="4" w:space="0"/>
                  </w:tcBorders>
                  <w:vAlign w:val="center"/>
                </w:tcPr>
                <w:p w14:paraId="29EC5CF9">
                  <w:pPr>
                    <w:widowControl/>
                    <w:adjustRightInd w:val="0"/>
                    <w:snapToGrid w:val="0"/>
                    <w:jc w:val="center"/>
                    <w:textAlignment w:val="bottom"/>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1044</w:t>
                  </w:r>
                  <w:r>
                    <w:rPr>
                      <w:color w:val="000000" w:themeColor="text1"/>
                      <w:szCs w:val="21"/>
                      <w14:textFill>
                        <w14:solidFill>
                          <w14:schemeClr w14:val="tx1"/>
                        </w14:solidFill>
                      </w14:textFill>
                    </w:rPr>
                    <w:t>m</w:t>
                  </w:r>
                  <w:r>
                    <w:rPr>
                      <w:color w:val="000000" w:themeColor="text1"/>
                      <w:szCs w:val="21"/>
                      <w:vertAlign w:val="superscript"/>
                      <w14:textFill>
                        <w14:solidFill>
                          <w14:schemeClr w14:val="tx1"/>
                        </w14:solidFill>
                      </w14:textFill>
                    </w:rPr>
                    <w:t>3</w:t>
                  </w:r>
                  <w:r>
                    <w:rPr>
                      <w:color w:val="000000" w:themeColor="text1"/>
                      <w:szCs w:val="21"/>
                      <w14:textFill>
                        <w14:solidFill>
                          <w14:schemeClr w14:val="tx1"/>
                        </w14:solidFill>
                      </w14:textFill>
                    </w:rPr>
                    <w:t>/a</w:t>
                  </w:r>
                  <w:r>
                    <w:rPr>
                      <w:rFonts w:hint="eastAsia"/>
                      <w:color w:val="000000" w:themeColor="text1"/>
                      <w:spacing w:val="-2"/>
                      <w:kern w:val="0"/>
                      <w:szCs w:val="21"/>
                      <w:lang w:bidi="ar"/>
                      <w14:textFill>
                        <w14:solidFill>
                          <w14:schemeClr w14:val="tx1"/>
                        </w14:solidFill>
                      </w14:textFill>
                    </w:rPr>
                    <w:t>，当地已建供水系统提供</w:t>
                  </w:r>
                </w:p>
              </w:tc>
            </w:tr>
            <w:tr w14:paraId="37520ADD">
              <w:tblPrEx>
                <w:tblCellMar>
                  <w:top w:w="15" w:type="dxa"/>
                  <w:left w:w="15" w:type="dxa"/>
                  <w:bottom w:w="15" w:type="dxa"/>
                  <w:right w:w="15" w:type="dxa"/>
                </w:tblCellMar>
              </w:tblPrEx>
              <w:trPr>
                <w:trHeight w:val="369" w:hRule="atLeast"/>
                <w:jc w:val="center"/>
              </w:trPr>
              <w:tc>
                <w:tcPr>
                  <w:tcW w:w="553" w:type="dxa"/>
                  <w:tcBorders>
                    <w:top w:val="single" w:color="000000" w:sz="4" w:space="0"/>
                    <w:left w:val="single" w:color="000000" w:sz="4" w:space="0"/>
                    <w:bottom w:val="single" w:color="000000" w:sz="4" w:space="0"/>
                    <w:right w:val="single" w:color="000000" w:sz="4" w:space="0"/>
                  </w:tcBorders>
                  <w:vAlign w:val="center"/>
                </w:tcPr>
                <w:p w14:paraId="4510EE31">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3</w:t>
                  </w:r>
                </w:p>
              </w:tc>
              <w:tc>
                <w:tcPr>
                  <w:tcW w:w="1783" w:type="dxa"/>
                  <w:gridSpan w:val="2"/>
                  <w:tcBorders>
                    <w:top w:val="single" w:color="000000" w:sz="4" w:space="0"/>
                    <w:left w:val="single" w:color="000000" w:sz="4" w:space="0"/>
                    <w:bottom w:val="single" w:color="000000" w:sz="4" w:space="0"/>
                    <w:right w:val="single" w:color="000000" w:sz="4" w:space="0"/>
                  </w:tcBorders>
                  <w:vAlign w:val="center"/>
                </w:tcPr>
                <w:p w14:paraId="0FD12038">
                  <w:pPr>
                    <w:widowControl/>
                    <w:adjustRightInd w:val="0"/>
                    <w:snapToGrid w:val="0"/>
                    <w:jc w:val="center"/>
                    <w:textAlignment w:val="bottom"/>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电</w:t>
                  </w:r>
                </w:p>
              </w:tc>
              <w:tc>
                <w:tcPr>
                  <w:tcW w:w="5609" w:type="dxa"/>
                  <w:gridSpan w:val="4"/>
                  <w:tcBorders>
                    <w:top w:val="single" w:color="000000" w:sz="4" w:space="0"/>
                    <w:left w:val="single" w:color="000000" w:sz="4" w:space="0"/>
                    <w:bottom w:val="single" w:color="000000" w:sz="4" w:space="0"/>
                    <w:right w:val="single" w:color="000000" w:sz="4" w:space="0"/>
                  </w:tcBorders>
                  <w:vAlign w:val="center"/>
                </w:tcPr>
                <w:p w14:paraId="65E9156A">
                  <w:pPr>
                    <w:widowControl/>
                    <w:adjustRightInd w:val="0"/>
                    <w:snapToGrid w:val="0"/>
                    <w:jc w:val="center"/>
                    <w:textAlignment w:val="bottom"/>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100万</w:t>
                  </w:r>
                  <w:r>
                    <w:rPr>
                      <w:color w:val="000000" w:themeColor="text1"/>
                      <w:szCs w:val="21"/>
                      <w14:textFill>
                        <w14:solidFill>
                          <w14:schemeClr w14:val="tx1"/>
                        </w14:solidFill>
                      </w14:textFill>
                    </w:rPr>
                    <w:t>kW·h/a</w:t>
                  </w:r>
                  <w:r>
                    <w:rPr>
                      <w:rFonts w:hint="eastAsia"/>
                      <w:color w:val="000000" w:themeColor="text1"/>
                      <w:szCs w:val="21"/>
                      <w14:textFill>
                        <w14:solidFill>
                          <w14:schemeClr w14:val="tx1"/>
                        </w14:solidFill>
                      </w14:textFill>
                    </w:rPr>
                    <w:t>，当地已建供电系统提供</w:t>
                  </w:r>
                </w:p>
              </w:tc>
            </w:tr>
          </w:tbl>
          <w:p w14:paraId="57E9BD18">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每批次产品生产周期约为20天，原料发酵、陈化需要15天，产品生产加工需要5天。则原料发酵和陈化生产批次为每年20次，发酵完后进行加工，每批次发酵完后进行一次加工，年加工20次。项目按照配比配料、混合后发酵、陈化、包装、入库待售。项目每批次原料用量配比如下：</w:t>
            </w:r>
          </w:p>
          <w:p w14:paraId="32B52D79">
            <w:pPr>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表2-7 项目每批次原料用量</w:t>
            </w:r>
          </w:p>
          <w:tbl>
            <w:tblPr>
              <w:tblStyle w:val="25"/>
              <w:tblpPr w:leftFromText="180" w:rightFromText="180" w:vertAnchor="text" w:tblpXSpec="center" w:tblpY="1"/>
              <w:tblOverlap w:val="never"/>
              <w:tblW w:w="724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51"/>
              <w:gridCol w:w="3390"/>
              <w:gridCol w:w="3101"/>
            </w:tblGrid>
            <w:tr w14:paraId="482AAA8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9" w:hRule="atLeast"/>
                <w:jc w:val="center"/>
              </w:trPr>
              <w:tc>
                <w:tcPr>
                  <w:tcW w:w="751" w:type="dxa"/>
                  <w:vAlign w:val="center"/>
                </w:tcPr>
                <w:p w14:paraId="6C0A45FE">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序号</w:t>
                  </w:r>
                </w:p>
              </w:tc>
              <w:tc>
                <w:tcPr>
                  <w:tcW w:w="3390" w:type="dxa"/>
                  <w:vAlign w:val="center"/>
                </w:tcPr>
                <w:p w14:paraId="45F8AD01">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主要原、辅材料</w:t>
                  </w:r>
                </w:p>
              </w:tc>
              <w:tc>
                <w:tcPr>
                  <w:tcW w:w="3101" w:type="dxa"/>
                  <w:vAlign w:val="center"/>
                </w:tcPr>
                <w:p w14:paraId="7673F828">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单次用量（t）</w:t>
                  </w:r>
                </w:p>
              </w:tc>
            </w:tr>
            <w:tr w14:paraId="6D0D17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9" w:hRule="atLeast"/>
                <w:jc w:val="center"/>
              </w:trPr>
              <w:tc>
                <w:tcPr>
                  <w:tcW w:w="7241" w:type="dxa"/>
                  <w:gridSpan w:val="3"/>
                  <w:vAlign w:val="center"/>
                </w:tcPr>
                <w:p w14:paraId="55B5D829">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有机肥</w:t>
                  </w:r>
                </w:p>
              </w:tc>
            </w:tr>
            <w:tr w14:paraId="60146F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9" w:hRule="atLeast"/>
                <w:jc w:val="center"/>
              </w:trPr>
              <w:tc>
                <w:tcPr>
                  <w:tcW w:w="751" w:type="dxa"/>
                  <w:vAlign w:val="center"/>
                </w:tcPr>
                <w:p w14:paraId="6CD52D49">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3390" w:type="dxa"/>
                  <w:vAlign w:val="center"/>
                </w:tcPr>
                <w:p w14:paraId="6FC1933A">
                  <w:pPr>
                    <w:widowControl/>
                    <w:adjustRightInd w:val="0"/>
                    <w:snapToGrid w:val="0"/>
                    <w:jc w:val="center"/>
                    <w:textAlignment w:val="top"/>
                    <w:rPr>
                      <w:rFonts w:ascii="宋体" w:hAnsi="宋体" w:cs="宋体"/>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低变质褐煤</w:t>
                  </w:r>
                </w:p>
              </w:tc>
              <w:tc>
                <w:tcPr>
                  <w:tcW w:w="3101" w:type="dxa"/>
                  <w:vAlign w:val="center"/>
                </w:tcPr>
                <w:p w14:paraId="66D39982">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2050</w:t>
                  </w:r>
                </w:p>
              </w:tc>
            </w:tr>
            <w:tr w14:paraId="3C0E0C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9" w:hRule="atLeast"/>
                <w:jc w:val="center"/>
              </w:trPr>
              <w:tc>
                <w:tcPr>
                  <w:tcW w:w="751" w:type="dxa"/>
                  <w:vAlign w:val="center"/>
                </w:tcPr>
                <w:p w14:paraId="2F00C260">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p>
              </w:tc>
              <w:tc>
                <w:tcPr>
                  <w:tcW w:w="3390" w:type="dxa"/>
                  <w:vAlign w:val="center"/>
                </w:tcPr>
                <w:p w14:paraId="6BC344C1">
                  <w:pPr>
                    <w:widowControl/>
                    <w:adjustRightInd w:val="0"/>
                    <w:snapToGrid w:val="0"/>
                    <w:jc w:val="center"/>
                    <w:textAlignment w:val="top"/>
                    <w:rPr>
                      <w:rFonts w:ascii="宋体" w:hAnsi="宋体" w:cs="宋体"/>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锯木屑</w:t>
                  </w:r>
                </w:p>
              </w:tc>
              <w:tc>
                <w:tcPr>
                  <w:tcW w:w="3101" w:type="dxa"/>
                  <w:vAlign w:val="center"/>
                </w:tcPr>
                <w:p w14:paraId="2C0CC6CC">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500</w:t>
                  </w:r>
                </w:p>
              </w:tc>
            </w:tr>
            <w:tr w14:paraId="5BE44D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9" w:hRule="atLeast"/>
                <w:jc w:val="center"/>
              </w:trPr>
              <w:tc>
                <w:tcPr>
                  <w:tcW w:w="751" w:type="dxa"/>
                  <w:vAlign w:val="center"/>
                </w:tcPr>
                <w:p w14:paraId="751859CB">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w:t>
                  </w:r>
                </w:p>
              </w:tc>
              <w:tc>
                <w:tcPr>
                  <w:tcW w:w="3390" w:type="dxa"/>
                  <w:vAlign w:val="center"/>
                </w:tcPr>
                <w:p w14:paraId="2B3332C7">
                  <w:pPr>
                    <w:widowControl/>
                    <w:adjustRightInd w:val="0"/>
                    <w:snapToGrid w:val="0"/>
                    <w:jc w:val="center"/>
                    <w:textAlignment w:val="top"/>
                    <w:rPr>
                      <w:rFonts w:ascii="宋体" w:hAnsi="宋体" w:cs="宋体"/>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尿素</w:t>
                  </w:r>
                </w:p>
              </w:tc>
              <w:tc>
                <w:tcPr>
                  <w:tcW w:w="3101" w:type="dxa"/>
                  <w:vAlign w:val="center"/>
                </w:tcPr>
                <w:p w14:paraId="21F83D8E">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130</w:t>
                  </w:r>
                </w:p>
              </w:tc>
            </w:tr>
            <w:tr w14:paraId="15A291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9" w:hRule="atLeast"/>
                <w:jc w:val="center"/>
              </w:trPr>
              <w:tc>
                <w:tcPr>
                  <w:tcW w:w="751" w:type="dxa"/>
                  <w:vAlign w:val="center"/>
                </w:tcPr>
                <w:p w14:paraId="5A489A20">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w:t>
                  </w:r>
                </w:p>
              </w:tc>
              <w:tc>
                <w:tcPr>
                  <w:tcW w:w="3390" w:type="dxa"/>
                  <w:vAlign w:val="center"/>
                </w:tcPr>
                <w:p w14:paraId="56519F62">
                  <w:pPr>
                    <w:widowControl/>
                    <w:adjustRightInd w:val="0"/>
                    <w:snapToGrid w:val="0"/>
                    <w:jc w:val="center"/>
                    <w:textAlignment w:val="top"/>
                    <w:rPr>
                      <w:rFonts w:ascii="宋体" w:hAnsi="宋体" w:cs="宋体"/>
                      <w:color w:val="000000" w:themeColor="text1"/>
                      <w:szCs w:val="21"/>
                      <w14:textFill>
                        <w14:solidFill>
                          <w14:schemeClr w14:val="tx1"/>
                        </w14:solidFill>
                      </w14:textFill>
                    </w:rPr>
                  </w:pPr>
                  <w:r>
                    <w:rPr>
                      <w:color w:val="000000" w:themeColor="text1"/>
                      <w:spacing w:val="-2"/>
                      <w:kern w:val="0"/>
                      <w:szCs w:val="21"/>
                      <w:lang w:bidi="ar"/>
                      <w14:textFill>
                        <w14:solidFill>
                          <w14:schemeClr w14:val="tx1"/>
                        </w14:solidFill>
                      </w14:textFill>
                    </w:rPr>
                    <w:t>发酵剂菌种</w:t>
                  </w:r>
                </w:p>
              </w:tc>
              <w:tc>
                <w:tcPr>
                  <w:tcW w:w="3101" w:type="dxa"/>
                  <w:vAlign w:val="center"/>
                </w:tcPr>
                <w:p w14:paraId="3BFA99D2">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1</w:t>
                  </w:r>
                </w:p>
              </w:tc>
            </w:tr>
            <w:tr w14:paraId="4E7BC4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9" w:hRule="atLeast"/>
                <w:jc w:val="center"/>
              </w:trPr>
              <w:tc>
                <w:tcPr>
                  <w:tcW w:w="751" w:type="dxa"/>
                  <w:shd w:val="clear" w:color="auto" w:fill="auto"/>
                  <w:vAlign w:val="center"/>
                </w:tcPr>
                <w:p w14:paraId="3DB50CEC">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5</w:t>
                  </w:r>
                </w:p>
              </w:tc>
              <w:tc>
                <w:tcPr>
                  <w:tcW w:w="3390" w:type="dxa"/>
                  <w:shd w:val="clear" w:color="auto" w:fill="auto"/>
                  <w:vAlign w:val="center"/>
                </w:tcPr>
                <w:p w14:paraId="6B40EDB8">
                  <w:pPr>
                    <w:widowControl/>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水</w:t>
                  </w:r>
                </w:p>
              </w:tc>
              <w:tc>
                <w:tcPr>
                  <w:tcW w:w="3101" w:type="dxa"/>
                  <w:shd w:val="clear" w:color="auto" w:fill="auto"/>
                  <w:vAlign w:val="center"/>
                </w:tcPr>
                <w:p w14:paraId="3292F74E">
                  <w:pPr>
                    <w:widowControl/>
                    <w:jc w:val="center"/>
                    <w:rPr>
                      <w:rFonts w:ascii="宋体" w:hAnsi="宋体" w:cs="宋体"/>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255</w:t>
                  </w:r>
                </w:p>
              </w:tc>
            </w:tr>
          </w:tbl>
          <w:p w14:paraId="1E537DBD">
            <w:pPr>
              <w:spacing w:line="360" w:lineRule="auto"/>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本项目原料库主要用于堆存袋装的尿素、发酵剂菌种和锯木屑，低变质褐煤即买即用。尿素和锯木屑储存一个批次生产所需量，最大堆存量为</w:t>
            </w:r>
            <w:r>
              <w:rPr>
                <w:rFonts w:hint="eastAsia"/>
                <w:color w:val="000000" w:themeColor="text1"/>
                <w:sz w:val="24"/>
                <w14:textFill>
                  <w14:solidFill>
                    <w14:schemeClr w14:val="tx1"/>
                  </w14:solidFill>
                </w14:textFill>
              </w:rPr>
              <w:t>630</w:t>
            </w:r>
            <w:r>
              <w:rPr>
                <w:color w:val="000000" w:themeColor="text1"/>
                <w:sz w:val="24"/>
                <w14:textFill>
                  <w14:solidFill>
                    <w14:schemeClr w14:val="tx1"/>
                  </w14:solidFill>
                </w14:textFill>
              </w:rPr>
              <w:t>t（</w:t>
            </w:r>
            <w:r>
              <w:rPr>
                <w:rFonts w:hint="eastAsia"/>
                <w:color w:val="000000" w:themeColor="text1"/>
                <w:sz w:val="24"/>
                <w14:textFill>
                  <w14:solidFill>
                    <w14:schemeClr w14:val="tx1"/>
                  </w14:solidFill>
                </w14:textFill>
              </w:rPr>
              <w:t>720</w:t>
            </w:r>
            <w:r>
              <w:rPr>
                <w:color w:val="000000" w:themeColor="text1"/>
                <w:sz w:val="24"/>
                <w14:textFill>
                  <w14:solidFill>
                    <w14:schemeClr w14:val="tx1"/>
                  </w14:solidFill>
                </w14:textFill>
              </w:rPr>
              <w:t>m</w:t>
            </w:r>
            <w:r>
              <w:rPr>
                <w:color w:val="000000" w:themeColor="text1"/>
                <w:sz w:val="24"/>
                <w:vertAlign w:val="superscript"/>
                <w14:textFill>
                  <w14:solidFill>
                    <w14:schemeClr w14:val="tx1"/>
                  </w14:solidFill>
                </w14:textFill>
              </w:rPr>
              <w:t>3</w:t>
            </w:r>
            <w:r>
              <w:rPr>
                <w:color w:val="000000" w:themeColor="text1"/>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t>，而原料库最大堆存量为750</w:t>
            </w:r>
            <w:r>
              <w:rPr>
                <w:color w:val="000000" w:themeColor="text1"/>
                <w:sz w:val="24"/>
                <w14:textFill>
                  <w14:solidFill>
                    <w14:schemeClr w14:val="tx1"/>
                  </w14:solidFill>
                </w14:textFill>
              </w:rPr>
              <w:t>m</w:t>
            </w:r>
            <w:r>
              <w:rPr>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，原料库可满足物料的堆存需求。</w:t>
            </w:r>
          </w:p>
          <w:p w14:paraId="7D261D6E">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2、主要原辅料供应指标</w:t>
            </w:r>
          </w:p>
          <w:p w14:paraId="7C8FFF1F">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本项目所需</w:t>
            </w:r>
            <w:r>
              <w:rPr>
                <w:rFonts w:hint="eastAsia"/>
                <w:bCs/>
                <w:color w:val="000000" w:themeColor="text1"/>
                <w:sz w:val="24"/>
                <w14:textFill>
                  <w14:solidFill>
                    <w14:schemeClr w14:val="tx1"/>
                  </w14:solidFill>
                </w14:textFill>
              </w:rPr>
              <w:t>低变质褐煤、</w:t>
            </w:r>
            <w:r>
              <w:rPr>
                <w:rFonts w:hint="eastAsia"/>
                <w:color w:val="000000" w:themeColor="text1"/>
                <w:sz w:val="24"/>
                <w14:textFill>
                  <w14:solidFill>
                    <w14:schemeClr w14:val="tx1"/>
                  </w14:solidFill>
                </w14:textFill>
              </w:rPr>
              <w:t>锯木屑、发酵菌剂、尿素</w:t>
            </w:r>
            <w:r>
              <w:rPr>
                <w:bCs/>
                <w:color w:val="000000" w:themeColor="text1"/>
                <w:sz w:val="24"/>
                <w14:textFill>
                  <w14:solidFill>
                    <w14:schemeClr w14:val="tx1"/>
                  </w14:solidFill>
                </w14:textFill>
              </w:rPr>
              <w:t>从</w:t>
            </w:r>
            <w:r>
              <w:rPr>
                <w:rFonts w:hint="eastAsia"/>
                <w:bCs/>
                <w:color w:val="000000" w:themeColor="text1"/>
                <w:sz w:val="24"/>
                <w14:textFill>
                  <w14:solidFill>
                    <w14:schemeClr w14:val="tx1"/>
                  </w14:solidFill>
                </w14:textFill>
              </w:rPr>
              <w:t>寻甸县</w:t>
            </w:r>
            <w:r>
              <w:rPr>
                <w:bCs/>
                <w:color w:val="000000" w:themeColor="text1"/>
                <w:sz w:val="24"/>
                <w14:textFill>
                  <w14:solidFill>
                    <w14:schemeClr w14:val="tx1"/>
                  </w14:solidFill>
                </w14:textFill>
              </w:rPr>
              <w:t>及周边采购。</w:t>
            </w:r>
          </w:p>
          <w:p w14:paraId="3787B372">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（1）</w:t>
            </w:r>
            <w:r>
              <w:rPr>
                <w:rFonts w:hint="eastAsia"/>
                <w:bCs/>
                <w:color w:val="000000" w:themeColor="text1"/>
                <w:sz w:val="24"/>
                <w14:textFill>
                  <w14:solidFill>
                    <w14:schemeClr w14:val="tx1"/>
                  </w14:solidFill>
                </w14:textFill>
              </w:rPr>
              <w:t>低变质褐煤</w:t>
            </w:r>
          </w:p>
          <w:p w14:paraId="28D82A1B">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褐煤成煤过程一般分为两个主要阶段。第一阶段是在地热和压力的作用下，古代植物遗骸（主要是高等植物）在沼泽环境中堆积形成泥炭。随着地壳的下沉，泥炭被黏土、砂石等物质覆盖，形成岩层。第二阶段是在上覆岩层的压力作用下，泥炭发生压紧、失水、胶体老化、硬结等物理和物理化学作用，化学组成也发生变化，逐渐转变为碳含量更高、氧和氢含量更低的物质。褐煤是碳化程度最低的煤种，由泥炭经过成岩作用演变为褐煤。</w:t>
            </w:r>
          </w:p>
          <w:p w14:paraId="6B13ED1B">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低变质褐煤为天然原料，处于成煤的初始阶段，其形成与成煤时间、所处地层的压力和温度密切相关。低变质褐煤由于形成时间相对较短，所处地层的压力和温度较低，因此碳化程度较低，</w:t>
            </w:r>
            <w:r>
              <w:rPr>
                <w:rFonts w:ascii="Segoe UI" w:hAnsi="Segoe UI" w:eastAsia="Segoe UI" w:cs="Segoe UI"/>
                <w:color w:val="000000" w:themeColor="text1"/>
                <w:sz w:val="24"/>
                <w:shd w:val="clear" w:color="auto" w:fill="FFFFFF"/>
                <w14:textFill>
                  <w14:solidFill>
                    <w14:schemeClr w14:val="tx1"/>
                  </w14:solidFill>
                </w14:textFill>
              </w:rPr>
              <w:t>其成分以碳、氢、氧为主，同时含有一定量的氮、硫、水分和灰分</w:t>
            </w:r>
            <w:r>
              <w:rPr>
                <w:rFonts w:hint="eastAsia" w:ascii="Segoe UI" w:hAnsi="Segoe UI" w:cs="Segoe UI"/>
                <w:color w:val="000000" w:themeColor="text1"/>
                <w:sz w:val="24"/>
                <w:shd w:val="clear" w:color="auto" w:fill="FFFFFF"/>
                <w14:textFill>
                  <w14:solidFill>
                    <w14:schemeClr w14:val="tx1"/>
                  </w14:solidFill>
                </w14:textFill>
              </w:rPr>
              <w:t>，</w:t>
            </w:r>
            <w:r>
              <w:rPr>
                <w:rFonts w:ascii="Segoe UI" w:hAnsi="Segoe UI" w:eastAsia="Segoe UI" w:cs="Segoe UI"/>
                <w:color w:val="000000" w:themeColor="text1"/>
                <w:sz w:val="24"/>
                <w:shd w:val="clear" w:color="auto" w:fill="FFFFFF"/>
                <w14:textFill>
                  <w14:solidFill>
                    <w14:schemeClr w14:val="tx1"/>
                  </w14:solidFill>
                </w14:textFill>
              </w:rPr>
              <w:t>热值较低，含水量高，燃烧性能相对较差</w:t>
            </w:r>
            <w:r>
              <w:rPr>
                <w:rFonts w:hint="eastAsia" w:ascii="Segoe UI" w:hAnsi="Segoe UI" w:cs="Segoe UI"/>
                <w:color w:val="000000" w:themeColor="text1"/>
                <w:sz w:val="24"/>
                <w:shd w:val="clear" w:color="auto" w:fill="FFFFFF"/>
                <w14:textFill>
                  <w14:solidFill>
                    <w14:schemeClr w14:val="tx1"/>
                  </w14:solidFill>
                </w14:textFill>
              </w:rPr>
              <w:t>。</w:t>
            </w:r>
            <w:r>
              <w:rPr>
                <w:rFonts w:hint="eastAsia"/>
                <w:bCs/>
                <w:color w:val="000000" w:themeColor="text1"/>
                <w:sz w:val="24"/>
                <w14:textFill>
                  <w14:solidFill>
                    <w14:schemeClr w14:val="tx1"/>
                  </w14:solidFill>
                </w14:textFill>
              </w:rPr>
              <w:t>草炭也处于成煤的初始阶段，碳化程度和时间均低于低变质褐煤，在开采过程中也常把草炭归为低变质褐煤。</w:t>
            </w:r>
          </w:p>
          <w:p w14:paraId="34689F45">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低变质褐煤中</w:t>
            </w:r>
            <w:r>
              <w:rPr>
                <w:bCs/>
                <w:color w:val="000000" w:themeColor="text1"/>
                <w:sz w:val="24"/>
                <w14:textFill>
                  <w14:solidFill>
                    <w14:schemeClr w14:val="tx1"/>
                  </w14:solidFill>
                </w14:textFill>
              </w:rPr>
              <w:t>富含有</w:t>
            </w:r>
            <w:r>
              <w:rPr>
                <w:rFonts w:hint="eastAsia"/>
                <w:bCs/>
                <w:color w:val="000000" w:themeColor="text1"/>
                <w:sz w:val="24"/>
                <w14:textFill>
                  <w14:solidFill>
                    <w14:schemeClr w14:val="tx1"/>
                  </w14:solidFill>
                </w14:textFill>
              </w:rPr>
              <w:t>机</w:t>
            </w:r>
            <w:r>
              <w:rPr>
                <w:bCs/>
                <w:color w:val="000000" w:themeColor="text1"/>
                <w:sz w:val="24"/>
                <w14:textFill>
                  <w14:solidFill>
                    <w14:schemeClr w14:val="tx1"/>
                  </w14:solidFill>
                </w14:textFill>
              </w:rPr>
              <w:t>质</w:t>
            </w:r>
            <w:r>
              <w:rPr>
                <w:rFonts w:hint="eastAsia"/>
                <w:bCs/>
                <w:color w:val="000000" w:themeColor="text1"/>
                <w:sz w:val="24"/>
                <w14:textFill>
                  <w14:solidFill>
                    <w14:schemeClr w14:val="tx1"/>
                  </w14:solidFill>
                </w14:textFill>
              </w:rPr>
              <w:t>，</w:t>
            </w:r>
            <w:r>
              <w:rPr>
                <w:bCs/>
                <w:color w:val="000000" w:themeColor="text1"/>
                <w:sz w:val="24"/>
                <w14:textFill>
                  <w14:solidFill>
                    <w14:schemeClr w14:val="tx1"/>
                  </w14:solidFill>
                </w14:textFill>
              </w:rPr>
              <w:t>含高腐殖酸</w:t>
            </w:r>
            <w:r>
              <w:rPr>
                <w:rFonts w:hint="eastAsia"/>
                <w:bCs/>
                <w:color w:val="000000" w:themeColor="text1"/>
                <w:sz w:val="24"/>
                <w14:textFill>
                  <w14:solidFill>
                    <w14:schemeClr w14:val="tx1"/>
                  </w14:solidFill>
                </w14:textFill>
              </w:rPr>
              <w:t>，</w:t>
            </w:r>
            <w:r>
              <w:rPr>
                <w:bCs/>
                <w:color w:val="000000" w:themeColor="text1"/>
                <w:sz w:val="24"/>
                <w14:textFill>
                  <w14:solidFill>
                    <w14:schemeClr w14:val="tx1"/>
                  </w14:solidFill>
                </w14:textFill>
              </w:rPr>
              <w:t>且各种营养元素也较丰富因而在工农医诸方面有着广泛的用途</w:t>
            </w:r>
            <w:r>
              <w:rPr>
                <w:rFonts w:hint="eastAsia"/>
                <w:bCs/>
                <w:color w:val="000000" w:themeColor="text1"/>
                <w:sz w:val="24"/>
                <w14:textFill>
                  <w14:solidFill>
                    <w14:schemeClr w14:val="tx1"/>
                  </w14:solidFill>
                </w14:textFill>
              </w:rPr>
              <w:t>，</w:t>
            </w:r>
            <w:r>
              <w:rPr>
                <w:bCs/>
                <w:color w:val="000000" w:themeColor="text1"/>
                <w:sz w:val="24"/>
                <w14:textFill>
                  <w14:solidFill>
                    <w14:schemeClr w14:val="tx1"/>
                  </w14:solidFill>
                </w14:textFill>
              </w:rPr>
              <w:t>成为宝贵的自然资源</w:t>
            </w:r>
            <w:r>
              <w:rPr>
                <w:rFonts w:hint="eastAsia"/>
                <w:bCs/>
                <w:color w:val="000000" w:themeColor="text1"/>
                <w:sz w:val="24"/>
                <w14:textFill>
                  <w14:solidFill>
                    <w14:schemeClr w14:val="tx1"/>
                  </w14:solidFill>
                </w14:textFill>
              </w:rPr>
              <w:t>，常用于生产有机肥或土壤改良剂。</w:t>
            </w:r>
          </w:p>
          <w:p w14:paraId="02D50311">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本项目采购的低变质褐煤主要来自寻甸金所煤矿开采过程中产生的，根据低变质褐煤检验报告单（见附件5），成分中的重金属含量满足</w:t>
            </w:r>
            <w:r>
              <w:rPr>
                <w:bCs/>
                <w:color w:val="000000" w:themeColor="text1"/>
                <w:sz w:val="24"/>
                <w14:textFill>
                  <w14:solidFill>
                    <w14:schemeClr w14:val="tx1"/>
                  </w14:solidFill>
                </w14:textFill>
              </w:rPr>
              <w:t>《有机肥料》（NY/T525-</w:t>
            </w:r>
            <w:r>
              <w:rPr>
                <w:rFonts w:hint="eastAsia"/>
                <w:bCs/>
                <w:color w:val="000000" w:themeColor="text1"/>
                <w:sz w:val="24"/>
                <w14:textFill>
                  <w14:solidFill>
                    <w14:schemeClr w14:val="tx1"/>
                  </w14:solidFill>
                </w14:textFill>
              </w:rPr>
              <w:t>2026</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，低变质褐煤中的重金属含量甚微。主要重金属成分见下表所示。</w:t>
            </w:r>
          </w:p>
          <w:p w14:paraId="321DA024">
            <w:pPr>
              <w:pStyle w:val="14"/>
              <w:spacing w:after="0" w:line="240" w:lineRule="auto"/>
              <w:ind w:firstLine="1050" w:firstLineChars="5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表2-8  低变质褐煤中重金属含量检测结果   单位：mg/kg</w:t>
            </w:r>
          </w:p>
          <w:tbl>
            <w:tblPr>
              <w:tblStyle w:val="26"/>
              <w:tblW w:w="71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845"/>
              <w:gridCol w:w="1650"/>
              <w:gridCol w:w="3015"/>
            </w:tblGrid>
            <w:tr w14:paraId="7400F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61D72B4D">
                  <w:pPr>
                    <w:pStyle w:val="14"/>
                    <w:spacing w:after="0" w:line="240" w:lineRule="auto"/>
                    <w:ind w:left="0" w:leftChars="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序号</w:t>
                  </w:r>
                </w:p>
              </w:tc>
              <w:tc>
                <w:tcPr>
                  <w:tcW w:w="1845" w:type="dxa"/>
                  <w:vAlign w:val="center"/>
                </w:tcPr>
                <w:p w14:paraId="3D59F7F8">
                  <w:pPr>
                    <w:pStyle w:val="14"/>
                    <w:spacing w:after="0" w:line="240" w:lineRule="auto"/>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监测因子</w:t>
                  </w:r>
                </w:p>
              </w:tc>
              <w:tc>
                <w:tcPr>
                  <w:tcW w:w="1650" w:type="dxa"/>
                  <w:vAlign w:val="center"/>
                </w:tcPr>
                <w:p w14:paraId="2D68DED7">
                  <w:pPr>
                    <w:pStyle w:val="14"/>
                    <w:spacing w:after="0" w:line="240" w:lineRule="auto"/>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检测结果</w:t>
                  </w:r>
                </w:p>
              </w:tc>
              <w:tc>
                <w:tcPr>
                  <w:tcW w:w="3015" w:type="dxa"/>
                  <w:vAlign w:val="center"/>
                </w:tcPr>
                <w:p w14:paraId="49C30211">
                  <w:pPr>
                    <w:pStyle w:val="14"/>
                    <w:spacing w:after="0" w:line="240" w:lineRule="auto"/>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NY/T525-</w:t>
                  </w:r>
                  <w:r>
                    <w:rPr>
                      <w:rFonts w:hint="eastAsia"/>
                      <w:bCs/>
                      <w:color w:val="000000" w:themeColor="text1"/>
                      <w:szCs w:val="21"/>
                      <w14:textFill>
                        <w14:solidFill>
                          <w14:schemeClr w14:val="tx1"/>
                        </w14:solidFill>
                      </w14:textFill>
                    </w:rPr>
                    <w:t>2026标准值</w:t>
                  </w:r>
                </w:p>
              </w:tc>
            </w:tr>
            <w:tr w14:paraId="28EC8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556C35D1">
                  <w:pPr>
                    <w:pStyle w:val="14"/>
                    <w:spacing w:after="0" w:line="240" w:lineRule="auto"/>
                    <w:ind w:left="0" w:leftChars="0" w:firstLine="210" w:firstLineChars="1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1</w:t>
                  </w:r>
                </w:p>
              </w:tc>
              <w:tc>
                <w:tcPr>
                  <w:tcW w:w="1845" w:type="dxa"/>
                  <w:vAlign w:val="center"/>
                </w:tcPr>
                <w:p w14:paraId="7668784D">
                  <w:pPr>
                    <w:pStyle w:val="14"/>
                    <w:spacing w:after="0" w:line="24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总砷</w:t>
                  </w:r>
                </w:p>
              </w:tc>
              <w:tc>
                <w:tcPr>
                  <w:tcW w:w="1650" w:type="dxa"/>
                  <w:vAlign w:val="center"/>
                </w:tcPr>
                <w:p w14:paraId="71159101">
                  <w:pPr>
                    <w:pStyle w:val="14"/>
                    <w:spacing w:after="0" w:line="24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1.9</w:t>
                  </w:r>
                </w:p>
              </w:tc>
              <w:tc>
                <w:tcPr>
                  <w:tcW w:w="3015" w:type="dxa"/>
                  <w:vAlign w:val="center"/>
                </w:tcPr>
                <w:p w14:paraId="0FEA8CC4">
                  <w:pPr>
                    <w:widowControl/>
                    <w:adjustRightInd w:val="0"/>
                    <w:snapToGrid w:val="0"/>
                    <w:jc w:val="center"/>
                    <w:textAlignment w:val="baseline"/>
                    <w:rPr>
                      <w:bCs/>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≤15</w:t>
                  </w:r>
                </w:p>
              </w:tc>
            </w:tr>
            <w:tr w14:paraId="49C69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1C753433">
                  <w:pPr>
                    <w:pStyle w:val="14"/>
                    <w:spacing w:after="0" w:line="240" w:lineRule="auto"/>
                    <w:ind w:left="0" w:leftChars="0" w:firstLine="210" w:firstLineChars="1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2</w:t>
                  </w:r>
                </w:p>
              </w:tc>
              <w:tc>
                <w:tcPr>
                  <w:tcW w:w="1845" w:type="dxa"/>
                  <w:vAlign w:val="center"/>
                </w:tcPr>
                <w:p w14:paraId="381397E2">
                  <w:pPr>
                    <w:pStyle w:val="14"/>
                    <w:spacing w:after="0" w:line="24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总汞</w:t>
                  </w:r>
                </w:p>
              </w:tc>
              <w:tc>
                <w:tcPr>
                  <w:tcW w:w="1650" w:type="dxa"/>
                  <w:vAlign w:val="center"/>
                </w:tcPr>
                <w:p w14:paraId="4C1750C4">
                  <w:pPr>
                    <w:pStyle w:val="14"/>
                    <w:spacing w:after="0" w:line="24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0.1</w:t>
                  </w:r>
                </w:p>
              </w:tc>
              <w:tc>
                <w:tcPr>
                  <w:tcW w:w="3015" w:type="dxa"/>
                  <w:vAlign w:val="center"/>
                </w:tcPr>
                <w:p w14:paraId="3234D9F2">
                  <w:pPr>
                    <w:widowControl/>
                    <w:adjustRightInd w:val="0"/>
                    <w:snapToGrid w:val="0"/>
                    <w:jc w:val="center"/>
                    <w:textAlignment w:val="baseline"/>
                    <w:rPr>
                      <w:bCs/>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≤2</w:t>
                  </w:r>
                </w:p>
              </w:tc>
            </w:tr>
            <w:tr w14:paraId="3C60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177D2B2E">
                  <w:pPr>
                    <w:pStyle w:val="14"/>
                    <w:spacing w:after="0" w:line="240" w:lineRule="auto"/>
                    <w:ind w:left="0" w:leftChars="0" w:firstLine="210" w:firstLineChars="1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3</w:t>
                  </w:r>
                </w:p>
              </w:tc>
              <w:tc>
                <w:tcPr>
                  <w:tcW w:w="1845" w:type="dxa"/>
                  <w:vAlign w:val="center"/>
                </w:tcPr>
                <w:p w14:paraId="6F8CB16A">
                  <w:pPr>
                    <w:pStyle w:val="14"/>
                    <w:spacing w:after="0" w:line="24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总铅</w:t>
                  </w:r>
                </w:p>
              </w:tc>
              <w:tc>
                <w:tcPr>
                  <w:tcW w:w="1650" w:type="dxa"/>
                  <w:vAlign w:val="center"/>
                </w:tcPr>
                <w:p w14:paraId="39F3E357">
                  <w:pPr>
                    <w:pStyle w:val="14"/>
                    <w:spacing w:after="0" w:line="24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3.8</w:t>
                  </w:r>
                </w:p>
              </w:tc>
              <w:tc>
                <w:tcPr>
                  <w:tcW w:w="3015" w:type="dxa"/>
                  <w:vAlign w:val="center"/>
                </w:tcPr>
                <w:p w14:paraId="31F177B7">
                  <w:pPr>
                    <w:widowControl/>
                    <w:adjustRightInd w:val="0"/>
                    <w:snapToGrid w:val="0"/>
                    <w:jc w:val="center"/>
                    <w:textAlignment w:val="baseline"/>
                    <w:rPr>
                      <w:bCs/>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≤50</w:t>
                  </w:r>
                </w:p>
              </w:tc>
            </w:tr>
            <w:tr w14:paraId="3A28D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2EDFFEF3">
                  <w:pPr>
                    <w:pStyle w:val="14"/>
                    <w:spacing w:after="0" w:line="240" w:lineRule="auto"/>
                    <w:ind w:left="0" w:leftChars="0" w:firstLine="210" w:firstLineChars="1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4</w:t>
                  </w:r>
                </w:p>
              </w:tc>
              <w:tc>
                <w:tcPr>
                  <w:tcW w:w="1845" w:type="dxa"/>
                  <w:vAlign w:val="center"/>
                </w:tcPr>
                <w:p w14:paraId="4135B490">
                  <w:pPr>
                    <w:pStyle w:val="14"/>
                    <w:spacing w:after="0" w:line="24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总镉</w:t>
                  </w:r>
                </w:p>
              </w:tc>
              <w:tc>
                <w:tcPr>
                  <w:tcW w:w="1650" w:type="dxa"/>
                  <w:vAlign w:val="center"/>
                </w:tcPr>
                <w:p w14:paraId="5B958D53">
                  <w:pPr>
                    <w:pStyle w:val="14"/>
                    <w:spacing w:after="0" w:line="24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0.1</w:t>
                  </w:r>
                </w:p>
              </w:tc>
              <w:tc>
                <w:tcPr>
                  <w:tcW w:w="3015" w:type="dxa"/>
                  <w:vAlign w:val="center"/>
                </w:tcPr>
                <w:p w14:paraId="7FA4B826">
                  <w:pPr>
                    <w:widowControl/>
                    <w:adjustRightInd w:val="0"/>
                    <w:snapToGrid w:val="0"/>
                    <w:jc w:val="center"/>
                    <w:textAlignment w:val="baseline"/>
                    <w:rPr>
                      <w:bCs/>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≤3</w:t>
                  </w:r>
                </w:p>
              </w:tc>
            </w:tr>
            <w:tr w14:paraId="3F09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7CA94817">
                  <w:pPr>
                    <w:pStyle w:val="14"/>
                    <w:spacing w:after="0" w:line="240" w:lineRule="auto"/>
                    <w:ind w:left="0" w:leftChars="0" w:firstLine="210" w:firstLineChars="1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5</w:t>
                  </w:r>
                </w:p>
              </w:tc>
              <w:tc>
                <w:tcPr>
                  <w:tcW w:w="1845" w:type="dxa"/>
                  <w:vAlign w:val="center"/>
                </w:tcPr>
                <w:p w14:paraId="44192FF4">
                  <w:pPr>
                    <w:pStyle w:val="14"/>
                    <w:spacing w:after="0" w:line="24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总铬</w:t>
                  </w:r>
                </w:p>
              </w:tc>
              <w:tc>
                <w:tcPr>
                  <w:tcW w:w="1650" w:type="dxa"/>
                  <w:vAlign w:val="center"/>
                </w:tcPr>
                <w:p w14:paraId="1361E782">
                  <w:pPr>
                    <w:pStyle w:val="14"/>
                    <w:spacing w:after="0" w:line="24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10.6</w:t>
                  </w:r>
                </w:p>
              </w:tc>
              <w:tc>
                <w:tcPr>
                  <w:tcW w:w="3015" w:type="dxa"/>
                  <w:vAlign w:val="center"/>
                </w:tcPr>
                <w:p w14:paraId="085AE221">
                  <w:pPr>
                    <w:widowControl/>
                    <w:adjustRightInd w:val="0"/>
                    <w:snapToGrid w:val="0"/>
                    <w:jc w:val="center"/>
                    <w:textAlignment w:val="baseline"/>
                    <w:rPr>
                      <w:bCs/>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≤150</w:t>
                  </w:r>
                </w:p>
              </w:tc>
            </w:tr>
            <w:tr w14:paraId="7B703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27625DA5">
                  <w:pPr>
                    <w:pStyle w:val="14"/>
                    <w:spacing w:after="0" w:line="240" w:lineRule="auto"/>
                    <w:ind w:left="0" w:leftChars="0" w:firstLine="210" w:firstLineChars="1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6</w:t>
                  </w:r>
                </w:p>
              </w:tc>
              <w:tc>
                <w:tcPr>
                  <w:tcW w:w="1845" w:type="dxa"/>
                  <w:vAlign w:val="center"/>
                </w:tcPr>
                <w:p w14:paraId="4347B81B">
                  <w:pPr>
                    <w:pStyle w:val="14"/>
                    <w:spacing w:after="0" w:line="240" w:lineRule="auto"/>
                    <w:ind w:left="0" w:leftChars="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粪大肠菌群</w:t>
                  </w:r>
                  <w:r>
                    <w:rPr>
                      <w:rFonts w:hint="eastAsia"/>
                      <w:color w:val="000000" w:themeColor="text1"/>
                      <w:kern w:val="0"/>
                      <w:szCs w:val="21"/>
                      <w:lang w:bidi="ar"/>
                      <w14:textFill>
                        <w14:solidFill>
                          <w14:schemeClr w14:val="tx1"/>
                        </w14:solidFill>
                      </w14:textFill>
                    </w:rPr>
                    <w:t>，个/g</w:t>
                  </w:r>
                </w:p>
              </w:tc>
              <w:tc>
                <w:tcPr>
                  <w:tcW w:w="1650" w:type="dxa"/>
                  <w:vAlign w:val="center"/>
                </w:tcPr>
                <w:p w14:paraId="1CB6CFF1">
                  <w:pPr>
                    <w:pStyle w:val="14"/>
                    <w:spacing w:after="0" w:line="24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阴性（无）</w:t>
                  </w:r>
                </w:p>
              </w:tc>
              <w:tc>
                <w:tcPr>
                  <w:tcW w:w="3015" w:type="dxa"/>
                  <w:vAlign w:val="center"/>
                </w:tcPr>
                <w:p w14:paraId="3DCEEA21">
                  <w:pPr>
                    <w:widowControl/>
                    <w:adjustRightInd w:val="0"/>
                    <w:snapToGrid w:val="0"/>
                    <w:jc w:val="center"/>
                    <w:textAlignment w:val="baseline"/>
                    <w:rPr>
                      <w:bCs/>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w:t>
                  </w:r>
                  <w:r>
                    <w:rPr>
                      <w:rFonts w:hint="eastAsia"/>
                      <w:color w:val="000000" w:themeColor="text1"/>
                      <w:kern w:val="0"/>
                      <w:szCs w:val="21"/>
                      <w:lang w:bidi="ar"/>
                      <w14:textFill>
                        <w14:solidFill>
                          <w14:schemeClr w14:val="tx1"/>
                        </w14:solidFill>
                      </w14:textFill>
                    </w:rPr>
                    <w:t>100</w:t>
                  </w:r>
                </w:p>
              </w:tc>
            </w:tr>
            <w:tr w14:paraId="7B356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0F5D308B">
                  <w:pPr>
                    <w:pStyle w:val="14"/>
                    <w:spacing w:after="0" w:line="240" w:lineRule="auto"/>
                    <w:ind w:left="0" w:leftChars="0" w:firstLine="210" w:firstLineChars="10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7</w:t>
                  </w:r>
                </w:p>
              </w:tc>
              <w:tc>
                <w:tcPr>
                  <w:tcW w:w="1845" w:type="dxa"/>
                  <w:vAlign w:val="center"/>
                </w:tcPr>
                <w:p w14:paraId="06118929">
                  <w:pPr>
                    <w:pStyle w:val="14"/>
                    <w:spacing w:after="0" w:line="240" w:lineRule="auto"/>
                    <w:ind w:left="0" w:leftChars="0"/>
                    <w:rPr>
                      <w:bCs/>
                      <w:color w:val="000000" w:themeColor="text1"/>
                      <w:szCs w:val="21"/>
                      <w14:textFill>
                        <w14:solidFill>
                          <w14:schemeClr w14:val="tx1"/>
                        </w14:solidFill>
                      </w14:textFill>
                    </w:rPr>
                  </w:pPr>
                  <w:r>
                    <w:rPr>
                      <w:rFonts w:hint="eastAsia"/>
                      <w:color w:val="000000" w:themeColor="text1"/>
                      <w:kern w:val="0"/>
                      <w:szCs w:val="21"/>
                      <w:lang w:bidi="ar"/>
                      <w14:textFill>
                        <w14:solidFill>
                          <w14:schemeClr w14:val="tx1"/>
                        </w14:solidFill>
                      </w14:textFill>
                    </w:rPr>
                    <w:t>蛔虫卵死亡率，%</w:t>
                  </w:r>
                </w:p>
              </w:tc>
              <w:tc>
                <w:tcPr>
                  <w:tcW w:w="1650" w:type="dxa"/>
                  <w:vAlign w:val="center"/>
                </w:tcPr>
                <w:p w14:paraId="7ED7115E">
                  <w:pPr>
                    <w:pStyle w:val="14"/>
                    <w:spacing w:after="0" w:line="240" w:lineRule="auto"/>
                    <w:ind w:left="0" w:leftChars="0"/>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未检出（100%）</w:t>
                  </w:r>
                </w:p>
              </w:tc>
              <w:tc>
                <w:tcPr>
                  <w:tcW w:w="3015" w:type="dxa"/>
                  <w:vAlign w:val="center"/>
                </w:tcPr>
                <w:p w14:paraId="42F33E34">
                  <w:pPr>
                    <w:widowControl/>
                    <w:adjustRightInd w:val="0"/>
                    <w:snapToGrid w:val="0"/>
                    <w:jc w:val="center"/>
                    <w:textAlignment w:val="baseline"/>
                    <w:rPr>
                      <w:bCs/>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w:t>
                  </w:r>
                  <w:r>
                    <w:rPr>
                      <w:rFonts w:hint="eastAsia"/>
                      <w:color w:val="000000" w:themeColor="text1"/>
                      <w:kern w:val="0"/>
                      <w:szCs w:val="21"/>
                      <w:lang w:bidi="ar"/>
                      <w14:textFill>
                        <w14:solidFill>
                          <w14:schemeClr w14:val="tx1"/>
                        </w14:solidFill>
                      </w14:textFill>
                    </w:rPr>
                    <w:t>95</w:t>
                  </w:r>
                </w:p>
              </w:tc>
            </w:tr>
          </w:tbl>
          <w:p w14:paraId="7BD710A8">
            <w:pPr>
              <w:spacing w:line="360" w:lineRule="auto"/>
              <w:ind w:firstLine="480" w:firstLineChars="200"/>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（2）尿素</w:t>
            </w:r>
          </w:p>
          <w:p w14:paraId="3BE7CDAE">
            <w:pPr>
              <w:spacing w:line="360" w:lineRule="auto"/>
              <w:ind w:firstLine="480" w:firstLineChars="200"/>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尿素化学式为 CO(NH</w:t>
            </w:r>
            <w:r>
              <w:rPr>
                <w:rFonts w:hint="eastAsia"/>
                <w:color w:val="000000" w:themeColor="text1"/>
                <w:sz w:val="24"/>
                <w:vertAlign w:val="subscript"/>
                <w14:textFill>
                  <w14:solidFill>
                    <w14:schemeClr w14:val="tx1"/>
                  </w14:solidFill>
                </w14:textFill>
              </w:rPr>
              <w:t>2</w:t>
            </w:r>
            <w:r>
              <w:rPr>
                <w:rFonts w:hint="eastAsia"/>
                <w:color w:val="000000" w:themeColor="text1"/>
                <w:sz w:val="24"/>
                <w14:textFill>
                  <w14:solidFill>
                    <w14:schemeClr w14:val="tx1"/>
                  </w14:solidFill>
                </w14:textFill>
              </w:rPr>
              <w:t>)</w:t>
            </w:r>
            <w:r>
              <w:rPr>
                <w:rFonts w:hint="eastAsia"/>
                <w:color w:val="000000" w:themeColor="text1"/>
                <w:sz w:val="24"/>
                <w:vertAlign w:val="subscript"/>
                <w14:textFill>
                  <w14:solidFill>
                    <w14:schemeClr w14:val="tx1"/>
                  </w14:solidFill>
                </w14:textFill>
              </w:rPr>
              <w:t>2</w:t>
            </w:r>
            <w:r>
              <w:rPr>
                <w:rFonts w:hint="eastAsia"/>
                <w:color w:val="000000" w:themeColor="text1"/>
                <w:sz w:val="24"/>
                <w14:textFill>
                  <w14:solidFill>
                    <w14:schemeClr w14:val="tx1"/>
                  </w14:solidFill>
                </w14:textFill>
              </w:rPr>
              <w:t>相对分子质量 60.06，无色或白色针状或棒状结</w:t>
            </w:r>
          </w:p>
          <w:p w14:paraId="4D4CBDBE">
            <w:pPr>
              <w:spacing w:line="360" w:lineRule="auto"/>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晶体，工业或农业为白色略带微红色固体颗粒，有刺鼻性气味。具有吸湿性，</w:t>
            </w:r>
          </w:p>
          <w:p w14:paraId="381BD85B">
            <w:pPr>
              <w:spacing w:line="360" w:lineRule="auto"/>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易结块。含氮量约为 46.7%，密度为 1.335g/cm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，熔点 132.7℃。溶于水、</w:t>
            </w:r>
          </w:p>
          <w:p w14:paraId="25851AFA">
            <w:pPr>
              <w:spacing w:line="360" w:lineRule="auto"/>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醇，难溶于乙醚、氯仿，呈弱碱性。加热至 160C 分解，产生氨气同时变为</w:t>
            </w:r>
          </w:p>
          <w:p w14:paraId="641769FB">
            <w:pPr>
              <w:spacing w:line="360" w:lineRule="auto"/>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异氰酸。尿素适用于各种土壤和植物，易保存，使用方便，对土壤的破坏作用小，它是哺乳动物蛋白质代谢的主要含氮终产物，也是农业上最常用的高氮肥料之一。因其含氮量高、性质稳定、使用方便，在工业和农业领域广泛应用。</w:t>
            </w:r>
          </w:p>
          <w:p w14:paraId="36464C45">
            <w:pPr>
              <w:adjustRightInd w:val="0"/>
              <w:snapToGrid w:val="0"/>
              <w:spacing w:line="360" w:lineRule="auto"/>
              <w:ind w:left="420" w:left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（3）锯木屑</w:t>
            </w:r>
          </w:p>
          <w:p w14:paraId="17AD7E15">
            <w:pPr>
              <w:adjustRightInd w:val="0"/>
              <w:snapToGrid w:val="0"/>
              <w:spacing w:line="360" w:lineRule="auto"/>
              <w:ind w:left="420" w:left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锯木屑</w:t>
            </w:r>
            <w:r>
              <w:rPr>
                <w:bCs/>
                <w:color w:val="000000" w:themeColor="text1"/>
                <w:sz w:val="24"/>
                <w14:textFill>
                  <w14:solidFill>
                    <w14:schemeClr w14:val="tx1"/>
                  </w14:solidFill>
                </w14:textFill>
              </w:rPr>
              <w:t>主要从</w:t>
            </w:r>
            <w:r>
              <w:rPr>
                <w:rFonts w:hint="eastAsia"/>
                <w:bCs/>
                <w:color w:val="000000" w:themeColor="text1"/>
                <w:sz w:val="24"/>
                <w14:textFill>
                  <w14:solidFill>
                    <w14:schemeClr w14:val="tx1"/>
                  </w14:solidFill>
                </w14:textFill>
              </w:rPr>
              <w:t>寻甸县</w:t>
            </w:r>
            <w:r>
              <w:rPr>
                <w:bCs/>
                <w:color w:val="000000" w:themeColor="text1"/>
                <w:sz w:val="24"/>
                <w14:textFill>
                  <w14:solidFill>
                    <w14:schemeClr w14:val="tx1"/>
                  </w14:solidFill>
                </w14:textFill>
              </w:rPr>
              <w:t>及周边采购，作为补充有机质原料。</w:t>
            </w:r>
          </w:p>
          <w:p w14:paraId="43C41B52">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锯木屑</w:t>
            </w:r>
            <w:r>
              <w:rPr>
                <w:bCs/>
                <w:color w:val="000000" w:themeColor="text1"/>
                <w:sz w:val="24"/>
                <w14:textFill>
                  <w14:solidFill>
                    <w14:schemeClr w14:val="tx1"/>
                  </w14:solidFill>
                </w14:textFill>
              </w:rPr>
              <w:t>富含氮、磷、钾大量元素、多种中微量元素以及有机质。</w:t>
            </w:r>
            <w:r>
              <w:rPr>
                <w:rFonts w:hint="eastAsia"/>
                <w:bCs/>
                <w:color w:val="000000" w:themeColor="text1"/>
                <w:sz w:val="24"/>
                <w14:textFill>
                  <w14:solidFill>
                    <w14:schemeClr w14:val="tx1"/>
                  </w14:solidFill>
                </w14:textFill>
              </w:rPr>
              <w:t>锯木屑</w:t>
            </w:r>
            <w:r>
              <w:rPr>
                <w:bCs/>
                <w:color w:val="000000" w:themeColor="text1"/>
                <w:sz w:val="24"/>
                <w14:textFill>
                  <w14:solidFill>
                    <w14:schemeClr w14:val="tx1"/>
                  </w14:solidFill>
                </w14:textFill>
              </w:rPr>
              <w:t>多处于植物成熟后阶段，粗纤维含量很高，这时植物细胞木质化的程度很高，一般在31％～45％之间</w:t>
            </w:r>
            <w:r>
              <w:rPr>
                <w:rFonts w:hint="eastAsia"/>
                <w:bCs/>
                <w:color w:val="000000" w:themeColor="text1"/>
                <w:sz w:val="24"/>
                <w14:textFill>
                  <w14:solidFill>
                    <w14:schemeClr w14:val="tx1"/>
                  </w14:solidFill>
                </w14:textFill>
              </w:rPr>
              <w:t>，</w:t>
            </w:r>
            <w:r>
              <w:rPr>
                <w:bCs/>
                <w:color w:val="000000" w:themeColor="text1"/>
                <w:sz w:val="24"/>
                <w14:textFill>
                  <w14:solidFill>
                    <w14:schemeClr w14:val="tx1"/>
                  </w14:solidFill>
                </w14:textFill>
              </w:rPr>
              <w:t>干物质含量一般90~95%，粗蛋白2~9%，主要成分是纤维，主要集中于细胞壁，细胞壁含量占70%以上，由纤维素、半纤维素、木质素组成。</w:t>
            </w:r>
          </w:p>
          <w:p w14:paraId="338A2822">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4</w:t>
            </w:r>
            <w:r>
              <w:rPr>
                <w:bCs/>
                <w:color w:val="000000" w:themeColor="text1"/>
                <w:sz w:val="24"/>
                <w14:textFill>
                  <w14:solidFill>
                    <w14:schemeClr w14:val="tx1"/>
                  </w14:solidFill>
                </w14:textFill>
              </w:rPr>
              <w:t>）微生物发酵剂</w:t>
            </w:r>
          </w:p>
          <w:p w14:paraId="775C69B2">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有机肥发酵剂为复合有机肥专用菌种，是由地衣芽孢杆菌、枯草芽孢杆菌、乳酸菌、酵母菌、粪肠球菌等几十种有益微生物菌剂复合而成的，并添加适用于发酵有机肥的多种生物酶制剂。</w:t>
            </w:r>
          </w:p>
          <w:p w14:paraId="3CD25C1E">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发酵剂具有促进</w:t>
            </w:r>
            <w:r>
              <w:rPr>
                <w:rFonts w:hint="eastAsia"/>
                <w:bCs/>
                <w:color w:val="000000" w:themeColor="text1"/>
                <w:sz w:val="24"/>
                <w14:textFill>
                  <w14:solidFill>
                    <w14:schemeClr w14:val="tx1"/>
                  </w14:solidFill>
                </w14:textFill>
              </w:rPr>
              <w:t>堆肥物料</w:t>
            </w:r>
            <w:r>
              <w:rPr>
                <w:bCs/>
                <w:color w:val="000000" w:themeColor="text1"/>
                <w:sz w:val="24"/>
                <w14:textFill>
                  <w14:solidFill>
                    <w14:schemeClr w14:val="tx1"/>
                  </w14:solidFill>
                </w14:textFill>
              </w:rPr>
              <w:t>快速腐熟、消灭病菌、升温快、提高肥效等特点，通过堆肥发酵，可以将</w:t>
            </w:r>
            <w:r>
              <w:rPr>
                <w:rFonts w:hint="eastAsia"/>
                <w:bCs/>
                <w:color w:val="000000" w:themeColor="text1"/>
                <w:sz w:val="24"/>
                <w14:textFill>
                  <w14:solidFill>
                    <w14:schemeClr w14:val="tx1"/>
                  </w14:solidFill>
                </w14:textFill>
              </w:rPr>
              <w:t>原料</w:t>
            </w:r>
            <w:r>
              <w:rPr>
                <w:bCs/>
                <w:color w:val="000000" w:themeColor="text1"/>
                <w:sz w:val="24"/>
                <w14:textFill>
                  <w14:solidFill>
                    <w14:schemeClr w14:val="tx1"/>
                  </w14:solidFill>
                </w14:textFill>
              </w:rPr>
              <w:t>中的碳、氮、磷、钾、硫等分解矿化，形成简单有机物，从而进一步分解为种植作物可吸收的营养成分。</w:t>
            </w:r>
          </w:p>
          <w:p w14:paraId="47F148B0">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 xml:space="preserve"> 根据建设单位提供的项目使用的</w:t>
            </w:r>
            <w:r>
              <w:rPr>
                <w:bCs/>
                <w:color w:val="000000" w:themeColor="text1"/>
                <w:sz w:val="24"/>
                <w14:textFill>
                  <w14:solidFill>
                    <w14:schemeClr w14:val="tx1"/>
                  </w14:solidFill>
                </w14:textFill>
              </w:rPr>
              <w:t>微生物发酵剂</w:t>
            </w:r>
            <w:r>
              <w:rPr>
                <w:rFonts w:hint="eastAsia"/>
                <w:bCs/>
                <w:color w:val="000000" w:themeColor="text1"/>
                <w:sz w:val="24"/>
                <w14:textFill>
                  <w14:solidFill>
                    <w14:schemeClr w14:val="tx1"/>
                  </w14:solidFill>
                </w14:textFill>
              </w:rPr>
              <w:t>检测报告（见附件4），各监测指标均能满足《农用微生物菌剂》（GB 20287-2006）和《肥料中有毒有害物质的限量要求》（GB 38400-2019）。</w:t>
            </w:r>
          </w:p>
          <w:p w14:paraId="281B5183">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3、原料配伍及产品可达性</w:t>
            </w:r>
          </w:p>
          <w:p w14:paraId="21208F08">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①原料配伍</w:t>
            </w:r>
          </w:p>
          <w:p w14:paraId="04C942F6">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根据项目原料使用情况，有机肥发酵生产中的原料配比为低变质褐煤：锯木屑：水：尿素=15.77：3.85：1.96：1，低变质褐煤和锯木屑含有大量的有机质成分，可为发酵提供必须的碳源，尿素为发酵提供必须的氮源。低变质褐煤中含C量约为60%，锯木屑中含C量为58%，根据低变质褐煤和锯木屑年用量配比共含C30400t/a（含N量较少，忽略不计）；尿素中N的含量为46.7%，则尿素年用量中含N1214.2t/a。综上，有机肥生产中C/N=25:1，在有机肥发酵合理的碳氮比</w:t>
            </w:r>
            <w:r>
              <w:rPr>
                <w:color w:val="000000" w:themeColor="text1"/>
                <w:sz w:val="24"/>
                <w14:textFill>
                  <w14:solidFill>
                    <w14:schemeClr w14:val="tx1"/>
                  </w14:solidFill>
                </w14:textFill>
              </w:rPr>
              <w:t>20:1~40:1</w:t>
            </w:r>
            <w:r>
              <w:rPr>
                <w:rFonts w:hint="eastAsia"/>
                <w:color w:val="000000" w:themeColor="text1"/>
                <w:sz w:val="24"/>
                <w14:textFill>
                  <w14:solidFill>
                    <w14:schemeClr w14:val="tx1"/>
                  </w14:solidFill>
                </w14:textFill>
              </w:rPr>
              <w:t>的合理区间范围内，有机肥生产中的原料配伍合理可行。且发酵原料中含有重金属的比例较低，产品中的有机肥技术指标和重金属限量指标均可满足《有机肥料》（NY/T525-2026）。</w:t>
            </w:r>
          </w:p>
          <w:p w14:paraId="29BD2C6B">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建设单</w:t>
            </w:r>
            <w:r>
              <w:rPr>
                <w:rFonts w:hint="eastAsia"/>
                <w:bCs/>
                <w:color w:val="000000" w:themeColor="text1"/>
                <w:sz w:val="24"/>
                <w:lang w:eastAsia="zh-CN"/>
                <w14:textFill>
                  <w14:solidFill>
                    <w14:schemeClr w14:val="tx1"/>
                  </w14:solidFill>
                </w14:textFill>
              </w:rPr>
              <w:t>位在</w:t>
            </w:r>
            <w:r>
              <w:rPr>
                <w:rFonts w:hint="eastAsia"/>
                <w:bCs/>
                <w:color w:val="000000" w:themeColor="text1"/>
                <w:sz w:val="24"/>
                <w14:textFill>
                  <w14:solidFill>
                    <w14:schemeClr w14:val="tx1"/>
                  </w14:solidFill>
                </w14:textFill>
              </w:rPr>
              <w:t>运营期间将严格按照产品质量生产要求，每批次产品定期委托相应的检测机构进行检测，符合产品质量标准后才进行销售。</w:t>
            </w:r>
          </w:p>
          <w:p w14:paraId="74F19BDF">
            <w:pPr>
              <w:pStyle w:val="10"/>
              <w:spacing w:before="0" w:after="0" w:line="360" w:lineRule="auto"/>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 xml:space="preserve">    ②入场要求及产品控制</w:t>
            </w:r>
          </w:p>
          <w:p w14:paraId="7DE16526">
            <w:pPr>
              <w:spacing w:line="360" w:lineRule="auto"/>
              <w:ind w:firstLine="48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每种原料在供货协</w:t>
            </w:r>
            <w:r>
              <w:rPr>
                <w:rFonts w:hint="eastAsia"/>
                <w:bCs/>
                <w:color w:val="000000" w:themeColor="text1"/>
                <w:sz w:val="24"/>
                <w:lang w:eastAsia="zh-CN"/>
                <w14:textFill>
                  <w14:solidFill>
                    <w14:schemeClr w14:val="tx1"/>
                  </w14:solidFill>
                </w14:textFill>
              </w:rPr>
              <w:t>议中</w:t>
            </w:r>
            <w:r>
              <w:rPr>
                <w:rFonts w:hint="eastAsia"/>
                <w:bCs/>
                <w:color w:val="000000" w:themeColor="text1"/>
                <w:sz w:val="24"/>
                <w14:textFill>
                  <w14:solidFill>
                    <w14:schemeClr w14:val="tx1"/>
                  </w14:solidFill>
                </w14:textFill>
              </w:rPr>
              <w:t>明确入场限值，每批次原辅材料提供检验报告，有机肥原料中重金属成分需满足</w:t>
            </w:r>
            <w:r>
              <w:rPr>
                <w:bCs/>
                <w:color w:val="000000" w:themeColor="text1"/>
                <w:sz w:val="24"/>
                <w14:textFill>
                  <w14:solidFill>
                    <w14:schemeClr w14:val="tx1"/>
                  </w14:solidFill>
                </w14:textFill>
              </w:rPr>
              <w:t>《有机肥料》（NY/T525-</w:t>
            </w:r>
            <w:r>
              <w:rPr>
                <w:rFonts w:hint="eastAsia"/>
                <w:bCs/>
                <w:color w:val="000000" w:themeColor="text1"/>
                <w:sz w:val="24"/>
                <w14:textFill>
                  <w14:solidFill>
                    <w14:schemeClr w14:val="tx1"/>
                  </w14:solidFill>
                </w14:textFill>
              </w:rPr>
              <w:t>2026</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若含量超标将拒收或退货；公司定期委托相应的检测机构对供货方的原料进行抽检，抽检不合格整批次退货处理。建立完整的原料供货台账，包含供货单位、进厂日期、批次检测报告、配料比例、堆放位置等；一旦成品指标异常，可反向追溯原料问题，及时更换不合格货源，从长期稳定原料品质。</w:t>
            </w:r>
          </w:p>
          <w:p w14:paraId="5410CD92">
            <w:pPr>
              <w:spacing w:line="360" w:lineRule="auto"/>
              <w:rPr>
                <w:bCs/>
                <w:color w:val="000000" w:themeColor="text1"/>
                <w:sz w:val="24"/>
                <w14:textFill>
                  <w14:solidFill>
                    <w14:schemeClr w14:val="tx1"/>
                  </w14:solidFill>
                </w14:textFill>
              </w:rPr>
            </w:pPr>
            <w:r>
              <w:rPr>
                <w:rFonts w:hint="eastAsia"/>
                <w:color w:val="000000" w:themeColor="text1"/>
                <w14:textFill>
                  <w14:solidFill>
                    <w14:schemeClr w14:val="tx1"/>
                  </w14:solidFill>
                </w14:textFill>
              </w:rPr>
              <w:t xml:space="preserve">    </w:t>
            </w:r>
            <w:r>
              <w:rPr>
                <w:rFonts w:hint="eastAsia"/>
                <w:color w:val="000000" w:themeColor="text1"/>
                <w:sz w:val="24"/>
                <w14:textFill>
                  <w14:solidFill>
                    <w14:schemeClr w14:val="tx1"/>
                  </w14:solidFill>
                </w14:textFill>
              </w:rPr>
              <w:t>本项目生产的</w:t>
            </w:r>
            <w:r>
              <w:rPr>
                <w:rFonts w:hint="eastAsia"/>
                <w:bCs/>
                <w:color w:val="000000" w:themeColor="text1"/>
                <w:sz w:val="24"/>
                <w14:textFill>
                  <w14:solidFill>
                    <w14:schemeClr w14:val="tx1"/>
                  </w14:solidFill>
                </w14:textFill>
              </w:rPr>
              <w:t>产品定期按市场监督管理部门要求，定期送检，不满足产品质量要求的产品及时进行处理，严禁超标产品入市销售。</w:t>
            </w:r>
          </w:p>
          <w:p w14:paraId="084BD1F8">
            <w:pPr>
              <w:adjustRightInd w:val="0"/>
              <w:snapToGrid w:val="0"/>
              <w:spacing w:before="120" w:beforeLines="50" w:line="36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五</w:t>
            </w:r>
            <w:r>
              <w:rPr>
                <w:b/>
                <w:color w:val="000000" w:themeColor="text1"/>
                <w:sz w:val="24"/>
                <w14:textFill>
                  <w14:solidFill>
                    <w14:schemeClr w14:val="tx1"/>
                  </w14:solidFill>
                </w14:textFill>
              </w:rPr>
              <w:t>、</w:t>
            </w:r>
            <w:r>
              <w:rPr>
                <w:rFonts w:hint="eastAsia"/>
                <w:b/>
                <w:color w:val="000000" w:themeColor="text1"/>
                <w:sz w:val="24"/>
                <w14:textFill>
                  <w14:solidFill>
                    <w14:schemeClr w14:val="tx1"/>
                  </w14:solidFill>
                </w14:textFill>
              </w:rPr>
              <w:t>平衡分析</w:t>
            </w:r>
          </w:p>
          <w:p w14:paraId="476124B1">
            <w:pPr>
              <w:adjustRightInd w:val="0"/>
              <w:snapToGrid w:val="0"/>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1、物料平衡</w:t>
            </w:r>
          </w:p>
          <w:p w14:paraId="513EFBE9">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w:t>
            </w:r>
            <w:r>
              <w:rPr>
                <w:rFonts w:hint="eastAsia"/>
                <w:bCs/>
                <w:color w:val="000000" w:themeColor="text1"/>
                <w:sz w:val="24"/>
                <w14:textFill>
                  <w14:solidFill>
                    <w14:schemeClr w14:val="tx1"/>
                  </w14:solidFill>
                </w14:textFill>
              </w:rPr>
              <w:t>有机肥</w:t>
            </w:r>
            <w:r>
              <w:rPr>
                <w:bCs/>
                <w:color w:val="000000" w:themeColor="text1"/>
                <w:sz w:val="24"/>
                <w14:textFill>
                  <w14:solidFill>
                    <w14:schemeClr w14:val="tx1"/>
                  </w14:solidFill>
                </w14:textFill>
              </w:rPr>
              <w:t>物料平衡表详见表2-</w:t>
            </w:r>
            <w:r>
              <w:rPr>
                <w:rFonts w:hint="eastAsia"/>
                <w:bCs/>
                <w:color w:val="000000" w:themeColor="text1"/>
                <w:sz w:val="24"/>
                <w14:textFill>
                  <w14:solidFill>
                    <w14:schemeClr w14:val="tx1"/>
                  </w14:solidFill>
                </w14:textFill>
              </w:rPr>
              <w:t>9，物料平衡图详见图2-2。</w:t>
            </w:r>
          </w:p>
          <w:p w14:paraId="5B7360A4">
            <w:pPr>
              <w:adjustRightInd w:val="0"/>
              <w:snapToGrid w:val="0"/>
              <w:ind w:firstLine="422" w:firstLineChars="20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表2-</w:t>
            </w:r>
            <w:r>
              <w:rPr>
                <w:rFonts w:hint="eastAsia"/>
                <w:b/>
                <w:color w:val="000000" w:themeColor="text1"/>
                <w:szCs w:val="21"/>
                <w14:textFill>
                  <w14:solidFill>
                    <w14:schemeClr w14:val="tx1"/>
                  </w14:solidFill>
                </w14:textFill>
              </w:rPr>
              <w:t>9</w:t>
            </w:r>
            <w:r>
              <w:rPr>
                <w:b/>
                <w:color w:val="000000" w:themeColor="text1"/>
                <w:szCs w:val="21"/>
                <w14:textFill>
                  <w14:solidFill>
                    <w14:schemeClr w14:val="tx1"/>
                  </w14:solidFill>
                </w14:textFill>
              </w:rPr>
              <w:t xml:space="preserve">  </w:t>
            </w:r>
            <w:r>
              <w:rPr>
                <w:rFonts w:hint="eastAsia"/>
                <w:b/>
                <w:color w:val="000000" w:themeColor="text1"/>
                <w:szCs w:val="21"/>
                <w14:textFill>
                  <w14:solidFill>
                    <w14:schemeClr w14:val="tx1"/>
                  </w14:solidFill>
                </w14:textFill>
              </w:rPr>
              <w:t>有机肥</w:t>
            </w:r>
            <w:r>
              <w:rPr>
                <w:b/>
                <w:color w:val="000000" w:themeColor="text1"/>
                <w:szCs w:val="21"/>
                <w14:textFill>
                  <w14:solidFill>
                    <w14:schemeClr w14:val="tx1"/>
                  </w14:solidFill>
                </w14:textFill>
              </w:rPr>
              <w:t>物料平衡表  单位：t/a</w:t>
            </w:r>
          </w:p>
          <w:tbl>
            <w:tblPr>
              <w:tblStyle w:val="26"/>
              <w:tblW w:w="7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9"/>
              <w:gridCol w:w="2103"/>
              <w:gridCol w:w="1869"/>
              <w:gridCol w:w="2104"/>
            </w:tblGrid>
            <w:tr w14:paraId="52415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3972" w:type="dxa"/>
                  <w:gridSpan w:val="2"/>
                  <w:vAlign w:val="center"/>
                </w:tcPr>
                <w:p w14:paraId="5DE3C479">
                  <w:pPr>
                    <w:widowControl/>
                    <w:jc w:val="center"/>
                    <w:textAlignment w:val="center"/>
                    <w:rPr>
                      <w:bCs/>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输入</w:t>
                  </w:r>
                </w:p>
              </w:tc>
              <w:tc>
                <w:tcPr>
                  <w:tcW w:w="3973" w:type="dxa"/>
                  <w:gridSpan w:val="2"/>
                  <w:vAlign w:val="center"/>
                </w:tcPr>
                <w:p w14:paraId="543719CC">
                  <w:pPr>
                    <w:widowControl/>
                    <w:jc w:val="center"/>
                    <w:textAlignment w:val="center"/>
                    <w:rPr>
                      <w:bCs/>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输出</w:t>
                  </w:r>
                </w:p>
              </w:tc>
            </w:tr>
            <w:tr w14:paraId="366DC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869" w:type="dxa"/>
                  <w:vAlign w:val="center"/>
                </w:tcPr>
                <w:p w14:paraId="69326F9F">
                  <w:pPr>
                    <w:widowControl/>
                    <w:adjustRightInd w:val="0"/>
                    <w:snapToGrid w:val="0"/>
                    <w:jc w:val="center"/>
                    <w:textAlignment w:val="top"/>
                    <w:rPr>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低变质褐煤</w:t>
                  </w:r>
                </w:p>
              </w:tc>
              <w:tc>
                <w:tcPr>
                  <w:tcW w:w="2103" w:type="dxa"/>
                  <w:vAlign w:val="center"/>
                </w:tcPr>
                <w:p w14:paraId="0CF5AECE">
                  <w:pPr>
                    <w:widowControl/>
                    <w:jc w:val="center"/>
                    <w:textAlignment w:val="top"/>
                    <w:rPr>
                      <w:color w:val="000000" w:themeColor="text1"/>
                      <w:szCs w:val="21"/>
                      <w14:textFill>
                        <w14:solidFill>
                          <w14:schemeClr w14:val="tx1"/>
                        </w14:solidFill>
                      </w14:textFill>
                    </w:rPr>
                  </w:pPr>
                  <w:r>
                    <w:rPr>
                      <w:rFonts w:hint="eastAsia"/>
                      <w:color w:val="000000" w:themeColor="text1"/>
                      <w:kern w:val="0"/>
                      <w:szCs w:val="21"/>
                      <w:lang w:bidi="ar"/>
                      <w14:textFill>
                        <w14:solidFill>
                          <w14:schemeClr w14:val="tx1"/>
                        </w14:solidFill>
                      </w14:textFill>
                    </w:rPr>
                    <w:t>41000</w:t>
                  </w:r>
                </w:p>
              </w:tc>
              <w:tc>
                <w:tcPr>
                  <w:tcW w:w="1869" w:type="dxa"/>
                  <w:vAlign w:val="center"/>
                </w:tcPr>
                <w:p w14:paraId="19727EA7">
                  <w:pPr>
                    <w:widowControl/>
                    <w:jc w:val="center"/>
                    <w:textAlignment w:val="center"/>
                    <w:rPr>
                      <w:bCs/>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有机肥</w:t>
                  </w:r>
                </w:p>
              </w:tc>
              <w:tc>
                <w:tcPr>
                  <w:tcW w:w="2104" w:type="dxa"/>
                  <w:vAlign w:val="center"/>
                </w:tcPr>
                <w:p w14:paraId="5947F37D">
                  <w:pPr>
                    <w:widowControl/>
                    <w:jc w:val="center"/>
                    <w:textAlignment w:val="center"/>
                    <w:rPr>
                      <w:bCs/>
                      <w:color w:val="000000" w:themeColor="text1"/>
                      <w:szCs w:val="21"/>
                      <w14:textFill>
                        <w14:solidFill>
                          <w14:schemeClr w14:val="tx1"/>
                        </w14:solidFill>
                      </w14:textFill>
                    </w:rPr>
                  </w:pPr>
                  <w:r>
                    <w:rPr>
                      <w:rFonts w:hint="eastAsia"/>
                      <w:color w:val="000000" w:themeColor="text1"/>
                      <w:kern w:val="0"/>
                      <w:szCs w:val="21"/>
                      <w:lang w:bidi="ar"/>
                      <w14:textFill>
                        <w14:solidFill>
                          <w14:schemeClr w14:val="tx1"/>
                        </w14:solidFill>
                      </w14:textFill>
                    </w:rPr>
                    <w:t>50000</w:t>
                  </w:r>
                </w:p>
              </w:tc>
            </w:tr>
            <w:tr w14:paraId="6919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869" w:type="dxa"/>
                  <w:vAlign w:val="center"/>
                </w:tcPr>
                <w:p w14:paraId="5EBC91CF">
                  <w:pPr>
                    <w:widowControl/>
                    <w:adjustRightInd w:val="0"/>
                    <w:snapToGrid w:val="0"/>
                    <w:jc w:val="center"/>
                    <w:textAlignment w:val="top"/>
                    <w:rPr>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锯木屑</w:t>
                  </w:r>
                </w:p>
              </w:tc>
              <w:tc>
                <w:tcPr>
                  <w:tcW w:w="2103" w:type="dxa"/>
                  <w:vAlign w:val="center"/>
                </w:tcPr>
                <w:p w14:paraId="63AAD37A">
                  <w:pPr>
                    <w:widowControl/>
                    <w:jc w:val="center"/>
                    <w:textAlignment w:val="top"/>
                    <w:rPr>
                      <w:color w:val="000000" w:themeColor="text1"/>
                      <w:szCs w:val="21"/>
                      <w14:textFill>
                        <w14:solidFill>
                          <w14:schemeClr w14:val="tx1"/>
                        </w14:solidFill>
                      </w14:textFill>
                    </w:rPr>
                  </w:pPr>
                  <w:r>
                    <w:rPr>
                      <w:rFonts w:hint="eastAsia"/>
                      <w:color w:val="000000" w:themeColor="text1"/>
                      <w:kern w:val="0"/>
                      <w:szCs w:val="21"/>
                      <w:lang w:bidi="ar"/>
                      <w14:textFill>
                        <w14:solidFill>
                          <w14:schemeClr w14:val="tx1"/>
                        </w14:solidFill>
                      </w14:textFill>
                    </w:rPr>
                    <w:t>10000</w:t>
                  </w:r>
                </w:p>
              </w:tc>
              <w:tc>
                <w:tcPr>
                  <w:tcW w:w="1869" w:type="dxa"/>
                  <w:shd w:val="clear" w:color="auto" w:fill="auto"/>
                  <w:vAlign w:val="center"/>
                </w:tcPr>
                <w:p w14:paraId="414C0E2A">
                  <w:pPr>
                    <w:widowControl/>
                    <w:jc w:val="center"/>
                    <w:textAlignment w:val="center"/>
                    <w:rPr>
                      <w:bCs/>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无组织废气</w:t>
                  </w:r>
                </w:p>
              </w:tc>
              <w:tc>
                <w:tcPr>
                  <w:tcW w:w="2104" w:type="dxa"/>
                  <w:shd w:val="clear" w:color="auto" w:fill="auto"/>
                  <w:vAlign w:val="center"/>
                </w:tcPr>
                <w:p w14:paraId="3AE5F379">
                  <w:pPr>
                    <w:widowControl/>
                    <w:jc w:val="center"/>
                    <w:textAlignment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1.227</w:t>
                  </w:r>
                </w:p>
              </w:tc>
            </w:tr>
            <w:tr w14:paraId="08141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869" w:type="dxa"/>
                  <w:shd w:val="clear" w:color="auto" w:fill="auto"/>
                  <w:vAlign w:val="center"/>
                </w:tcPr>
                <w:p w14:paraId="147075DA">
                  <w:pPr>
                    <w:widowControl/>
                    <w:adjustRightInd w:val="0"/>
                    <w:snapToGrid w:val="0"/>
                    <w:jc w:val="center"/>
                    <w:textAlignment w:val="top"/>
                    <w:rPr>
                      <w:color w:val="000000" w:themeColor="text1"/>
                      <w:szCs w:val="21"/>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尿素</w:t>
                  </w:r>
                </w:p>
              </w:tc>
              <w:tc>
                <w:tcPr>
                  <w:tcW w:w="2103" w:type="dxa"/>
                  <w:shd w:val="clear" w:color="auto" w:fill="auto"/>
                  <w:vAlign w:val="center"/>
                </w:tcPr>
                <w:p w14:paraId="163BB6E7">
                  <w:pPr>
                    <w:widowControl/>
                    <w:jc w:val="center"/>
                    <w:textAlignment w:val="top"/>
                    <w:rPr>
                      <w:color w:val="000000" w:themeColor="text1"/>
                      <w:szCs w:val="21"/>
                      <w14:textFill>
                        <w14:solidFill>
                          <w14:schemeClr w14:val="tx1"/>
                        </w14:solidFill>
                      </w14:textFill>
                    </w:rPr>
                  </w:pPr>
                  <w:r>
                    <w:rPr>
                      <w:rFonts w:hint="eastAsia"/>
                      <w:color w:val="000000" w:themeColor="text1"/>
                      <w:kern w:val="0"/>
                      <w:szCs w:val="21"/>
                      <w:lang w:bidi="ar"/>
                      <w14:textFill>
                        <w14:solidFill>
                          <w14:schemeClr w14:val="tx1"/>
                        </w14:solidFill>
                      </w14:textFill>
                    </w:rPr>
                    <w:t>2600</w:t>
                  </w:r>
                </w:p>
              </w:tc>
              <w:tc>
                <w:tcPr>
                  <w:tcW w:w="1869" w:type="dxa"/>
                  <w:shd w:val="clear" w:color="auto" w:fill="auto"/>
                  <w:vAlign w:val="center"/>
                </w:tcPr>
                <w:p w14:paraId="3AA77F81">
                  <w:pPr>
                    <w:widowControl/>
                    <w:jc w:val="center"/>
                    <w:textAlignment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废包装材料</w:t>
                  </w:r>
                </w:p>
              </w:tc>
              <w:tc>
                <w:tcPr>
                  <w:tcW w:w="2104" w:type="dxa"/>
                  <w:shd w:val="clear" w:color="auto" w:fill="auto"/>
                  <w:vAlign w:val="center"/>
                </w:tcPr>
                <w:p w14:paraId="09FF7633">
                  <w:pPr>
                    <w:widowControl/>
                    <w:jc w:val="center"/>
                    <w:textAlignment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0.2</w:t>
                  </w:r>
                </w:p>
              </w:tc>
            </w:tr>
            <w:tr w14:paraId="6D8EB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869" w:type="dxa"/>
                  <w:shd w:val="clear" w:color="auto" w:fill="auto"/>
                  <w:vAlign w:val="center"/>
                </w:tcPr>
                <w:p w14:paraId="10AFA000">
                  <w:pPr>
                    <w:widowControl/>
                    <w:adjustRightInd w:val="0"/>
                    <w:snapToGrid w:val="0"/>
                    <w:jc w:val="center"/>
                    <w:textAlignment w:val="top"/>
                    <w:rPr>
                      <w:color w:val="000000" w:themeColor="text1"/>
                      <w:spacing w:val="-2"/>
                      <w:kern w:val="0"/>
                      <w:szCs w:val="21"/>
                      <w:lang w:bidi="ar"/>
                      <w14:textFill>
                        <w14:solidFill>
                          <w14:schemeClr w14:val="tx1"/>
                        </w14:solidFill>
                      </w14:textFill>
                    </w:rPr>
                  </w:pPr>
                  <w:r>
                    <w:rPr>
                      <w:rFonts w:hint="eastAsia"/>
                      <w:color w:val="000000" w:themeColor="text1"/>
                      <w:spacing w:val="-2"/>
                      <w:kern w:val="0"/>
                      <w:szCs w:val="21"/>
                      <w:lang w:bidi="ar"/>
                      <w14:textFill>
                        <w14:solidFill>
                          <w14:schemeClr w14:val="tx1"/>
                        </w14:solidFill>
                      </w14:textFill>
                    </w:rPr>
                    <w:t>发酵剂菌种</w:t>
                  </w:r>
                </w:p>
              </w:tc>
              <w:tc>
                <w:tcPr>
                  <w:tcW w:w="2103" w:type="dxa"/>
                  <w:shd w:val="clear" w:color="auto" w:fill="auto"/>
                  <w:vAlign w:val="center"/>
                </w:tcPr>
                <w:p w14:paraId="41830098">
                  <w:pPr>
                    <w:widowControl/>
                    <w:jc w:val="center"/>
                    <w:textAlignment w:val="top"/>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20</w:t>
                  </w:r>
                </w:p>
              </w:tc>
              <w:tc>
                <w:tcPr>
                  <w:tcW w:w="1869" w:type="dxa"/>
                  <w:shd w:val="clear" w:color="auto" w:fill="auto"/>
                  <w:vAlign w:val="center"/>
                </w:tcPr>
                <w:p w14:paraId="1F8E1396">
                  <w:pPr>
                    <w:widowControl/>
                    <w:jc w:val="center"/>
                    <w:textAlignment w:val="center"/>
                    <w:rPr>
                      <w:bCs/>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损失</w:t>
                  </w:r>
                </w:p>
              </w:tc>
              <w:tc>
                <w:tcPr>
                  <w:tcW w:w="2104" w:type="dxa"/>
                  <w:shd w:val="clear" w:color="auto" w:fill="auto"/>
                  <w:vAlign w:val="center"/>
                </w:tcPr>
                <w:p w14:paraId="08482B30">
                  <w:pPr>
                    <w:widowControl/>
                    <w:jc w:val="center"/>
                    <w:textAlignment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8718.573</w:t>
                  </w:r>
                </w:p>
              </w:tc>
            </w:tr>
            <w:tr w14:paraId="77CC3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869" w:type="dxa"/>
                  <w:shd w:val="clear" w:color="auto" w:fill="auto"/>
                  <w:vAlign w:val="center"/>
                </w:tcPr>
                <w:p w14:paraId="3F660432">
                  <w:pPr>
                    <w:widowControl/>
                    <w:jc w:val="center"/>
                    <w:textAlignment w:val="top"/>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水</w:t>
                  </w:r>
                </w:p>
              </w:tc>
              <w:tc>
                <w:tcPr>
                  <w:tcW w:w="2103" w:type="dxa"/>
                  <w:shd w:val="clear" w:color="auto" w:fill="auto"/>
                  <w:vAlign w:val="center"/>
                </w:tcPr>
                <w:p w14:paraId="6F4932F9">
                  <w:pPr>
                    <w:widowControl/>
                    <w:jc w:val="center"/>
                    <w:textAlignment w:val="top"/>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5100</w:t>
                  </w:r>
                </w:p>
              </w:tc>
              <w:tc>
                <w:tcPr>
                  <w:tcW w:w="1869" w:type="dxa"/>
                  <w:shd w:val="clear" w:color="auto" w:fill="auto"/>
                  <w:vAlign w:val="center"/>
                </w:tcPr>
                <w:p w14:paraId="522F2B6B">
                  <w:pPr>
                    <w:widowControl/>
                    <w:jc w:val="center"/>
                    <w:textAlignment w:val="center"/>
                    <w:rPr>
                      <w:bCs/>
                      <w:color w:val="000000" w:themeColor="text1"/>
                      <w:szCs w:val="21"/>
                      <w14:textFill>
                        <w14:solidFill>
                          <w14:schemeClr w14:val="tx1"/>
                        </w14:solidFill>
                      </w14:textFill>
                    </w:rPr>
                  </w:pPr>
                </w:p>
              </w:tc>
              <w:tc>
                <w:tcPr>
                  <w:tcW w:w="2104" w:type="dxa"/>
                  <w:shd w:val="clear" w:color="auto" w:fill="auto"/>
                  <w:vAlign w:val="center"/>
                </w:tcPr>
                <w:p w14:paraId="68B90D4A">
                  <w:pPr>
                    <w:widowControl/>
                    <w:jc w:val="center"/>
                    <w:textAlignment w:val="center"/>
                    <w:rPr>
                      <w:bCs/>
                      <w:color w:val="000000" w:themeColor="text1"/>
                      <w:szCs w:val="21"/>
                      <w14:textFill>
                        <w14:solidFill>
                          <w14:schemeClr w14:val="tx1"/>
                        </w14:solidFill>
                      </w14:textFill>
                    </w:rPr>
                  </w:pPr>
                </w:p>
              </w:tc>
            </w:tr>
            <w:tr w14:paraId="41F0C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869" w:type="dxa"/>
                  <w:vAlign w:val="center"/>
                </w:tcPr>
                <w:p w14:paraId="64A4EE32">
                  <w:pPr>
                    <w:widowControl/>
                    <w:jc w:val="center"/>
                    <w:textAlignment w:val="bottom"/>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合计</w:t>
                  </w:r>
                </w:p>
              </w:tc>
              <w:tc>
                <w:tcPr>
                  <w:tcW w:w="2103" w:type="dxa"/>
                  <w:vAlign w:val="center"/>
                </w:tcPr>
                <w:p w14:paraId="3ED2451E">
                  <w:pPr>
                    <w:widowControl/>
                    <w:jc w:val="center"/>
                    <w:textAlignment w:val="top"/>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58720</w:t>
                  </w:r>
                </w:p>
              </w:tc>
              <w:tc>
                <w:tcPr>
                  <w:tcW w:w="1869" w:type="dxa"/>
                  <w:vAlign w:val="center"/>
                </w:tcPr>
                <w:p w14:paraId="5285A570">
                  <w:pPr>
                    <w:widowControl/>
                    <w:jc w:val="center"/>
                    <w:textAlignment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合计</w:t>
                  </w:r>
                </w:p>
              </w:tc>
              <w:tc>
                <w:tcPr>
                  <w:tcW w:w="2104" w:type="dxa"/>
                  <w:vAlign w:val="center"/>
                </w:tcPr>
                <w:p w14:paraId="574ABE46">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58720</w:t>
                  </w:r>
                </w:p>
              </w:tc>
            </w:tr>
          </w:tbl>
          <w:p w14:paraId="5E7359CA">
            <w:pPr>
              <w:rPr>
                <w:rFonts w:hint="eastAsia"/>
                <w:color w:val="000000" w:themeColor="text1"/>
                <w14:textFill>
                  <w14:solidFill>
                    <w14:schemeClr w14:val="tx1"/>
                  </w14:solidFill>
                </w14:textFill>
              </w:rPr>
            </w:pPr>
          </w:p>
          <w:p w14:paraId="0639E6FD">
            <w:pPr>
              <w:pStyle w:val="63"/>
              <w:ind w:firstLine="480"/>
              <w:rPr>
                <w:color w:val="000000" w:themeColor="text1"/>
                <w14:textFill>
                  <w14:solidFill>
                    <w14:schemeClr w14:val="tx1"/>
                  </w14:solidFill>
                </w14:textFill>
              </w:rPr>
            </w:pPr>
          </w:p>
          <w:p w14:paraId="6BB1FFF2">
            <w:pPr>
              <w:pStyle w:val="63"/>
              <w:ind w:firstLine="480"/>
              <w:rPr>
                <w:color w:val="000000" w:themeColor="text1"/>
                <w14:textFill>
                  <w14:solidFill>
                    <w14:schemeClr w14:val="tx1"/>
                  </w14:solidFill>
                </w14:textFill>
              </w:rPr>
            </w:pPr>
          </w:p>
          <w:p w14:paraId="35FBC8E2">
            <w:pPr>
              <w:pStyle w:val="63"/>
              <w:ind w:firstLine="480"/>
              <w:rPr>
                <w:color w:val="000000" w:themeColor="text1"/>
                <w14:textFill>
                  <w14:solidFill>
                    <w14:schemeClr w14:val="tx1"/>
                  </w14:solidFill>
                </w14:textFill>
              </w:rPr>
            </w:pPr>
          </w:p>
          <w:p w14:paraId="60FF9E64">
            <w:pPr>
              <w:pStyle w:val="63"/>
              <w:ind w:firstLine="480"/>
              <w:rPr>
                <w:color w:val="000000" w:themeColor="text1"/>
                <w14:textFill>
                  <w14:solidFill>
                    <w14:schemeClr w14:val="tx1"/>
                  </w14:solidFill>
                </w14:textFill>
              </w:rPr>
            </w:pPr>
          </w:p>
          <w:p w14:paraId="0D5A78F4">
            <w:pPr>
              <w:pStyle w:val="63"/>
              <w:ind w:firstLine="480"/>
              <w:rPr>
                <w:color w:val="000000" w:themeColor="text1"/>
                <w14:textFill>
                  <w14:solidFill>
                    <w14:schemeClr w14:val="tx1"/>
                  </w14:solidFill>
                </w14:textFill>
              </w:rPr>
            </w:pPr>
          </w:p>
          <w:p w14:paraId="1DB54BD3">
            <w:pPr>
              <w:adjustRightInd w:val="0"/>
              <w:snapToGrid w:val="0"/>
              <w:ind w:leftChars="-4" w:hanging="8" w:hangingChars="4"/>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object>
                <v:shape id="_x0000_i1025" o:spt="75" type="#_x0000_t75" style="height:209.25pt;width:364.5pt;" o:ole="t" filled="f" o:preferrelative="t" stroked="f" coordsize="21600,21600">
                  <v:path/>
                  <v:fill on="f" focussize="0,0"/>
                  <v:stroke on="f" joinstyle="miter"/>
                  <v:imagedata r:id="rId10" o:title=""/>
                  <o:lock v:ext="edit" aspectratio="f"/>
                  <w10:wrap type="none"/>
                  <w10:anchorlock/>
                </v:shape>
                <o:OLEObject Type="Embed" ProgID="Visio.Drawing.11" ShapeID="_x0000_i1025" DrawAspect="Content" ObjectID="_1468075725" r:id="rId9">
                  <o:LockedField>false</o:LockedField>
                </o:OLEObject>
              </w:object>
            </w:r>
          </w:p>
          <w:p w14:paraId="31CA8BA6">
            <w:pPr>
              <w:adjustRightInd w:val="0"/>
              <w:snapToGrid w:val="0"/>
              <w:ind w:firstLine="641" w:firstLineChars="304"/>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图2-2  有机肥物料平衡图  单位：t/a</w:t>
            </w:r>
          </w:p>
          <w:p w14:paraId="7FAB726D">
            <w:pPr>
              <w:adjustRightInd w:val="0"/>
              <w:snapToGrid w:val="0"/>
              <w:ind w:firstLine="641" w:firstLineChars="304"/>
              <w:jc w:val="center"/>
              <w:rPr>
                <w:b/>
                <w:bCs/>
                <w:color w:val="000000" w:themeColor="text1"/>
                <w:szCs w:val="21"/>
                <w14:textFill>
                  <w14:solidFill>
                    <w14:schemeClr w14:val="tx1"/>
                  </w14:solidFill>
                </w14:textFill>
              </w:rPr>
            </w:pPr>
          </w:p>
          <w:p w14:paraId="0E0F41E5">
            <w:pPr>
              <w:adjustRightInd w:val="0"/>
              <w:snapToGrid w:val="0"/>
              <w:spacing w:before="120" w:beforeLines="50"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2</w:t>
            </w:r>
            <w:r>
              <w:rPr>
                <w:b/>
                <w:color w:val="000000" w:themeColor="text1"/>
                <w:sz w:val="24"/>
                <w14:textFill>
                  <w14:solidFill>
                    <w14:schemeClr w14:val="tx1"/>
                  </w14:solidFill>
                </w14:textFill>
              </w:rPr>
              <w:t>、水平衡</w:t>
            </w:r>
            <w:r>
              <w:rPr>
                <w:rFonts w:hint="eastAsia"/>
                <w:b/>
                <w:color w:val="000000" w:themeColor="text1"/>
                <w:sz w:val="24"/>
                <w14:textFill>
                  <w14:solidFill>
                    <w14:schemeClr w14:val="tx1"/>
                  </w14:solidFill>
                </w14:textFill>
              </w:rPr>
              <w:t>分析</w:t>
            </w:r>
          </w:p>
          <w:p w14:paraId="025573C7">
            <w:pPr>
              <w:adjustRightInd w:val="0"/>
              <w:snapToGrid w:val="0"/>
              <w:spacing w:line="360" w:lineRule="auto"/>
              <w:ind w:firstLine="48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项目用水包括</w:t>
            </w:r>
            <w:r>
              <w:rPr>
                <w:rFonts w:hint="eastAsia" w:eastAsiaTheme="minorEastAsia"/>
                <w:color w:val="000000" w:themeColor="text1"/>
                <w:sz w:val="24"/>
                <w14:textFill>
                  <w14:solidFill>
                    <w14:schemeClr w14:val="tx1"/>
                  </w14:solidFill>
                </w14:textFill>
              </w:rPr>
              <w:t>生产用水、</w:t>
            </w:r>
            <w:r>
              <w:rPr>
                <w:rFonts w:eastAsiaTheme="minorEastAsia"/>
                <w:color w:val="000000" w:themeColor="text1"/>
                <w:sz w:val="24"/>
                <w14:textFill>
                  <w14:solidFill>
                    <w14:schemeClr w14:val="tx1"/>
                  </w14:solidFill>
                </w14:textFill>
              </w:rPr>
              <w:t>生活用水及</w:t>
            </w:r>
            <w:r>
              <w:rPr>
                <w:rFonts w:hint="eastAsia" w:eastAsiaTheme="minorEastAsia"/>
                <w:color w:val="000000" w:themeColor="text1"/>
                <w:sz w:val="24"/>
                <w14:textFill>
                  <w14:solidFill>
                    <w14:schemeClr w14:val="tx1"/>
                  </w14:solidFill>
                </w14:textFill>
              </w:rPr>
              <w:t>降尘</w:t>
            </w:r>
            <w:r>
              <w:rPr>
                <w:rFonts w:eastAsiaTheme="minorEastAsia"/>
                <w:color w:val="000000" w:themeColor="text1"/>
                <w:sz w:val="24"/>
                <w14:textFill>
                  <w14:solidFill>
                    <w14:schemeClr w14:val="tx1"/>
                  </w14:solidFill>
                </w14:textFill>
              </w:rPr>
              <w:t>用水，废水包括</w:t>
            </w:r>
            <w:r>
              <w:rPr>
                <w:rFonts w:hint="eastAsia" w:eastAsiaTheme="minorEastAsia"/>
                <w:color w:val="000000" w:themeColor="text1"/>
                <w:sz w:val="24"/>
                <w14:textFill>
                  <w14:solidFill>
                    <w14:schemeClr w14:val="tx1"/>
                  </w14:solidFill>
                </w14:textFill>
              </w:rPr>
              <w:t>生产废水</w:t>
            </w:r>
            <w:r>
              <w:rPr>
                <w:rFonts w:eastAsiaTheme="minorEastAsia"/>
                <w:color w:val="000000" w:themeColor="text1"/>
                <w:sz w:val="24"/>
                <w14:textFill>
                  <w14:solidFill>
                    <w14:schemeClr w14:val="tx1"/>
                  </w14:solidFill>
                </w14:textFill>
              </w:rPr>
              <w:t>、生活污水</w:t>
            </w:r>
            <w:r>
              <w:rPr>
                <w:rFonts w:hint="eastAsia" w:eastAsiaTheme="minorEastAsia"/>
                <w:color w:val="000000" w:themeColor="text1"/>
                <w:sz w:val="24"/>
                <w14:textFill>
                  <w14:solidFill>
                    <w14:schemeClr w14:val="tx1"/>
                  </w14:solidFill>
                </w14:textFill>
              </w:rPr>
              <w:t>、初期雨水</w:t>
            </w:r>
            <w:r>
              <w:rPr>
                <w:rFonts w:eastAsiaTheme="minorEastAsia"/>
                <w:color w:val="000000" w:themeColor="text1"/>
                <w:sz w:val="24"/>
                <w14:textFill>
                  <w14:solidFill>
                    <w14:schemeClr w14:val="tx1"/>
                  </w14:solidFill>
                </w14:textFill>
              </w:rPr>
              <w:t>。</w:t>
            </w:r>
          </w:p>
          <w:p w14:paraId="2AE01503">
            <w:pPr>
              <w:adjustRightInd w:val="0"/>
              <w:snapToGrid w:val="0"/>
              <w:spacing w:line="360" w:lineRule="auto"/>
              <w:ind w:firstLine="480"/>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（1）生产</w:t>
            </w:r>
            <w:r>
              <w:rPr>
                <w:rFonts w:hint="eastAsia" w:eastAsiaTheme="minorEastAsia"/>
                <w:bCs/>
                <w:color w:val="000000" w:themeColor="text1"/>
                <w:sz w:val="24"/>
                <w14:textFill>
                  <w14:solidFill>
                    <w14:schemeClr w14:val="tx1"/>
                  </w14:solidFill>
                </w14:textFill>
              </w:rPr>
              <w:t>用</w:t>
            </w:r>
            <w:r>
              <w:rPr>
                <w:rFonts w:eastAsiaTheme="minorEastAsia"/>
                <w:bCs/>
                <w:color w:val="000000" w:themeColor="text1"/>
                <w:sz w:val="24"/>
                <w14:textFill>
                  <w14:solidFill>
                    <w14:schemeClr w14:val="tx1"/>
                  </w14:solidFill>
                </w14:textFill>
              </w:rPr>
              <w:t>水</w:t>
            </w:r>
            <w:r>
              <w:rPr>
                <w:rFonts w:hint="eastAsia" w:eastAsiaTheme="minorEastAsia"/>
                <w:bCs/>
                <w:color w:val="000000" w:themeColor="text1"/>
                <w:sz w:val="24"/>
                <w14:textFill>
                  <w14:solidFill>
                    <w14:schemeClr w14:val="tx1"/>
                  </w14:solidFill>
                </w14:textFill>
              </w:rPr>
              <w:t>及废水</w:t>
            </w:r>
          </w:p>
          <w:p w14:paraId="24B822D6">
            <w:pPr>
              <w:adjustRightInd w:val="0"/>
              <w:snapToGrid w:val="0"/>
              <w:spacing w:line="360" w:lineRule="auto"/>
              <w:ind w:firstLine="480"/>
              <w:rPr>
                <w:rFonts w:eastAsiaTheme="minorEastAsia"/>
                <w:bCs/>
                <w:color w:val="000000" w:themeColor="text1"/>
                <w:sz w:val="24"/>
                <w14:textFill>
                  <w14:solidFill>
                    <w14:schemeClr w14:val="tx1"/>
                  </w14:solidFill>
                </w14:textFill>
              </w:rPr>
            </w:pPr>
            <w:r>
              <w:rPr>
                <w:bCs/>
                <w:color w:val="000000" w:themeColor="text1"/>
                <w:kern w:val="0"/>
                <w:sz w:val="24"/>
                <w:szCs w:val="22"/>
                <w14:textFill>
                  <w14:solidFill>
                    <w14:schemeClr w14:val="tx1"/>
                  </w14:solidFill>
                </w14:textFill>
              </w:rPr>
              <w:t>①</w:t>
            </w:r>
            <w:r>
              <w:rPr>
                <w:rFonts w:hint="eastAsia" w:eastAsiaTheme="minorEastAsia"/>
                <w:bCs/>
                <w:color w:val="000000" w:themeColor="text1"/>
                <w:sz w:val="24"/>
                <w14:textFill>
                  <w14:solidFill>
                    <w14:schemeClr w14:val="tx1"/>
                  </w14:solidFill>
                </w14:textFill>
              </w:rPr>
              <w:t>工艺用水</w:t>
            </w:r>
          </w:p>
          <w:p w14:paraId="57C13556">
            <w:pPr>
              <w:adjustRightInd w:val="0"/>
              <w:snapToGrid w:val="0"/>
              <w:spacing w:line="360" w:lineRule="auto"/>
              <w:ind w:firstLine="480"/>
              <w:rPr>
                <w:rFonts w:eastAsiaTheme="minorEastAsia"/>
                <w:bCs/>
                <w:color w:val="000000" w:themeColor="text1"/>
                <w:sz w:val="24"/>
                <w14:textFill>
                  <w14:solidFill>
                    <w14:schemeClr w14:val="tx1"/>
                  </w14:solidFill>
                </w14:textFill>
              </w:rPr>
            </w:pPr>
            <w:r>
              <w:rPr>
                <w:rFonts w:hint="eastAsia" w:eastAsiaTheme="minorEastAsia"/>
                <w:bCs/>
                <w:color w:val="000000" w:themeColor="text1"/>
                <w:sz w:val="24"/>
                <w14:textFill>
                  <w14:solidFill>
                    <w14:schemeClr w14:val="tx1"/>
                  </w14:solidFill>
                </w14:textFill>
              </w:rPr>
              <w:t>根据建设单位的配比方案，1t的发酵原料需要添加0.1t的水分（此部分水包含了尿素溶解所需的用水），据此，发酵原料总计51000t，生产中用水量为5100</w:t>
            </w:r>
            <w:r>
              <w:rPr>
                <w:rFonts w:eastAsiaTheme="minorEastAsia"/>
                <w:bCs/>
                <w:color w:val="000000" w:themeColor="text1"/>
                <w:sz w:val="24"/>
                <w14:textFill>
                  <w14:solidFill>
                    <w14:schemeClr w14:val="tx1"/>
                  </w14:solidFill>
                </w14:textFill>
              </w:rPr>
              <w:t>m³/</w:t>
            </w:r>
            <w:r>
              <w:rPr>
                <w:rFonts w:hint="eastAsia" w:eastAsiaTheme="minorEastAsia"/>
                <w:bCs/>
                <w:color w:val="000000" w:themeColor="text1"/>
                <w:sz w:val="24"/>
                <w14:textFill>
                  <w14:solidFill>
                    <w14:schemeClr w14:val="tx1"/>
                  </w14:solidFill>
                </w14:textFill>
              </w:rPr>
              <w:t>a</w:t>
            </w:r>
            <w:r>
              <w:rPr>
                <w:rFonts w:eastAsiaTheme="minorEastAsia"/>
                <w:bCs/>
                <w:color w:val="000000" w:themeColor="text1"/>
                <w:sz w:val="24"/>
                <w14:textFill>
                  <w14:solidFill>
                    <w14:schemeClr w14:val="tx1"/>
                  </w14:solidFill>
                </w14:textFill>
              </w:rPr>
              <w:t>，</w:t>
            </w:r>
            <w:r>
              <w:rPr>
                <w:rFonts w:hint="eastAsia" w:eastAsiaTheme="minorEastAsia"/>
                <w:bCs/>
                <w:color w:val="000000" w:themeColor="text1"/>
                <w:sz w:val="24"/>
                <w14:textFill>
                  <w14:solidFill>
                    <w14:schemeClr w14:val="tx1"/>
                  </w14:solidFill>
                </w14:textFill>
              </w:rPr>
              <w:t>15</w:t>
            </w:r>
            <w:r>
              <w:rPr>
                <w:rFonts w:eastAsiaTheme="minorEastAsia"/>
                <w:bCs/>
                <w:color w:val="000000" w:themeColor="text1"/>
                <w:sz w:val="24"/>
                <w14:textFill>
                  <w14:solidFill>
                    <w14:schemeClr w14:val="tx1"/>
                  </w14:solidFill>
                </w14:textFill>
              </w:rPr>
              <w:t>m³/d，该部分水少部分进入产品，大部分在发酵时蒸发。</w:t>
            </w:r>
            <w:r>
              <w:rPr>
                <w:rFonts w:hint="eastAsia"/>
                <w:bCs/>
                <w:color w:val="000000" w:themeColor="text1"/>
                <w:sz w:val="24"/>
                <w14:textFill>
                  <w14:solidFill>
                    <w14:schemeClr w14:val="tx1"/>
                  </w14:solidFill>
                </w14:textFill>
              </w:rPr>
              <w:t>喷洒液在每次</w:t>
            </w:r>
            <w:r>
              <w:rPr>
                <w:color w:val="000000" w:themeColor="text1"/>
                <w:sz w:val="24"/>
                <w14:textFill>
                  <w14:solidFill>
                    <w14:schemeClr w14:val="tx1"/>
                  </w14:solidFill>
                </w14:textFill>
              </w:rPr>
              <w:t>翻抛</w:t>
            </w:r>
            <w:r>
              <w:rPr>
                <w:rFonts w:hint="eastAsia"/>
                <w:color w:val="000000" w:themeColor="text1"/>
                <w:sz w:val="24"/>
                <w14:textFill>
                  <w14:solidFill>
                    <w14:schemeClr w14:val="tx1"/>
                  </w14:solidFill>
                </w14:textFill>
              </w:rPr>
              <w:t>时</w:t>
            </w:r>
            <w:r>
              <w:rPr>
                <w:rFonts w:hint="eastAsia"/>
                <w:bCs/>
                <w:color w:val="000000" w:themeColor="text1"/>
                <w:sz w:val="24"/>
                <w14:textFill>
                  <w14:solidFill>
                    <w14:schemeClr w14:val="tx1"/>
                  </w14:solidFill>
                </w14:textFill>
              </w:rPr>
              <w:t>呈雾状喷洒发酵堆体表面，水分从上至下慢慢被物料吸收。每次堆肥发酵期间需进行约6次翻抛，全年生产20个批次，共进行120次翻抛，每次翻抛时用水量为42.5</w:t>
            </w:r>
            <w:r>
              <w:rPr>
                <w:rFonts w:eastAsiaTheme="minorEastAsia"/>
                <w:bCs/>
                <w:color w:val="000000" w:themeColor="text1"/>
                <w:sz w:val="24"/>
                <w14:textFill>
                  <w14:solidFill>
                    <w14:schemeClr w14:val="tx1"/>
                  </w14:solidFill>
                </w14:textFill>
              </w:rPr>
              <w:t>m³/</w:t>
            </w:r>
            <w:r>
              <w:rPr>
                <w:rFonts w:hint="eastAsia" w:eastAsiaTheme="minorEastAsia"/>
                <w:bCs/>
                <w:color w:val="000000" w:themeColor="text1"/>
                <w:sz w:val="24"/>
                <w14:textFill>
                  <w14:solidFill>
                    <w14:schemeClr w14:val="tx1"/>
                  </w14:solidFill>
                </w14:textFill>
              </w:rPr>
              <w:t>次。</w:t>
            </w:r>
            <w:r>
              <w:rPr>
                <w:rFonts w:eastAsiaTheme="minorEastAsia"/>
                <w:bCs/>
                <w:color w:val="000000" w:themeColor="text1"/>
                <w:sz w:val="24"/>
                <w14:textFill>
                  <w14:solidFill>
                    <w14:schemeClr w14:val="tx1"/>
                  </w14:solidFill>
                </w14:textFill>
              </w:rPr>
              <w:t>发酵过程中会有少量渗滤液产生，产生量约为</w:t>
            </w:r>
            <w:r>
              <w:rPr>
                <w:rFonts w:hint="eastAsia" w:eastAsiaTheme="minorEastAsia"/>
                <w:bCs/>
                <w:color w:val="000000" w:themeColor="text1"/>
                <w:sz w:val="24"/>
                <w14:textFill>
                  <w14:solidFill>
                    <w14:schemeClr w14:val="tx1"/>
                  </w14:solidFill>
                </w14:textFill>
              </w:rPr>
              <w:t>用水量的1%</w:t>
            </w:r>
            <w:r>
              <w:rPr>
                <w:rFonts w:eastAsiaTheme="minorEastAsia"/>
                <w:bCs/>
                <w:color w:val="000000" w:themeColor="text1"/>
                <w:sz w:val="24"/>
                <w14:textFill>
                  <w14:solidFill>
                    <w14:schemeClr w14:val="tx1"/>
                  </w14:solidFill>
                </w14:textFill>
              </w:rPr>
              <w:t>，渗滤液产生量约为</w:t>
            </w:r>
            <w:r>
              <w:rPr>
                <w:rFonts w:hint="eastAsia" w:eastAsiaTheme="minorEastAsia"/>
                <w:bCs/>
                <w:color w:val="000000" w:themeColor="text1"/>
                <w:sz w:val="24"/>
                <w14:textFill>
                  <w14:solidFill>
                    <w14:schemeClr w14:val="tx1"/>
                  </w14:solidFill>
                </w14:textFill>
              </w:rPr>
              <w:t>51</w:t>
            </w:r>
            <w:r>
              <w:rPr>
                <w:rFonts w:eastAsiaTheme="minorEastAsia"/>
                <w:bCs/>
                <w:color w:val="000000" w:themeColor="text1"/>
                <w:sz w:val="24"/>
                <w14:textFill>
                  <w14:solidFill>
                    <w14:schemeClr w14:val="tx1"/>
                  </w14:solidFill>
                </w14:textFill>
              </w:rPr>
              <w:t>t/a（</w:t>
            </w:r>
            <w:r>
              <w:rPr>
                <w:rFonts w:hint="eastAsia" w:eastAsiaTheme="minorEastAsia"/>
                <w:bCs/>
                <w:color w:val="000000" w:themeColor="text1"/>
                <w:sz w:val="24"/>
                <w14:textFill>
                  <w14:solidFill>
                    <w14:schemeClr w14:val="tx1"/>
                  </w14:solidFill>
                </w14:textFill>
              </w:rPr>
              <w:t>0.15</w:t>
            </w:r>
            <w:r>
              <w:rPr>
                <w:rFonts w:eastAsiaTheme="minorEastAsia"/>
                <w:bCs/>
                <w:color w:val="000000" w:themeColor="text1"/>
                <w:sz w:val="24"/>
                <w14:textFill>
                  <w14:solidFill>
                    <w14:schemeClr w14:val="tx1"/>
                  </w14:solidFill>
                </w14:textFill>
              </w:rPr>
              <w:t>m</w:t>
            </w:r>
            <w:r>
              <w:rPr>
                <w:rFonts w:eastAsiaTheme="minorEastAsia"/>
                <w:bCs/>
                <w:color w:val="000000" w:themeColor="text1"/>
                <w:sz w:val="24"/>
                <w:vertAlign w:val="superscript"/>
                <w14:textFill>
                  <w14:solidFill>
                    <w14:schemeClr w14:val="tx1"/>
                  </w14:solidFill>
                </w14:textFill>
              </w:rPr>
              <w:t>3</w:t>
            </w:r>
            <w:r>
              <w:rPr>
                <w:rFonts w:eastAsiaTheme="minorEastAsia"/>
                <w:bCs/>
                <w:color w:val="000000" w:themeColor="text1"/>
                <w:sz w:val="24"/>
                <w14:textFill>
                  <w14:solidFill>
                    <w14:schemeClr w14:val="tx1"/>
                  </w14:solidFill>
                </w14:textFill>
              </w:rPr>
              <w:t>/d）</w:t>
            </w:r>
            <w:r>
              <w:rPr>
                <w:rFonts w:hint="eastAsia" w:eastAsiaTheme="minorEastAsia"/>
                <w:bCs/>
                <w:color w:val="000000" w:themeColor="text1"/>
                <w:sz w:val="24"/>
                <w14:textFill>
                  <w14:solidFill>
                    <w14:schemeClr w14:val="tx1"/>
                  </w14:solidFill>
                </w14:textFill>
              </w:rPr>
              <w:t>，每次翻抛时产生量为0.42</w:t>
            </w:r>
            <w:r>
              <w:rPr>
                <w:rFonts w:eastAsiaTheme="minorEastAsia"/>
                <w:bCs/>
                <w:color w:val="000000" w:themeColor="text1"/>
                <w:sz w:val="24"/>
                <w14:textFill>
                  <w14:solidFill>
                    <w14:schemeClr w14:val="tx1"/>
                  </w14:solidFill>
                </w14:textFill>
              </w:rPr>
              <w:t>m</w:t>
            </w:r>
            <w:r>
              <w:rPr>
                <w:rFonts w:eastAsiaTheme="minorEastAsia"/>
                <w:bCs/>
                <w:color w:val="000000" w:themeColor="text1"/>
                <w:sz w:val="24"/>
                <w:vertAlign w:val="superscript"/>
                <w14:textFill>
                  <w14:solidFill>
                    <w14:schemeClr w14:val="tx1"/>
                  </w14:solidFill>
                </w14:textFill>
              </w:rPr>
              <w:t>3</w:t>
            </w:r>
            <w:r>
              <w:rPr>
                <w:rFonts w:eastAsiaTheme="minorEastAsia"/>
                <w:bCs/>
                <w:color w:val="000000" w:themeColor="text1"/>
                <w:sz w:val="24"/>
                <w14:textFill>
                  <w14:solidFill>
                    <w14:schemeClr w14:val="tx1"/>
                  </w14:solidFill>
                </w14:textFill>
              </w:rPr>
              <w:t>/</w:t>
            </w:r>
            <w:r>
              <w:rPr>
                <w:rFonts w:hint="eastAsia" w:eastAsiaTheme="minorEastAsia"/>
                <w:bCs/>
                <w:color w:val="000000" w:themeColor="text1"/>
                <w:sz w:val="24"/>
                <w14:textFill>
                  <w14:solidFill>
                    <w14:schemeClr w14:val="tx1"/>
                  </w14:solidFill>
                </w14:textFill>
              </w:rPr>
              <w:t>次。渗滤液产生于发酵工段，厂房地势整体呈南高北地，位于发酵区的东侧和南侧设置收集沟，位于发酵区地势低处设置1个容积为2</w:t>
            </w:r>
            <w:r>
              <w:rPr>
                <w:rFonts w:eastAsiaTheme="minorEastAsia"/>
                <w:bCs/>
                <w:color w:val="000000" w:themeColor="text1"/>
                <w:sz w:val="24"/>
                <w14:textFill>
                  <w14:solidFill>
                    <w14:schemeClr w14:val="tx1"/>
                  </w14:solidFill>
                </w14:textFill>
              </w:rPr>
              <w:t>m</w:t>
            </w:r>
            <w:r>
              <w:rPr>
                <w:rFonts w:eastAsiaTheme="minorEastAsia"/>
                <w:bCs/>
                <w:color w:val="000000" w:themeColor="text1"/>
                <w:sz w:val="24"/>
                <w:vertAlign w:val="superscript"/>
                <w14:textFill>
                  <w14:solidFill>
                    <w14:schemeClr w14:val="tx1"/>
                  </w14:solidFill>
                </w14:textFill>
              </w:rPr>
              <w:t>3</w:t>
            </w:r>
            <w:r>
              <w:rPr>
                <w:rFonts w:hint="eastAsia" w:eastAsiaTheme="minorEastAsia"/>
                <w:bCs/>
                <w:color w:val="000000" w:themeColor="text1"/>
                <w:sz w:val="24"/>
                <w14:textFill>
                  <w14:solidFill>
                    <w14:schemeClr w14:val="tx1"/>
                  </w14:solidFill>
                </w14:textFill>
              </w:rPr>
              <w:t>的</w:t>
            </w:r>
            <w:r>
              <w:rPr>
                <w:rFonts w:eastAsiaTheme="minorEastAsia"/>
                <w:bCs/>
                <w:color w:val="000000" w:themeColor="text1"/>
                <w:sz w:val="24"/>
                <w14:textFill>
                  <w14:solidFill>
                    <w14:schemeClr w14:val="tx1"/>
                  </w14:solidFill>
                </w14:textFill>
              </w:rPr>
              <w:t>渗滤液收集池</w:t>
            </w:r>
            <w:r>
              <w:rPr>
                <w:rFonts w:hint="eastAsia" w:eastAsiaTheme="minorEastAsia"/>
                <w:bCs/>
                <w:color w:val="000000" w:themeColor="text1"/>
                <w:sz w:val="24"/>
                <w14:textFill>
                  <w14:solidFill>
                    <w14:schemeClr w14:val="tx1"/>
                  </w14:solidFill>
                </w14:textFill>
              </w:rPr>
              <w:t>，产生的渗滤液经收集沟收集至收集池</w:t>
            </w:r>
            <w:r>
              <w:rPr>
                <w:rFonts w:eastAsiaTheme="minorEastAsia"/>
                <w:bCs/>
                <w:color w:val="000000" w:themeColor="text1"/>
                <w:sz w:val="24"/>
                <w14:textFill>
                  <w14:solidFill>
                    <w14:schemeClr w14:val="tx1"/>
                  </w14:solidFill>
                </w14:textFill>
              </w:rPr>
              <w:t>暂存</w:t>
            </w:r>
            <w:r>
              <w:rPr>
                <w:rFonts w:hint="eastAsia" w:eastAsiaTheme="minorEastAsia"/>
                <w:bCs/>
                <w:color w:val="000000" w:themeColor="text1"/>
                <w:sz w:val="24"/>
                <w14:textFill>
                  <w14:solidFill>
                    <w14:schemeClr w14:val="tx1"/>
                  </w14:solidFill>
                </w14:textFill>
              </w:rPr>
              <w:t>后，全部回用于发酵过程用水，不外排。</w:t>
            </w:r>
          </w:p>
          <w:p w14:paraId="6B94E422">
            <w:pPr>
              <w:pStyle w:val="10"/>
              <w:spacing w:before="0" w:after="0" w:line="360" w:lineRule="auto"/>
              <w:ind w:firstLine="480" w:firstLineChars="200"/>
              <w:rPr>
                <w:bCs/>
                <w:color w:val="000000" w:themeColor="text1"/>
                <w:sz w:val="24"/>
                <w14:textFill>
                  <w14:solidFill>
                    <w14:schemeClr w14:val="tx1"/>
                  </w14:solidFill>
                </w14:textFill>
              </w:rPr>
            </w:pPr>
            <w:r>
              <w:rPr>
                <w:rFonts w:hint="eastAsia" w:eastAsiaTheme="minorEastAsia"/>
                <w:bCs/>
                <w:color w:val="000000" w:themeColor="text1"/>
                <w:sz w:val="24"/>
                <w:lang w:eastAsia="zh-CN"/>
                <w14:textFill>
                  <w14:solidFill>
                    <w14:schemeClr w14:val="tx1"/>
                  </w14:solidFill>
                </w14:textFill>
              </w:rPr>
              <w:t>根据建设单位提供资料</w:t>
            </w:r>
            <w:r>
              <w:rPr>
                <w:rFonts w:eastAsiaTheme="minorEastAsia"/>
                <w:bCs/>
                <w:color w:val="000000" w:themeColor="text1"/>
                <w:sz w:val="24"/>
                <w14:textFill>
                  <w14:solidFill>
                    <w14:schemeClr w14:val="tx1"/>
                  </w14:solidFill>
                </w14:textFill>
              </w:rPr>
              <w:t>，项目发酵时物料含水率需达到</w:t>
            </w:r>
            <w:r>
              <w:rPr>
                <w:rFonts w:hint="eastAsia" w:eastAsiaTheme="minorEastAsia"/>
                <w:bCs/>
                <w:color w:val="000000" w:themeColor="text1"/>
                <w:sz w:val="24"/>
                <w14:textFill>
                  <w14:solidFill>
                    <w14:schemeClr w14:val="tx1"/>
                  </w14:solidFill>
                </w14:textFill>
              </w:rPr>
              <w:t>40-</w:t>
            </w:r>
            <w:r>
              <w:rPr>
                <w:rFonts w:eastAsiaTheme="minorEastAsia"/>
                <w:bCs/>
                <w:color w:val="000000" w:themeColor="text1"/>
                <w:sz w:val="24"/>
                <w14:textFill>
                  <w14:solidFill>
                    <w14:schemeClr w14:val="tx1"/>
                  </w14:solidFill>
                </w14:textFill>
              </w:rPr>
              <w:t>50%左右，</w:t>
            </w:r>
            <w:r>
              <w:rPr>
                <w:rFonts w:hint="eastAsia"/>
                <w:color w:val="000000" w:themeColor="text1"/>
                <w:spacing w:val="-2"/>
                <w:sz w:val="24"/>
                <w:lang w:bidi="ar"/>
                <w14:textFill>
                  <w14:solidFill>
                    <w14:schemeClr w14:val="tx1"/>
                  </w14:solidFill>
                </w14:textFill>
              </w:rPr>
              <w:t>低变质褐煤</w:t>
            </w:r>
            <w:r>
              <w:rPr>
                <w:rFonts w:hint="eastAsia" w:eastAsiaTheme="minorEastAsia"/>
                <w:bCs/>
                <w:color w:val="000000" w:themeColor="text1"/>
                <w:sz w:val="24"/>
                <w14:textFill>
                  <w14:solidFill>
                    <w14:schemeClr w14:val="tx1"/>
                  </w14:solidFill>
                </w14:textFill>
              </w:rPr>
              <w:t>含水率为30-40%，锯木屑含水率为10-15%，</w:t>
            </w:r>
            <w:r>
              <w:rPr>
                <w:rFonts w:eastAsiaTheme="minorEastAsia"/>
                <w:bCs/>
                <w:color w:val="000000" w:themeColor="text1"/>
                <w:sz w:val="24"/>
                <w14:textFill>
                  <w14:solidFill>
                    <w14:schemeClr w14:val="tx1"/>
                  </w14:solidFill>
                </w14:textFill>
              </w:rPr>
              <w:t>因此</w:t>
            </w:r>
            <w:r>
              <w:rPr>
                <w:rFonts w:hint="eastAsia"/>
                <w:color w:val="000000" w:themeColor="text1"/>
                <w:spacing w:val="-2"/>
                <w:sz w:val="24"/>
                <w:lang w:bidi="ar"/>
                <w14:textFill>
                  <w14:solidFill>
                    <w14:schemeClr w14:val="tx1"/>
                  </w14:solidFill>
                </w14:textFill>
              </w:rPr>
              <w:t>低变质褐煤</w:t>
            </w:r>
            <w:r>
              <w:rPr>
                <w:rFonts w:hint="eastAsia" w:eastAsiaTheme="minorEastAsia"/>
                <w:bCs/>
                <w:color w:val="000000" w:themeColor="text1"/>
                <w:sz w:val="24"/>
                <w14:textFill>
                  <w14:solidFill>
                    <w14:schemeClr w14:val="tx1"/>
                  </w14:solidFill>
                </w14:textFill>
              </w:rPr>
              <w:t>和锯木屑</w:t>
            </w:r>
            <w:r>
              <w:rPr>
                <w:rFonts w:eastAsiaTheme="minorEastAsia"/>
                <w:bCs/>
                <w:color w:val="000000" w:themeColor="text1"/>
                <w:sz w:val="24"/>
                <w14:textFill>
                  <w14:solidFill>
                    <w14:schemeClr w14:val="tx1"/>
                  </w14:solidFill>
                </w14:textFill>
              </w:rPr>
              <w:t>混料</w:t>
            </w:r>
            <w:r>
              <w:rPr>
                <w:rFonts w:hint="eastAsia" w:eastAsiaTheme="minorEastAsia"/>
                <w:bCs/>
                <w:color w:val="000000" w:themeColor="text1"/>
                <w:sz w:val="24"/>
                <w14:textFill>
                  <w14:solidFill>
                    <w14:schemeClr w14:val="tx1"/>
                  </w14:solidFill>
                </w14:textFill>
              </w:rPr>
              <w:t>后进行发酵</w:t>
            </w:r>
            <w:r>
              <w:rPr>
                <w:rFonts w:eastAsiaTheme="minorEastAsia"/>
                <w:bCs/>
                <w:color w:val="000000" w:themeColor="text1"/>
                <w:sz w:val="24"/>
                <w14:textFill>
                  <w14:solidFill>
                    <w14:schemeClr w14:val="tx1"/>
                  </w14:solidFill>
                </w14:textFill>
              </w:rPr>
              <w:t>时</w:t>
            </w:r>
            <w:r>
              <w:rPr>
                <w:rFonts w:hint="eastAsia" w:eastAsiaTheme="minorEastAsia"/>
                <w:bCs/>
                <w:color w:val="000000" w:themeColor="text1"/>
                <w:sz w:val="24"/>
                <w14:textFill>
                  <w14:solidFill>
                    <w14:schemeClr w14:val="tx1"/>
                  </w14:solidFill>
                </w14:textFill>
              </w:rPr>
              <w:t>，</w:t>
            </w:r>
            <w:r>
              <w:rPr>
                <w:rFonts w:eastAsiaTheme="minorEastAsia"/>
                <w:bCs/>
                <w:color w:val="000000" w:themeColor="text1"/>
                <w:sz w:val="24"/>
                <w14:textFill>
                  <w14:solidFill>
                    <w14:schemeClr w14:val="tx1"/>
                  </w14:solidFill>
                </w14:textFill>
              </w:rPr>
              <w:t>需对</w:t>
            </w:r>
            <w:r>
              <w:rPr>
                <w:rFonts w:hint="eastAsia" w:eastAsiaTheme="minorEastAsia"/>
                <w:bCs/>
                <w:color w:val="000000" w:themeColor="text1"/>
                <w:sz w:val="24"/>
                <w14:textFill>
                  <w14:solidFill>
                    <w14:schemeClr w14:val="tx1"/>
                  </w14:solidFill>
                </w14:textFill>
              </w:rPr>
              <w:t>发酵堆</w:t>
            </w:r>
            <w:r>
              <w:rPr>
                <w:rFonts w:eastAsiaTheme="minorEastAsia"/>
                <w:bCs/>
                <w:color w:val="000000" w:themeColor="text1"/>
                <w:sz w:val="24"/>
                <w14:textFill>
                  <w14:solidFill>
                    <w14:schemeClr w14:val="tx1"/>
                  </w14:solidFill>
                </w14:textFill>
              </w:rPr>
              <w:t>进行喷水增加物料含水率</w:t>
            </w:r>
            <w:r>
              <w:rPr>
                <w:rFonts w:hint="eastAsia" w:eastAsiaTheme="minorEastAsia"/>
                <w:bCs/>
                <w:color w:val="000000" w:themeColor="text1"/>
                <w:sz w:val="24"/>
                <w14:textFill>
                  <w14:solidFill>
                    <w14:schemeClr w14:val="tx1"/>
                  </w14:solidFill>
                </w14:textFill>
              </w:rPr>
              <w:t>。本次环评褐煤含水率按35%，锯木屑含水率按12.5%计算，则原料带入水分为15600m</w:t>
            </w:r>
            <w:r>
              <w:rPr>
                <w:rFonts w:hint="eastAsia" w:eastAsiaTheme="minorEastAsia"/>
                <w:bCs/>
                <w:color w:val="000000" w:themeColor="text1"/>
                <w:sz w:val="24"/>
                <w:vertAlign w:val="superscript"/>
                <w14:textFill>
                  <w14:solidFill>
                    <w14:schemeClr w14:val="tx1"/>
                  </w14:solidFill>
                </w14:textFill>
              </w:rPr>
              <w:t>3</w:t>
            </w:r>
            <w:r>
              <w:rPr>
                <w:rFonts w:hint="eastAsia" w:eastAsiaTheme="minorEastAsia"/>
                <w:bCs/>
                <w:color w:val="000000" w:themeColor="text1"/>
                <w:sz w:val="24"/>
                <w14:textFill>
                  <w14:solidFill>
                    <w14:schemeClr w14:val="tx1"/>
                  </w14:solidFill>
                </w14:textFill>
              </w:rPr>
              <w:t>/a，新鲜水用水量为5100m</w:t>
            </w:r>
            <w:r>
              <w:rPr>
                <w:rFonts w:hint="eastAsia" w:eastAsiaTheme="minorEastAsia"/>
                <w:bCs/>
                <w:color w:val="000000" w:themeColor="text1"/>
                <w:sz w:val="24"/>
                <w:vertAlign w:val="superscript"/>
                <w14:textFill>
                  <w14:solidFill>
                    <w14:schemeClr w14:val="tx1"/>
                  </w14:solidFill>
                </w14:textFill>
              </w:rPr>
              <w:t>3</w:t>
            </w:r>
            <w:r>
              <w:rPr>
                <w:rFonts w:hint="eastAsia" w:eastAsiaTheme="minorEastAsia"/>
                <w:bCs/>
                <w:color w:val="000000" w:themeColor="text1"/>
                <w:sz w:val="24"/>
                <w14:textFill>
                  <w14:solidFill>
                    <w14:schemeClr w14:val="tx1"/>
                  </w14:solidFill>
                </w14:textFill>
              </w:rPr>
              <w:t>/a，发酵完成后有机肥含水率按25%，则有机肥中含水量为12500m</w:t>
            </w:r>
            <w:r>
              <w:rPr>
                <w:rFonts w:hint="eastAsia" w:eastAsiaTheme="minorEastAsia"/>
                <w:bCs/>
                <w:color w:val="000000" w:themeColor="text1"/>
                <w:sz w:val="24"/>
                <w:vertAlign w:val="superscript"/>
                <w14:textFill>
                  <w14:solidFill>
                    <w14:schemeClr w14:val="tx1"/>
                  </w14:solidFill>
                </w14:textFill>
              </w:rPr>
              <w:t>3</w:t>
            </w:r>
            <w:r>
              <w:rPr>
                <w:rFonts w:hint="eastAsia" w:eastAsiaTheme="minorEastAsia"/>
                <w:bCs/>
                <w:color w:val="000000" w:themeColor="text1"/>
                <w:sz w:val="24"/>
                <w14:textFill>
                  <w14:solidFill>
                    <w14:schemeClr w14:val="tx1"/>
                  </w14:solidFill>
                </w14:textFill>
              </w:rPr>
              <w:t>/a，蒸发损耗8200m</w:t>
            </w:r>
            <w:r>
              <w:rPr>
                <w:rFonts w:hint="eastAsia" w:eastAsiaTheme="minorEastAsia"/>
                <w:bCs/>
                <w:color w:val="000000" w:themeColor="text1"/>
                <w:sz w:val="24"/>
                <w:vertAlign w:val="superscript"/>
                <w14:textFill>
                  <w14:solidFill>
                    <w14:schemeClr w14:val="tx1"/>
                  </w14:solidFill>
                </w14:textFill>
              </w:rPr>
              <w:t>3</w:t>
            </w:r>
            <w:r>
              <w:rPr>
                <w:rFonts w:hint="eastAsia" w:eastAsiaTheme="minorEastAsia"/>
                <w:bCs/>
                <w:color w:val="000000" w:themeColor="text1"/>
                <w:sz w:val="24"/>
                <w14:textFill>
                  <w14:solidFill>
                    <w14:schemeClr w14:val="tx1"/>
                  </w14:solidFill>
                </w14:textFill>
              </w:rPr>
              <w:t>/a。工艺水平衡见图2-3</w:t>
            </w:r>
            <w:r>
              <w:rPr>
                <w:rFonts w:hint="eastAsia"/>
                <w:bCs/>
                <w:color w:val="000000" w:themeColor="text1"/>
                <w:sz w:val="24"/>
                <w14:textFill>
                  <w14:solidFill>
                    <w14:schemeClr w14:val="tx1"/>
                  </w14:solidFill>
                </w14:textFill>
              </w:rPr>
              <w:t>。</w:t>
            </w:r>
          </w:p>
          <w:p w14:paraId="430BC8C1">
            <w:pPr>
              <w:ind w:left="1" w:leftChars="-4" w:hanging="9" w:hangingChars="4"/>
              <w:jc w:val="center"/>
              <w:rPr>
                <w:rFonts w:eastAsiaTheme="minorEastAsia"/>
                <w:bCs/>
                <w:color w:val="000000" w:themeColor="text1"/>
                <w:sz w:val="24"/>
                <w14:textFill>
                  <w14:solidFill>
                    <w14:schemeClr w14:val="tx1"/>
                  </w14:solidFill>
                </w14:textFill>
              </w:rPr>
            </w:pPr>
            <w:r>
              <w:rPr>
                <w:rFonts w:hint="eastAsia" w:eastAsiaTheme="minorEastAsia"/>
                <w:bCs/>
                <w:color w:val="000000" w:themeColor="text1"/>
                <w:sz w:val="24"/>
                <w14:textFill>
                  <w14:solidFill>
                    <w14:schemeClr w14:val="tx1"/>
                  </w14:solidFill>
                </w14:textFill>
              </w:rPr>
              <w:object>
                <v:shape id="_x0000_i1026" o:spt="75" type="#_x0000_t75" style="height:306.75pt;width:377.25pt;" o:ole="t" filled="f" o:preferrelative="t" stroked="f" coordsize="21600,21600">
                  <v:path/>
                  <v:fill on="f" focussize="0,0"/>
                  <v:stroke on="f" joinstyle="miter"/>
                  <v:imagedata r:id="rId12" o:title=""/>
                  <o:lock v:ext="edit" aspectratio="f"/>
                  <w10:wrap type="none"/>
                  <w10:anchorlock/>
                </v:shape>
                <o:OLEObject Type="Embed" ProgID="Visio.Drawing.11" ShapeID="_x0000_i1026" DrawAspect="Content" ObjectID="_1468075726" r:id="rId11">
                  <o:LockedField>false</o:LockedField>
                </o:OLEObject>
              </w:object>
            </w:r>
          </w:p>
          <w:p w14:paraId="0EDBD597">
            <w:pPr>
              <w:jc w:val="center"/>
              <w:rPr>
                <w:rFonts w:eastAsiaTheme="minorEastAsia"/>
                <w:b/>
                <w:iCs/>
                <w:color w:val="000000" w:themeColor="text1"/>
                <w:szCs w:val="21"/>
                <w14:textFill>
                  <w14:solidFill>
                    <w14:schemeClr w14:val="tx1"/>
                  </w14:solidFill>
                </w14:textFill>
              </w:rPr>
            </w:pPr>
            <w:r>
              <w:rPr>
                <w:rFonts w:hint="eastAsia" w:eastAsiaTheme="minorEastAsia"/>
                <w:b/>
                <w:bCs/>
                <w:color w:val="000000" w:themeColor="text1"/>
                <w:sz w:val="24"/>
                <w14:textFill>
                  <w14:solidFill>
                    <w14:schemeClr w14:val="tx1"/>
                  </w14:solidFill>
                </w14:textFill>
              </w:rPr>
              <w:t xml:space="preserve">图2-3   工艺中的水平衡图   </w:t>
            </w:r>
            <w:r>
              <w:rPr>
                <w:rFonts w:eastAsiaTheme="minorEastAsia"/>
                <w:b/>
                <w:bCs/>
                <w:iCs/>
                <w:color w:val="000000" w:themeColor="text1"/>
                <w:szCs w:val="21"/>
                <w14:textFill>
                  <w14:solidFill>
                    <w14:schemeClr w14:val="tx1"/>
                  </w14:solidFill>
                </w14:textFill>
              </w:rPr>
              <w:t>单位：m</w:t>
            </w:r>
            <w:r>
              <w:rPr>
                <w:rFonts w:eastAsiaTheme="minorEastAsia"/>
                <w:b/>
                <w:bCs/>
                <w:iCs/>
                <w:color w:val="000000" w:themeColor="text1"/>
                <w:szCs w:val="21"/>
                <w:vertAlign w:val="superscript"/>
                <w14:textFill>
                  <w14:solidFill>
                    <w14:schemeClr w14:val="tx1"/>
                  </w14:solidFill>
                </w14:textFill>
              </w:rPr>
              <w:t>3</w:t>
            </w:r>
            <w:r>
              <w:rPr>
                <w:rFonts w:eastAsiaTheme="minorEastAsia"/>
                <w:b/>
                <w:bCs/>
                <w:iCs/>
                <w:color w:val="000000" w:themeColor="text1"/>
                <w:szCs w:val="21"/>
                <w14:textFill>
                  <w14:solidFill>
                    <w14:schemeClr w14:val="tx1"/>
                  </w14:solidFill>
                </w14:textFill>
              </w:rPr>
              <w:t>/</w:t>
            </w:r>
            <w:r>
              <w:rPr>
                <w:rFonts w:hint="eastAsia" w:eastAsiaTheme="minorEastAsia"/>
                <w:b/>
                <w:bCs/>
                <w:iCs/>
                <w:color w:val="000000" w:themeColor="text1"/>
                <w:szCs w:val="21"/>
                <w14:textFill>
                  <w14:solidFill>
                    <w14:schemeClr w14:val="tx1"/>
                  </w14:solidFill>
                </w14:textFill>
              </w:rPr>
              <w:t>a</w:t>
            </w:r>
          </w:p>
          <w:p w14:paraId="076B2CC1">
            <w:pPr>
              <w:rPr>
                <w:color w:val="000000" w:themeColor="text1"/>
                <w14:textFill>
                  <w14:solidFill>
                    <w14:schemeClr w14:val="tx1"/>
                  </w14:solidFill>
                </w14:textFill>
              </w:rPr>
            </w:pPr>
          </w:p>
          <w:p w14:paraId="64A96A85">
            <w:pPr>
              <w:adjustRightInd w:val="0"/>
              <w:snapToGrid w:val="0"/>
              <w:spacing w:line="360" w:lineRule="auto"/>
              <w:ind w:firstLine="480" w:firstLineChars="200"/>
              <w:rPr>
                <w:rFonts w:eastAsiaTheme="minorEastAsia"/>
                <w:bCs/>
                <w:color w:val="000000" w:themeColor="text1"/>
                <w:sz w:val="24"/>
                <w14:textFill>
                  <w14:solidFill>
                    <w14:schemeClr w14:val="tx1"/>
                  </w14:solidFill>
                </w14:textFill>
              </w:rPr>
            </w:pPr>
            <w:r>
              <w:rPr>
                <w:rFonts w:hint="eastAsia" w:eastAsiaTheme="minorEastAsia"/>
                <w:bCs/>
                <w:color w:val="000000" w:themeColor="text1"/>
                <w:sz w:val="24"/>
                <w14:textFill>
                  <w14:solidFill>
                    <w14:schemeClr w14:val="tx1"/>
                  </w14:solidFill>
                </w14:textFill>
              </w:rPr>
              <w:t>②生物除臭剂喷淋稀释用水</w:t>
            </w:r>
          </w:p>
          <w:p w14:paraId="36762726">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eastAsiaTheme="minorEastAsia"/>
                <w:bCs/>
                <w:color w:val="000000" w:themeColor="text1"/>
                <w:sz w:val="24"/>
                <w14:textFill>
                  <w14:solidFill>
                    <w14:schemeClr w14:val="tx1"/>
                  </w14:solidFill>
                </w14:textFill>
              </w:rPr>
              <w:t>生物除臭剂喷淋时，</w:t>
            </w:r>
            <w:r>
              <w:rPr>
                <w:rFonts w:hint="eastAsia"/>
                <w:bCs/>
                <w:color w:val="000000" w:themeColor="text1"/>
                <w:sz w:val="24"/>
                <w14:textFill>
                  <w14:solidFill>
                    <w14:schemeClr w14:val="tx1"/>
                  </w14:solidFill>
                </w14:textFill>
              </w:rPr>
              <w:t>将除臭剂用水稀释20倍，项目除臭剂年使用量为2t，则稀释用水量为40m³/a，0.13m³/d。稀释后的除臭剂喷淋物料后，水分蒸发，不外排。除臭剂稀释液呈雾状喷淋，水分快速蒸发，不会在地面汇集，且喷洒量相对堆体量来说较小，不会影响发酵过程中对水分的控制要求。</w:t>
            </w:r>
          </w:p>
          <w:p w14:paraId="5E9BDE2D">
            <w:pPr>
              <w:adjustRightInd w:val="0"/>
              <w:snapToGrid w:val="0"/>
              <w:spacing w:line="360" w:lineRule="auto"/>
              <w:ind w:firstLine="480" w:firstLineChars="200"/>
              <w:rPr>
                <w:rFonts w:eastAsiaTheme="minorEastAsia"/>
                <w:bCs/>
                <w:color w:val="000000" w:themeColor="text1"/>
                <w:sz w:val="24"/>
                <w14:textFill>
                  <w14:solidFill>
                    <w14:schemeClr w14:val="tx1"/>
                  </w14:solidFill>
                </w14:textFill>
              </w:rPr>
            </w:pPr>
            <w:r>
              <w:rPr>
                <w:rFonts w:hint="eastAsia" w:eastAsiaTheme="minorEastAsia"/>
                <w:bCs/>
                <w:color w:val="000000" w:themeColor="text1"/>
                <w:sz w:val="24"/>
                <w14:textFill>
                  <w14:solidFill>
                    <w14:schemeClr w14:val="tx1"/>
                  </w14:solidFill>
                </w14:textFill>
              </w:rPr>
              <w:t>③道路洒水降尘用水</w:t>
            </w:r>
          </w:p>
          <w:p w14:paraId="40A34691">
            <w:pPr>
              <w:adjustRightInd w:val="0"/>
              <w:snapToGrid w:val="0"/>
              <w:spacing w:line="360" w:lineRule="auto"/>
              <w:ind w:firstLine="480" w:firstLineChars="200"/>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参考《云南省用水定额标准》（DB53/T168-20</w:t>
            </w:r>
            <w:r>
              <w:rPr>
                <w:rFonts w:hint="eastAsia" w:eastAsiaTheme="minorEastAsia"/>
                <w:bCs/>
                <w:color w:val="000000" w:themeColor="text1"/>
                <w:sz w:val="24"/>
                <w14:textFill>
                  <w14:solidFill>
                    <w14:schemeClr w14:val="tx1"/>
                  </w14:solidFill>
                </w14:textFill>
              </w:rPr>
              <w:t>26</w:t>
            </w:r>
            <w:r>
              <w:rPr>
                <w:rFonts w:eastAsiaTheme="minorEastAsia"/>
                <w:bCs/>
                <w:color w:val="000000" w:themeColor="text1"/>
                <w:sz w:val="24"/>
                <w14:textFill>
                  <w14:solidFill>
                    <w14:schemeClr w14:val="tx1"/>
                  </w14:solidFill>
                </w14:textFill>
              </w:rPr>
              <w:t>）中“环境卫生管理-场地浇洒”用水定额为 2L/（㎡.次），</w:t>
            </w:r>
            <w:r>
              <w:rPr>
                <w:rFonts w:hint="eastAsia" w:eastAsiaTheme="minorEastAsia"/>
                <w:bCs/>
                <w:color w:val="000000" w:themeColor="text1"/>
                <w:sz w:val="24"/>
                <w14:textFill>
                  <w14:solidFill>
                    <w14:schemeClr w14:val="tx1"/>
                  </w14:solidFill>
                </w14:textFill>
              </w:rPr>
              <w:t>进出</w:t>
            </w:r>
            <w:r>
              <w:rPr>
                <w:rFonts w:eastAsiaTheme="minorEastAsia"/>
                <w:bCs/>
                <w:color w:val="000000" w:themeColor="text1"/>
                <w:sz w:val="24"/>
                <w14:textFill>
                  <w14:solidFill>
                    <w14:schemeClr w14:val="tx1"/>
                  </w14:solidFill>
                </w14:textFill>
              </w:rPr>
              <w:t>车间</w:t>
            </w:r>
            <w:r>
              <w:rPr>
                <w:rFonts w:hint="eastAsia" w:eastAsiaTheme="minorEastAsia"/>
                <w:bCs/>
                <w:color w:val="000000" w:themeColor="text1"/>
                <w:sz w:val="24"/>
                <w14:textFill>
                  <w14:solidFill>
                    <w14:schemeClr w14:val="tx1"/>
                  </w14:solidFill>
                </w14:textFill>
              </w:rPr>
              <w:t>外临近的道路晴天需进行洒水降尘，临近车间外的道路面积约为2000</w:t>
            </w:r>
            <w:r>
              <w:rPr>
                <w:rFonts w:eastAsiaTheme="minorEastAsia"/>
                <w:bCs/>
                <w:color w:val="000000" w:themeColor="text1"/>
                <w:sz w:val="24"/>
                <w14:textFill>
                  <w14:solidFill>
                    <w14:schemeClr w14:val="tx1"/>
                  </w14:solidFill>
                </w14:textFill>
              </w:rPr>
              <w:t>㎡，每天洒水一次，则</w:t>
            </w:r>
            <w:r>
              <w:rPr>
                <w:rFonts w:hint="eastAsia" w:eastAsiaTheme="minorEastAsia"/>
                <w:bCs/>
                <w:color w:val="000000" w:themeColor="text1"/>
                <w:sz w:val="24"/>
                <w14:textFill>
                  <w14:solidFill>
                    <w14:schemeClr w14:val="tx1"/>
                  </w14:solidFill>
                </w14:textFill>
              </w:rPr>
              <w:t>道路</w:t>
            </w:r>
            <w:r>
              <w:rPr>
                <w:rFonts w:eastAsiaTheme="minorEastAsia"/>
                <w:bCs/>
                <w:color w:val="000000" w:themeColor="text1"/>
                <w:sz w:val="24"/>
                <w14:textFill>
                  <w14:solidFill>
                    <w14:schemeClr w14:val="tx1"/>
                  </w14:solidFill>
                </w14:textFill>
              </w:rPr>
              <w:t>洒水降尘用水量为</w:t>
            </w:r>
            <w:r>
              <w:rPr>
                <w:rFonts w:hint="eastAsia" w:eastAsiaTheme="minorEastAsia"/>
                <w:bCs/>
                <w:color w:val="000000" w:themeColor="text1"/>
                <w:sz w:val="24"/>
                <w14:textFill>
                  <w14:solidFill>
                    <w14:schemeClr w14:val="tx1"/>
                  </w14:solidFill>
                </w14:textFill>
              </w:rPr>
              <w:t>4</w:t>
            </w:r>
            <w:r>
              <w:rPr>
                <w:rFonts w:eastAsiaTheme="minorEastAsia"/>
                <w:bCs/>
                <w:color w:val="000000" w:themeColor="text1"/>
                <w:sz w:val="24"/>
                <w14:textFill>
                  <w14:solidFill>
                    <w14:schemeClr w14:val="tx1"/>
                  </w14:solidFill>
                </w14:textFill>
              </w:rPr>
              <w:t>m³/d，</w:t>
            </w:r>
            <w:r>
              <w:rPr>
                <w:rFonts w:hint="eastAsia" w:eastAsiaTheme="minorEastAsia"/>
                <w:bCs/>
                <w:color w:val="000000" w:themeColor="text1"/>
                <w:sz w:val="24"/>
                <w14:textFill>
                  <w14:solidFill>
                    <w14:schemeClr w14:val="tx1"/>
                  </w14:solidFill>
                </w14:textFill>
              </w:rPr>
              <w:t>每年晴天按175天计，则全年用水量为700</w:t>
            </w:r>
            <w:r>
              <w:rPr>
                <w:rFonts w:eastAsiaTheme="minorEastAsia"/>
                <w:bCs/>
                <w:color w:val="000000" w:themeColor="text1"/>
                <w:sz w:val="24"/>
                <w14:textFill>
                  <w14:solidFill>
                    <w14:schemeClr w14:val="tx1"/>
                  </w14:solidFill>
                </w14:textFill>
              </w:rPr>
              <w:t>m³/</w:t>
            </w:r>
            <w:r>
              <w:rPr>
                <w:rFonts w:hint="eastAsia" w:eastAsiaTheme="minorEastAsia"/>
                <w:bCs/>
                <w:color w:val="000000" w:themeColor="text1"/>
                <w:sz w:val="24"/>
                <w14:textFill>
                  <w14:solidFill>
                    <w14:schemeClr w14:val="tx1"/>
                  </w14:solidFill>
                </w14:textFill>
              </w:rPr>
              <w:t>a，</w:t>
            </w:r>
            <w:r>
              <w:rPr>
                <w:rFonts w:eastAsiaTheme="minorEastAsia"/>
                <w:bCs/>
                <w:color w:val="000000" w:themeColor="text1"/>
                <w:sz w:val="24"/>
                <w14:textFill>
                  <w14:solidFill>
                    <w14:schemeClr w14:val="tx1"/>
                  </w14:solidFill>
                </w14:textFill>
              </w:rPr>
              <w:t>完全蒸发。</w:t>
            </w:r>
          </w:p>
          <w:p w14:paraId="6017328D">
            <w:pPr>
              <w:pStyle w:val="34"/>
              <w:spacing w:before="0" w:after="0"/>
              <w:ind w:firstLine="248"/>
              <w:rPr>
                <w:rFonts w:eastAsiaTheme="minorEastAsia"/>
                <w:bCs/>
                <w:color w:val="000000" w:themeColor="text1"/>
                <w14:textFill>
                  <w14:solidFill>
                    <w14:schemeClr w14:val="tx1"/>
                  </w14:solidFill>
                </w14:textFill>
              </w:rPr>
            </w:pPr>
            <w:r>
              <w:rPr>
                <w:rFonts w:hint="eastAsia" w:eastAsiaTheme="minorEastAsia"/>
                <w:bCs/>
                <w:color w:val="000000" w:themeColor="text1"/>
                <w14:textFill>
                  <w14:solidFill>
                    <w14:schemeClr w14:val="tx1"/>
                  </w14:solidFill>
                </w14:textFill>
              </w:rPr>
              <w:t xml:space="preserve">  ④雾炮机用水</w:t>
            </w:r>
          </w:p>
          <w:p w14:paraId="147A1168">
            <w:pPr>
              <w:adjustRightInd w:val="0"/>
              <w:snapToGrid w:val="0"/>
              <w:spacing w:line="360" w:lineRule="auto"/>
              <w:ind w:firstLine="480" w:firstLineChars="200"/>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雾炮机的用水量主要取决于其额定喷雾流量、连续作业时间及实际运行工况。理论用水量计算公式为：</w:t>
            </w:r>
          </w:p>
          <w:p w14:paraId="56DDFFE3">
            <w:pPr>
              <w:adjustRightInd w:val="0"/>
              <w:snapToGrid w:val="0"/>
              <w:spacing w:line="360" w:lineRule="auto"/>
              <w:ind w:firstLine="3600" w:firstLineChars="1500"/>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Q=q×t</w:t>
            </w:r>
          </w:p>
          <w:p w14:paraId="0D377522">
            <w:pPr>
              <w:adjustRightInd w:val="0"/>
              <w:snapToGrid w:val="0"/>
              <w:spacing w:line="360" w:lineRule="auto"/>
              <w:ind w:firstLine="480" w:firstLineChars="200"/>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其中：Q 为总用水量（单位：L 或 m³）；</w:t>
            </w:r>
          </w:p>
          <w:p w14:paraId="2CEA910E">
            <w:pPr>
              <w:adjustRightInd w:val="0"/>
              <w:snapToGrid w:val="0"/>
              <w:spacing w:line="360" w:lineRule="auto"/>
              <w:ind w:firstLine="480" w:firstLineChars="200"/>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q 为额定喷雾流量（</w:t>
            </w:r>
            <w:r>
              <w:rPr>
                <w:rFonts w:hint="eastAsia" w:eastAsiaTheme="minorEastAsia"/>
                <w:bCs/>
                <w:color w:val="000000" w:themeColor="text1"/>
                <w:sz w:val="24"/>
                <w14:textFill>
                  <w14:solidFill>
                    <w14:schemeClr w14:val="tx1"/>
                  </w14:solidFill>
                </w14:textFill>
              </w:rPr>
              <w:t>本项目为小型雾炮机</w:t>
            </w:r>
            <w:r>
              <w:rPr>
                <w:rFonts w:eastAsiaTheme="minorEastAsia"/>
                <w:bCs/>
                <w:color w:val="000000" w:themeColor="text1"/>
                <w:sz w:val="24"/>
                <w14:textFill>
                  <w14:solidFill>
                    <w14:schemeClr w14:val="tx1"/>
                  </w14:solidFill>
                </w14:textFill>
              </w:rPr>
              <w:t>，为30L/min）；</w:t>
            </w:r>
          </w:p>
          <w:p w14:paraId="5D9ED2F8">
            <w:pPr>
              <w:adjustRightInd w:val="0"/>
              <w:snapToGrid w:val="0"/>
              <w:spacing w:line="360" w:lineRule="auto"/>
              <w:ind w:left="539" w:leftChars="228" w:hanging="60" w:hangingChars="25"/>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t 为有效喷雾时间（</w:t>
            </w:r>
            <w:r>
              <w:rPr>
                <w:rFonts w:hint="eastAsia" w:eastAsiaTheme="minorEastAsia"/>
                <w:bCs/>
                <w:color w:val="000000" w:themeColor="text1"/>
                <w:sz w:val="24"/>
                <w14:textFill>
                  <w14:solidFill>
                    <w14:schemeClr w14:val="tx1"/>
                  </w14:solidFill>
                </w14:textFill>
              </w:rPr>
              <w:t>本项目每天间断喷雾时间约2h</w:t>
            </w:r>
            <w:r>
              <w:rPr>
                <w:rFonts w:eastAsiaTheme="minorEastAsia"/>
                <w:bCs/>
                <w:color w:val="000000" w:themeColor="text1"/>
                <w:sz w:val="24"/>
                <w14:textFill>
                  <w14:solidFill>
                    <w14:schemeClr w14:val="tx1"/>
                  </w14:solidFill>
                </w14:textFill>
              </w:rPr>
              <w:t>）。</w:t>
            </w:r>
          </w:p>
          <w:p w14:paraId="60B6698D">
            <w:pPr>
              <w:pStyle w:val="34"/>
              <w:spacing w:before="0" w:after="0"/>
              <w:ind w:firstLine="496" w:firstLineChars="200"/>
              <w:rPr>
                <w:rFonts w:eastAsiaTheme="minorEastAsia"/>
                <w:bCs/>
                <w:color w:val="000000" w:themeColor="text1"/>
                <w14:textFill>
                  <w14:solidFill>
                    <w14:schemeClr w14:val="tx1"/>
                  </w14:solidFill>
                </w14:textFill>
              </w:rPr>
            </w:pPr>
            <w:r>
              <w:rPr>
                <w:rFonts w:hint="eastAsia" w:eastAsiaTheme="minorEastAsia"/>
                <w:bCs/>
                <w:color w:val="000000" w:themeColor="text1"/>
                <w14:textFill>
                  <w14:solidFill>
                    <w14:schemeClr w14:val="tx1"/>
                  </w14:solidFill>
                </w14:textFill>
              </w:rPr>
              <w:t>根据计算公式，本项目一台雾炮机用水量为</w:t>
            </w:r>
            <w:r>
              <w:rPr>
                <w:rFonts w:hint="eastAsia" w:ascii="Times New Roman" w:hAnsi="Times New Roman" w:eastAsiaTheme="minorEastAsia"/>
                <w:bCs/>
                <w:snapToGrid/>
                <w:color w:val="000000" w:themeColor="text1"/>
                <w:spacing w:val="0"/>
                <w:kern w:val="2"/>
                <w14:textFill>
                  <w14:solidFill>
                    <w14:schemeClr w14:val="tx1"/>
                  </w14:solidFill>
                </w14:textFill>
              </w:rPr>
              <w:t>3.6m</w:t>
            </w:r>
            <w:r>
              <w:rPr>
                <w:rFonts w:hint="eastAsia" w:ascii="Times New Roman" w:hAnsi="Times New Roman" w:eastAsiaTheme="minorEastAsia"/>
                <w:bCs/>
                <w:snapToGrid/>
                <w:color w:val="000000" w:themeColor="text1"/>
                <w:spacing w:val="0"/>
                <w:kern w:val="2"/>
                <w:vertAlign w:val="superscript"/>
                <w14:textFill>
                  <w14:solidFill>
                    <w14:schemeClr w14:val="tx1"/>
                  </w14:solidFill>
                </w14:textFill>
              </w:rPr>
              <w:t>3</w:t>
            </w:r>
            <w:r>
              <w:rPr>
                <w:rFonts w:hint="eastAsia" w:ascii="Times New Roman" w:hAnsi="Times New Roman" w:eastAsiaTheme="minorEastAsia"/>
                <w:bCs/>
                <w:snapToGrid/>
                <w:color w:val="000000" w:themeColor="text1"/>
                <w:spacing w:val="0"/>
                <w:kern w:val="2"/>
                <w14:textFill>
                  <w14:solidFill>
                    <w14:schemeClr w14:val="tx1"/>
                  </w14:solidFill>
                </w14:textFill>
              </w:rPr>
              <w:t>/d，1080m</w:t>
            </w:r>
            <w:r>
              <w:rPr>
                <w:rFonts w:hint="eastAsia" w:ascii="Times New Roman" w:hAnsi="Times New Roman" w:eastAsiaTheme="minorEastAsia"/>
                <w:bCs/>
                <w:snapToGrid/>
                <w:color w:val="000000" w:themeColor="text1"/>
                <w:spacing w:val="0"/>
                <w:kern w:val="2"/>
                <w:vertAlign w:val="superscript"/>
                <w14:textFill>
                  <w14:solidFill>
                    <w14:schemeClr w14:val="tx1"/>
                  </w14:solidFill>
                </w14:textFill>
              </w:rPr>
              <w:t>3</w:t>
            </w:r>
            <w:r>
              <w:rPr>
                <w:rFonts w:hint="eastAsia" w:ascii="Times New Roman" w:hAnsi="Times New Roman" w:eastAsiaTheme="minorEastAsia"/>
                <w:bCs/>
                <w:snapToGrid/>
                <w:color w:val="000000" w:themeColor="text1"/>
                <w:spacing w:val="0"/>
                <w:kern w:val="2"/>
                <w14:textFill>
                  <w14:solidFill>
                    <w14:schemeClr w14:val="tx1"/>
                  </w14:solidFill>
                </w14:textFill>
              </w:rPr>
              <w:t>/a</w:t>
            </w:r>
            <w:r>
              <w:rPr>
                <w:rFonts w:hint="eastAsia" w:eastAsiaTheme="minorEastAsia"/>
                <w:bCs/>
                <w:color w:val="000000" w:themeColor="text1"/>
                <w14:textFill>
                  <w14:solidFill>
                    <w14:schemeClr w14:val="tx1"/>
                  </w14:solidFill>
                </w14:textFill>
              </w:rPr>
              <w:t>。本项目位于2个厂房分别设置1台移动式雾炮机进行喷雾降尘，则用水量为</w:t>
            </w:r>
            <w:r>
              <w:rPr>
                <w:rFonts w:hint="eastAsia" w:ascii="Times New Roman" w:hAnsi="Times New Roman" w:eastAsiaTheme="minorEastAsia"/>
                <w:bCs/>
                <w:snapToGrid/>
                <w:color w:val="000000" w:themeColor="text1"/>
                <w:spacing w:val="0"/>
                <w:kern w:val="2"/>
                <w14:textFill>
                  <w14:solidFill>
                    <w14:schemeClr w14:val="tx1"/>
                  </w14:solidFill>
                </w14:textFill>
              </w:rPr>
              <w:t>7.2m</w:t>
            </w:r>
            <w:r>
              <w:rPr>
                <w:rFonts w:hint="eastAsia" w:ascii="Times New Roman" w:hAnsi="Times New Roman" w:eastAsiaTheme="minorEastAsia"/>
                <w:bCs/>
                <w:snapToGrid/>
                <w:color w:val="000000" w:themeColor="text1"/>
                <w:spacing w:val="0"/>
                <w:kern w:val="2"/>
                <w:vertAlign w:val="superscript"/>
                <w14:textFill>
                  <w14:solidFill>
                    <w14:schemeClr w14:val="tx1"/>
                  </w14:solidFill>
                </w14:textFill>
              </w:rPr>
              <w:t>3</w:t>
            </w:r>
            <w:r>
              <w:rPr>
                <w:rFonts w:hint="eastAsia" w:ascii="Times New Roman" w:hAnsi="Times New Roman" w:eastAsiaTheme="minorEastAsia"/>
                <w:bCs/>
                <w:snapToGrid/>
                <w:color w:val="000000" w:themeColor="text1"/>
                <w:spacing w:val="0"/>
                <w:kern w:val="2"/>
                <w14:textFill>
                  <w14:solidFill>
                    <w14:schemeClr w14:val="tx1"/>
                  </w14:solidFill>
                </w14:textFill>
              </w:rPr>
              <w:t>/d，2160m</w:t>
            </w:r>
            <w:r>
              <w:rPr>
                <w:rFonts w:hint="eastAsia" w:ascii="Times New Roman" w:hAnsi="Times New Roman" w:eastAsiaTheme="minorEastAsia"/>
                <w:bCs/>
                <w:snapToGrid/>
                <w:color w:val="000000" w:themeColor="text1"/>
                <w:spacing w:val="0"/>
                <w:kern w:val="2"/>
                <w:vertAlign w:val="superscript"/>
                <w14:textFill>
                  <w14:solidFill>
                    <w14:schemeClr w14:val="tx1"/>
                  </w14:solidFill>
                </w14:textFill>
              </w:rPr>
              <w:t>3</w:t>
            </w:r>
            <w:r>
              <w:rPr>
                <w:rFonts w:hint="eastAsia" w:ascii="Times New Roman" w:hAnsi="Times New Roman" w:eastAsiaTheme="minorEastAsia"/>
                <w:bCs/>
                <w:snapToGrid/>
                <w:color w:val="000000" w:themeColor="text1"/>
                <w:spacing w:val="0"/>
                <w:kern w:val="2"/>
                <w14:textFill>
                  <w14:solidFill>
                    <w14:schemeClr w14:val="tx1"/>
                  </w14:solidFill>
                </w14:textFill>
              </w:rPr>
              <w:t>/a</w:t>
            </w:r>
            <w:r>
              <w:rPr>
                <w:rFonts w:hint="eastAsia" w:eastAsiaTheme="minorEastAsia"/>
                <w:bCs/>
                <w:color w:val="000000" w:themeColor="text1"/>
                <w14:textFill>
                  <w14:solidFill>
                    <w14:schemeClr w14:val="tx1"/>
                  </w14:solidFill>
                </w14:textFill>
              </w:rPr>
              <w:t>，用水全部蒸发。</w:t>
            </w:r>
          </w:p>
          <w:p w14:paraId="02D3459C">
            <w:pPr>
              <w:pStyle w:val="34"/>
              <w:spacing w:before="0" w:after="0"/>
              <w:ind w:firstLine="496" w:firstLineChars="200"/>
              <w:rPr>
                <w:rFonts w:eastAsiaTheme="minorEastAsia"/>
                <w:bCs/>
                <w:color w:val="000000" w:themeColor="text1"/>
                <w14:textFill>
                  <w14:solidFill>
                    <w14:schemeClr w14:val="tx1"/>
                  </w14:solidFill>
                </w14:textFill>
              </w:rPr>
            </w:pPr>
            <w:r>
              <w:rPr>
                <w:rFonts w:hint="eastAsia" w:eastAsiaTheme="minorEastAsia"/>
                <w:bCs/>
                <w:color w:val="000000" w:themeColor="text1"/>
                <w14:textFill>
                  <w14:solidFill>
                    <w14:schemeClr w14:val="tx1"/>
                  </w14:solidFill>
                </w14:textFill>
              </w:rPr>
              <w:t>（2）初期雨水</w:t>
            </w:r>
          </w:p>
          <w:p w14:paraId="2378D60D">
            <w:pPr>
              <w:pStyle w:val="80"/>
              <w:ind w:firstLine="470"/>
              <w:jc w:val="both"/>
              <w:rPr>
                <w:rFonts w:hAnsi="Times New Roman"/>
                <w:snapToGrid w:val="0"/>
                <w:color w:val="000000" w:themeColor="text1"/>
                <w:sz w:val="24"/>
                <w:szCs w:val="24"/>
                <w14:textFill>
                  <w14:solidFill>
                    <w14:schemeClr w14:val="tx1"/>
                  </w14:solidFill>
                </w14:textFill>
              </w:rPr>
            </w:pPr>
            <w:r>
              <w:rPr>
                <w:rFonts w:hAnsi="Times New Roman"/>
                <w:snapToGrid w:val="0"/>
                <w:color w:val="000000" w:themeColor="text1"/>
                <w:sz w:val="24"/>
                <w:szCs w:val="24"/>
                <w14:textFill>
                  <w14:solidFill>
                    <w14:schemeClr w14:val="tx1"/>
                  </w14:solidFill>
                </w14:textFill>
              </w:rPr>
              <w:t>本次评价初期雨水量按下述方法进行计算：</w:t>
            </w:r>
          </w:p>
          <w:p w14:paraId="4BE79559">
            <w:pPr>
              <w:pStyle w:val="80"/>
              <w:ind w:firstLine="470"/>
              <w:jc w:val="both"/>
              <w:rPr>
                <w:rFonts w:hAnsi="Times New Roman"/>
                <w:snapToGrid w:val="0"/>
                <w:color w:val="000000" w:themeColor="text1"/>
                <w:sz w:val="24"/>
                <w:szCs w:val="24"/>
                <w14:textFill>
                  <w14:solidFill>
                    <w14:schemeClr w14:val="tx1"/>
                  </w14:solidFill>
                </w14:textFill>
              </w:rPr>
            </w:pPr>
            <w:r>
              <w:rPr>
                <w:rFonts w:hAnsi="Times New Roman"/>
                <w:snapToGrid w:val="0"/>
                <w:color w:val="000000" w:themeColor="text1"/>
                <w:sz w:val="24"/>
                <w:szCs w:val="24"/>
                <w14:textFill>
                  <w14:solidFill>
                    <w14:schemeClr w14:val="tx1"/>
                  </w14:solidFill>
                </w14:textFill>
              </w:rPr>
              <w:t>根据同济大学版公式：</w:t>
            </w:r>
          </w:p>
          <w:p w14:paraId="694459B2">
            <w:pPr>
              <w:pStyle w:val="80"/>
              <w:ind w:firstLine="470"/>
              <w:jc w:val="both"/>
              <w:rPr>
                <w:rFonts w:hAnsi="Times New Roman"/>
                <w:snapToGrid w:val="0"/>
                <w:color w:val="000000" w:themeColor="text1"/>
                <w:sz w:val="24"/>
                <w:szCs w:val="24"/>
                <w14:textFill>
                  <w14:solidFill>
                    <w14:schemeClr w14:val="tx1"/>
                  </w14:solidFill>
                </w14:textFill>
              </w:rPr>
            </w:pPr>
            <w:r>
              <w:rPr>
                <w:rFonts w:hAnsi="Times New Roman"/>
                <w:snapToGrid w:val="0"/>
                <w:color w:val="000000" w:themeColor="text1"/>
                <w:sz w:val="24"/>
                <w:szCs w:val="24"/>
                <w14:textFill>
                  <w14:solidFill>
                    <w14:schemeClr w14:val="tx1"/>
                  </w14:solidFill>
                </w14:textFill>
              </w:rPr>
              <w:object>
                <v:shape id="_x0000_i1027" o:spt="75" type="#_x0000_t75" style="height:33pt;width:120.75pt;" o:ole="t" filled="f" o:preferrelative="t" stroked="f" coordsize="21600,21600">
                  <v:path/>
                  <v:fill on="f" focussize="0,0"/>
                  <v:stroke on="f" joinstyle="miter"/>
                  <v:imagedata r:id="rId14" o:title=""/>
                  <o:lock v:ext="edit" aspectratio="t"/>
                  <w10:wrap type="none"/>
                  <w10:anchorlock/>
                </v:shape>
                <o:OLEObject Type="Embed" ProgID="Equation.KSEE3" ShapeID="_x0000_i1027" DrawAspect="Content" ObjectID="_1468075727" r:id="rId13">
                  <o:LockedField>false</o:LockedField>
                </o:OLEObject>
              </w:object>
            </w:r>
          </w:p>
          <w:p w14:paraId="647582AC">
            <w:pPr>
              <w:pStyle w:val="80"/>
              <w:ind w:firstLine="470"/>
              <w:jc w:val="both"/>
              <w:rPr>
                <w:rFonts w:hAnsi="Times New Roman"/>
                <w:snapToGrid w:val="0"/>
                <w:color w:val="000000" w:themeColor="text1"/>
                <w:sz w:val="24"/>
                <w:szCs w:val="24"/>
                <w14:textFill>
                  <w14:solidFill>
                    <w14:schemeClr w14:val="tx1"/>
                  </w14:solidFill>
                </w14:textFill>
              </w:rPr>
            </w:pPr>
            <w:r>
              <w:rPr>
                <w:rFonts w:hAnsi="Times New Roman"/>
                <w:snapToGrid w:val="0"/>
                <w:color w:val="000000" w:themeColor="text1"/>
                <w:sz w:val="24"/>
                <w:szCs w:val="24"/>
                <w14:textFill>
                  <w14:solidFill>
                    <w14:schemeClr w14:val="tx1"/>
                  </w14:solidFill>
                </w14:textFill>
              </w:rPr>
              <w:t>式中：P—设计降雨重现期，取</w:t>
            </w:r>
            <w:r>
              <w:rPr>
                <w:rFonts w:hint="eastAsia" w:hAnsi="Times New Roman"/>
                <w:snapToGrid w:val="0"/>
                <w:color w:val="000000" w:themeColor="text1"/>
                <w:sz w:val="24"/>
                <w:szCs w:val="24"/>
                <w14:textFill>
                  <w14:solidFill>
                    <w14:schemeClr w14:val="tx1"/>
                  </w14:solidFill>
                </w14:textFill>
              </w:rPr>
              <w:t>1</w:t>
            </w:r>
            <w:r>
              <w:rPr>
                <w:rFonts w:hAnsi="Times New Roman"/>
                <w:snapToGrid w:val="0"/>
                <w:color w:val="000000" w:themeColor="text1"/>
                <w:sz w:val="24"/>
                <w:szCs w:val="24"/>
                <w14:textFill>
                  <w14:solidFill>
                    <w14:schemeClr w14:val="tx1"/>
                  </w14:solidFill>
                </w14:textFill>
              </w:rPr>
              <w:t>a；</w:t>
            </w:r>
          </w:p>
          <w:p w14:paraId="5A1DD8AD">
            <w:pPr>
              <w:pStyle w:val="80"/>
              <w:ind w:firstLine="470"/>
              <w:jc w:val="both"/>
              <w:rPr>
                <w:rFonts w:hAnsi="Times New Roman"/>
                <w:snapToGrid w:val="0"/>
                <w:color w:val="000000" w:themeColor="text1"/>
                <w:sz w:val="24"/>
                <w:szCs w:val="24"/>
                <w14:textFill>
                  <w14:solidFill>
                    <w14:schemeClr w14:val="tx1"/>
                  </w14:solidFill>
                </w14:textFill>
              </w:rPr>
            </w:pPr>
            <w:r>
              <w:rPr>
                <w:rFonts w:hAnsi="Times New Roman"/>
                <w:snapToGrid w:val="0"/>
                <w:color w:val="000000" w:themeColor="text1"/>
                <w:sz w:val="24"/>
                <w:szCs w:val="24"/>
                <w14:textFill>
                  <w14:solidFill>
                    <w14:schemeClr w14:val="tx1"/>
                  </w14:solidFill>
                </w14:textFill>
              </w:rPr>
              <w:t>T—降雨历时，本次以120min计；</w:t>
            </w:r>
          </w:p>
          <w:p w14:paraId="0F233453">
            <w:pPr>
              <w:pStyle w:val="80"/>
              <w:ind w:firstLine="470"/>
              <w:jc w:val="both"/>
              <w:rPr>
                <w:rFonts w:hAnsi="Times New Roman"/>
                <w:snapToGrid w:val="0"/>
                <w:color w:val="000000" w:themeColor="text1"/>
                <w:sz w:val="24"/>
                <w:szCs w:val="24"/>
                <w14:textFill>
                  <w14:solidFill>
                    <w14:schemeClr w14:val="tx1"/>
                  </w14:solidFill>
                </w14:textFill>
              </w:rPr>
            </w:pPr>
            <w:r>
              <w:rPr>
                <w:rFonts w:hAnsi="Times New Roman"/>
                <w:snapToGrid w:val="0"/>
                <w:color w:val="000000" w:themeColor="text1"/>
                <w:sz w:val="24"/>
                <w:szCs w:val="24"/>
                <w14:textFill>
                  <w14:solidFill>
                    <w14:schemeClr w14:val="tx1"/>
                  </w14:solidFill>
                </w14:textFill>
              </w:rPr>
              <w:t>q—暴雨强度，L/s·hm</w:t>
            </w:r>
            <w:r>
              <w:rPr>
                <w:rFonts w:hAnsi="Times New Roman"/>
                <w:snapToGrid w:val="0"/>
                <w:color w:val="000000" w:themeColor="text1"/>
                <w:sz w:val="24"/>
                <w:szCs w:val="24"/>
                <w:vertAlign w:val="superscript"/>
                <w14:textFill>
                  <w14:solidFill>
                    <w14:schemeClr w14:val="tx1"/>
                  </w14:solidFill>
                </w14:textFill>
              </w:rPr>
              <w:t>2</w:t>
            </w:r>
            <w:r>
              <w:rPr>
                <w:rFonts w:hAnsi="Times New Roman"/>
                <w:snapToGrid w:val="0"/>
                <w:color w:val="000000" w:themeColor="text1"/>
                <w:sz w:val="24"/>
                <w:szCs w:val="24"/>
                <w14:textFill>
                  <w14:solidFill>
                    <w14:schemeClr w14:val="tx1"/>
                  </w14:solidFill>
                </w14:textFill>
              </w:rPr>
              <w:t>。</w:t>
            </w:r>
          </w:p>
          <w:p w14:paraId="1CD4B7E6">
            <w:pPr>
              <w:pStyle w:val="80"/>
              <w:ind w:firstLine="470"/>
              <w:jc w:val="both"/>
              <w:rPr>
                <w:rFonts w:hAnsi="Times New Roman"/>
                <w:snapToGrid w:val="0"/>
                <w:color w:val="000000" w:themeColor="text1"/>
                <w:sz w:val="24"/>
                <w:szCs w:val="24"/>
                <w14:textFill>
                  <w14:solidFill>
                    <w14:schemeClr w14:val="tx1"/>
                  </w14:solidFill>
                </w14:textFill>
              </w:rPr>
            </w:pPr>
            <w:r>
              <w:rPr>
                <w:rFonts w:hAnsi="Times New Roman"/>
                <w:snapToGrid w:val="0"/>
                <w:color w:val="000000" w:themeColor="text1"/>
                <w:sz w:val="24"/>
                <w:szCs w:val="24"/>
                <w14:textFill>
                  <w14:solidFill>
                    <w14:schemeClr w14:val="tx1"/>
                  </w14:solidFill>
                </w14:textFill>
              </w:rPr>
              <w:t>经计算，q=</w:t>
            </w:r>
            <w:r>
              <w:rPr>
                <w:rFonts w:hint="eastAsia" w:hAnsi="Times New Roman"/>
                <w:snapToGrid w:val="0"/>
                <w:color w:val="000000" w:themeColor="text1"/>
                <w:sz w:val="24"/>
                <w:szCs w:val="24"/>
                <w14:textFill>
                  <w14:solidFill>
                    <w14:schemeClr w14:val="tx1"/>
                  </w14:solidFill>
                </w14:textFill>
              </w:rPr>
              <w:t>63.04</w:t>
            </w:r>
            <w:r>
              <w:rPr>
                <w:rFonts w:hAnsi="Times New Roman"/>
                <w:snapToGrid w:val="0"/>
                <w:color w:val="000000" w:themeColor="text1"/>
                <w:sz w:val="24"/>
                <w:szCs w:val="24"/>
                <w14:textFill>
                  <w14:solidFill>
                    <w14:schemeClr w14:val="tx1"/>
                  </w14:solidFill>
                </w14:textFill>
              </w:rPr>
              <w:t>L/s·hm</w:t>
            </w:r>
            <w:r>
              <w:rPr>
                <w:rFonts w:hAnsi="Times New Roman"/>
                <w:snapToGrid w:val="0"/>
                <w:color w:val="000000" w:themeColor="text1"/>
                <w:sz w:val="24"/>
                <w:szCs w:val="24"/>
                <w:vertAlign w:val="superscript"/>
                <w14:textFill>
                  <w14:solidFill>
                    <w14:schemeClr w14:val="tx1"/>
                  </w14:solidFill>
                </w14:textFill>
              </w:rPr>
              <w:t>2</w:t>
            </w:r>
            <w:r>
              <w:rPr>
                <w:rFonts w:hAnsi="Times New Roman"/>
                <w:snapToGrid w:val="0"/>
                <w:color w:val="000000" w:themeColor="text1"/>
                <w:sz w:val="24"/>
                <w:szCs w:val="24"/>
                <w14:textFill>
                  <w14:solidFill>
                    <w14:schemeClr w14:val="tx1"/>
                  </w14:solidFill>
                </w14:textFill>
              </w:rPr>
              <w:t>。</w:t>
            </w:r>
          </w:p>
          <w:p w14:paraId="4987F297">
            <w:pPr>
              <w:pStyle w:val="80"/>
              <w:ind w:firstLine="470"/>
              <w:jc w:val="both"/>
              <w:rPr>
                <w:rFonts w:hAnsi="Times New Roman"/>
                <w:snapToGrid w:val="0"/>
                <w:color w:val="000000" w:themeColor="text1"/>
                <w:sz w:val="24"/>
                <w:szCs w:val="24"/>
                <w14:textFill>
                  <w14:solidFill>
                    <w14:schemeClr w14:val="tx1"/>
                  </w14:solidFill>
                </w14:textFill>
              </w:rPr>
            </w:pPr>
            <w:r>
              <w:rPr>
                <w:rFonts w:hAnsi="Times New Roman"/>
                <w:snapToGrid w:val="0"/>
                <w:color w:val="000000" w:themeColor="text1"/>
                <w:sz w:val="24"/>
                <w:szCs w:val="24"/>
                <w14:textFill>
                  <w14:solidFill>
                    <w14:schemeClr w14:val="tx1"/>
                  </w14:solidFill>
                </w14:textFill>
              </w:rPr>
              <w:t>根据雨水设计流量公式：</w:t>
            </w:r>
          </w:p>
          <w:p w14:paraId="24E215C9">
            <w:pPr>
              <w:pStyle w:val="80"/>
              <w:ind w:firstLine="470"/>
              <w:jc w:val="both"/>
              <w:rPr>
                <w:rFonts w:hAnsi="Times New Roman"/>
                <w:snapToGrid w:val="0"/>
                <w:color w:val="000000" w:themeColor="text1"/>
                <w:sz w:val="24"/>
                <w:szCs w:val="24"/>
                <w14:textFill>
                  <w14:solidFill>
                    <w14:schemeClr w14:val="tx1"/>
                  </w14:solidFill>
                </w14:textFill>
              </w:rPr>
            </w:pPr>
            <w:r>
              <w:rPr>
                <w:rFonts w:hAnsi="Times New Roman"/>
                <w:snapToGrid w:val="0"/>
                <w:color w:val="000000" w:themeColor="text1"/>
                <w:sz w:val="24"/>
                <w:szCs w:val="24"/>
                <w14:textFill>
                  <w14:solidFill>
                    <w14:schemeClr w14:val="tx1"/>
                  </w14:solidFill>
                </w14:textFill>
              </w:rPr>
              <w:t>Q=q×ψ×F</w:t>
            </w:r>
          </w:p>
          <w:p w14:paraId="30F3A6DE">
            <w:pPr>
              <w:pStyle w:val="80"/>
              <w:ind w:firstLine="470"/>
              <w:jc w:val="both"/>
              <w:rPr>
                <w:rFonts w:hAnsi="Times New Roman"/>
                <w:snapToGrid w:val="0"/>
                <w:color w:val="000000" w:themeColor="text1"/>
                <w:sz w:val="24"/>
                <w:szCs w:val="24"/>
                <w14:textFill>
                  <w14:solidFill>
                    <w14:schemeClr w14:val="tx1"/>
                  </w14:solidFill>
                </w14:textFill>
              </w:rPr>
            </w:pPr>
            <w:r>
              <w:rPr>
                <w:rFonts w:hAnsi="Times New Roman"/>
                <w:snapToGrid w:val="0"/>
                <w:color w:val="000000" w:themeColor="text1"/>
                <w:sz w:val="24"/>
                <w:szCs w:val="24"/>
                <w14:textFill>
                  <w14:solidFill>
                    <w14:schemeClr w14:val="tx1"/>
                  </w14:solidFill>
                </w14:textFill>
              </w:rPr>
              <w:t>式中：Q—雨水流量，L/s；</w:t>
            </w:r>
          </w:p>
          <w:p w14:paraId="55A38721">
            <w:pPr>
              <w:pStyle w:val="80"/>
              <w:ind w:firstLine="470"/>
              <w:jc w:val="both"/>
              <w:rPr>
                <w:rFonts w:hAnsi="Times New Roman"/>
                <w:snapToGrid w:val="0"/>
                <w:color w:val="000000" w:themeColor="text1"/>
                <w:sz w:val="24"/>
                <w:szCs w:val="24"/>
                <w14:textFill>
                  <w14:solidFill>
                    <w14:schemeClr w14:val="tx1"/>
                  </w14:solidFill>
                </w14:textFill>
              </w:rPr>
            </w:pPr>
            <w:r>
              <w:rPr>
                <w:rFonts w:hAnsi="Times New Roman"/>
                <w:snapToGrid w:val="0"/>
                <w:color w:val="000000" w:themeColor="text1"/>
                <w:sz w:val="24"/>
                <w:szCs w:val="24"/>
                <w14:textFill>
                  <w14:solidFill>
                    <w14:schemeClr w14:val="tx1"/>
                  </w14:solidFill>
                </w14:textFill>
              </w:rPr>
              <w:t>ψ—径流系数，本次计算取0.8；</w:t>
            </w:r>
          </w:p>
          <w:p w14:paraId="05E535A1">
            <w:pPr>
              <w:pStyle w:val="80"/>
              <w:ind w:firstLine="470"/>
              <w:jc w:val="both"/>
              <w:rPr>
                <w:rFonts w:hAnsi="Times New Roman"/>
                <w:snapToGrid w:val="0"/>
                <w:color w:val="000000" w:themeColor="text1"/>
                <w:sz w:val="24"/>
                <w:szCs w:val="24"/>
                <w14:textFill>
                  <w14:solidFill>
                    <w14:schemeClr w14:val="tx1"/>
                  </w14:solidFill>
                </w14:textFill>
              </w:rPr>
            </w:pPr>
            <w:r>
              <w:rPr>
                <w:rFonts w:hAnsi="Times New Roman"/>
                <w:snapToGrid w:val="0"/>
                <w:color w:val="000000" w:themeColor="text1"/>
                <w:sz w:val="24"/>
                <w:szCs w:val="24"/>
                <w14:textFill>
                  <w14:solidFill>
                    <w14:schemeClr w14:val="tx1"/>
                  </w14:solidFill>
                </w14:textFill>
              </w:rPr>
              <w:t>F─汇水面积（hm</w:t>
            </w:r>
            <w:r>
              <w:rPr>
                <w:rFonts w:hAnsi="Times New Roman"/>
                <w:snapToGrid w:val="0"/>
                <w:color w:val="000000" w:themeColor="text1"/>
                <w:sz w:val="24"/>
                <w:szCs w:val="24"/>
                <w:vertAlign w:val="superscript"/>
                <w14:textFill>
                  <w14:solidFill>
                    <w14:schemeClr w14:val="tx1"/>
                  </w14:solidFill>
                </w14:textFill>
              </w:rPr>
              <w:t>2</w:t>
            </w:r>
            <w:r>
              <w:rPr>
                <w:rFonts w:hAnsi="Times New Roman"/>
                <w:snapToGrid w:val="0"/>
                <w:color w:val="000000" w:themeColor="text1"/>
                <w:sz w:val="24"/>
                <w:szCs w:val="24"/>
                <w14:textFill>
                  <w14:solidFill>
                    <w14:schemeClr w14:val="tx1"/>
                  </w14:solidFill>
                </w14:textFill>
              </w:rPr>
              <w:t>）；本项目汇水面积</w:t>
            </w:r>
            <w:r>
              <w:rPr>
                <w:rFonts w:hint="eastAsia" w:hAnsi="Times New Roman"/>
                <w:snapToGrid w:val="0"/>
                <w:color w:val="000000" w:themeColor="text1"/>
                <w:sz w:val="24"/>
                <w:szCs w:val="24"/>
                <w14:textFill>
                  <w14:solidFill>
                    <w14:schemeClr w14:val="tx1"/>
                  </w14:solidFill>
                </w14:textFill>
              </w:rPr>
              <w:t>0.5</w:t>
            </w:r>
            <w:r>
              <w:rPr>
                <w:rFonts w:hAnsi="Times New Roman"/>
                <w:snapToGrid w:val="0"/>
                <w:color w:val="000000" w:themeColor="text1"/>
                <w:sz w:val="24"/>
                <w:szCs w:val="24"/>
                <w14:textFill>
                  <w14:solidFill>
                    <w14:schemeClr w14:val="tx1"/>
                  </w14:solidFill>
                </w14:textFill>
              </w:rPr>
              <w:t>hm</w:t>
            </w:r>
            <w:r>
              <w:rPr>
                <w:rFonts w:hAnsi="Times New Roman"/>
                <w:snapToGrid w:val="0"/>
                <w:color w:val="000000" w:themeColor="text1"/>
                <w:sz w:val="24"/>
                <w:szCs w:val="24"/>
                <w:vertAlign w:val="superscript"/>
                <w14:textFill>
                  <w14:solidFill>
                    <w14:schemeClr w14:val="tx1"/>
                  </w14:solidFill>
                </w14:textFill>
              </w:rPr>
              <w:t>2</w:t>
            </w:r>
            <w:r>
              <w:rPr>
                <w:rFonts w:hAnsi="Times New Roman"/>
                <w:snapToGrid w:val="0"/>
                <w:color w:val="000000" w:themeColor="text1"/>
                <w:sz w:val="24"/>
                <w:szCs w:val="24"/>
                <w14:textFill>
                  <w14:solidFill>
                    <w14:schemeClr w14:val="tx1"/>
                  </w14:solidFill>
                </w14:textFill>
              </w:rPr>
              <w:t>（主要包括生产区屋面</w:t>
            </w:r>
            <w:r>
              <w:rPr>
                <w:rFonts w:hint="eastAsia" w:hAnsi="Times New Roman"/>
                <w:snapToGrid w:val="0"/>
                <w:color w:val="000000" w:themeColor="text1"/>
                <w:sz w:val="24"/>
                <w:szCs w:val="24"/>
                <w14:textFill>
                  <w14:solidFill>
                    <w14:schemeClr w14:val="tx1"/>
                  </w14:solidFill>
                </w14:textFill>
              </w:rPr>
              <w:t>和邻近的道路区</w:t>
            </w:r>
            <w:r>
              <w:rPr>
                <w:rFonts w:hAnsi="Times New Roman"/>
                <w:snapToGrid w:val="0"/>
                <w:color w:val="000000" w:themeColor="text1"/>
                <w:sz w:val="24"/>
                <w:szCs w:val="24"/>
                <w14:textFill>
                  <w14:solidFill>
                    <w14:schemeClr w14:val="tx1"/>
                  </w14:solidFill>
                </w14:textFill>
              </w:rPr>
              <w:t>）。</w:t>
            </w:r>
          </w:p>
          <w:p w14:paraId="7F248970">
            <w:pPr>
              <w:tabs>
                <w:tab w:val="right" w:pos="8306"/>
              </w:tabs>
              <w:spacing w:line="360" w:lineRule="auto"/>
              <w:ind w:firstLine="480" w:firstLineChars="200"/>
              <w:rPr>
                <w:snapToGrid w:val="0"/>
                <w:color w:val="000000" w:themeColor="text1"/>
                <w:sz w:val="24"/>
                <w14:textFill>
                  <w14:solidFill>
                    <w14:schemeClr w14:val="tx1"/>
                  </w14:solidFill>
                </w14:textFill>
              </w:rPr>
            </w:pPr>
            <w:r>
              <w:rPr>
                <w:snapToGrid w:val="0"/>
                <w:color w:val="000000" w:themeColor="text1"/>
                <w:sz w:val="24"/>
                <w14:textFill>
                  <w14:solidFill>
                    <w14:schemeClr w14:val="tx1"/>
                  </w14:solidFill>
                </w14:textFill>
              </w:rPr>
              <w:t>经计算，项目区暴雨雨水流量约为</w:t>
            </w:r>
            <w:r>
              <w:rPr>
                <w:rFonts w:hint="eastAsia"/>
                <w:snapToGrid w:val="0"/>
                <w:color w:val="000000" w:themeColor="text1"/>
                <w:sz w:val="24"/>
                <w14:textFill>
                  <w14:solidFill>
                    <w14:schemeClr w14:val="tx1"/>
                  </w14:solidFill>
                </w14:textFill>
              </w:rPr>
              <w:t>25.22</w:t>
            </w:r>
            <w:r>
              <w:rPr>
                <w:snapToGrid w:val="0"/>
                <w:color w:val="000000" w:themeColor="text1"/>
                <w:sz w:val="24"/>
                <w14:textFill>
                  <w14:solidFill>
                    <w14:schemeClr w14:val="tx1"/>
                  </w14:solidFill>
                </w14:textFill>
              </w:rPr>
              <w:t>L/s，</w:t>
            </w:r>
            <w:r>
              <w:rPr>
                <w:rFonts w:hint="eastAsia"/>
                <w:snapToGrid w:val="0"/>
                <w:color w:val="000000" w:themeColor="text1"/>
                <w:sz w:val="24"/>
                <w14:textFill>
                  <w14:solidFill>
                    <w14:schemeClr w14:val="tx1"/>
                  </w14:solidFill>
                </w14:textFill>
              </w:rPr>
              <w:t>90.78</w:t>
            </w:r>
            <w:r>
              <w:rPr>
                <w:snapToGrid w:val="0"/>
                <w:color w:val="000000" w:themeColor="text1"/>
                <w:sz w:val="24"/>
                <w14:textFill>
                  <w14:solidFill>
                    <w14:schemeClr w14:val="tx1"/>
                  </w14:solidFill>
                </w14:textFill>
              </w:rPr>
              <w:t>m</w:t>
            </w:r>
            <w:r>
              <w:rPr>
                <w:snapToGrid w:val="0"/>
                <w:color w:val="000000" w:themeColor="text1"/>
                <w:sz w:val="24"/>
                <w:vertAlign w:val="superscript"/>
                <w14:textFill>
                  <w14:solidFill>
                    <w14:schemeClr w14:val="tx1"/>
                  </w14:solidFill>
                </w14:textFill>
              </w:rPr>
              <w:t>3</w:t>
            </w:r>
            <w:r>
              <w:rPr>
                <w:snapToGrid w:val="0"/>
                <w:color w:val="000000" w:themeColor="text1"/>
                <w:sz w:val="24"/>
                <w14:textFill>
                  <w14:solidFill>
                    <w14:schemeClr w14:val="tx1"/>
                  </w14:solidFill>
                </w14:textFill>
              </w:rPr>
              <w:t>/h，项目初期雨水仅收集前15min的雨水量，为</w:t>
            </w:r>
            <w:r>
              <w:rPr>
                <w:rFonts w:hint="eastAsia"/>
                <w:snapToGrid w:val="0"/>
                <w:color w:val="000000" w:themeColor="text1"/>
                <w:sz w:val="24"/>
                <w14:textFill>
                  <w14:solidFill>
                    <w14:schemeClr w14:val="tx1"/>
                  </w14:solidFill>
                </w14:textFill>
              </w:rPr>
              <w:t>22.7</w:t>
            </w:r>
            <w:r>
              <w:rPr>
                <w:snapToGrid w:val="0"/>
                <w:color w:val="000000" w:themeColor="text1"/>
                <w:sz w:val="24"/>
                <w14:textFill>
                  <w14:solidFill>
                    <w14:schemeClr w14:val="tx1"/>
                  </w14:solidFill>
                </w14:textFill>
              </w:rPr>
              <w:t>m</w:t>
            </w:r>
            <w:r>
              <w:rPr>
                <w:snapToGrid w:val="0"/>
                <w:color w:val="000000" w:themeColor="text1"/>
                <w:sz w:val="24"/>
                <w:vertAlign w:val="superscript"/>
                <w14:textFill>
                  <w14:solidFill>
                    <w14:schemeClr w14:val="tx1"/>
                  </w14:solidFill>
                </w14:textFill>
              </w:rPr>
              <w:t>3</w:t>
            </w:r>
            <w:r>
              <w:rPr>
                <w:snapToGrid w:val="0"/>
                <w:color w:val="000000" w:themeColor="text1"/>
                <w:sz w:val="24"/>
                <w14:textFill>
                  <w14:solidFill>
                    <w14:schemeClr w14:val="tx1"/>
                  </w14:solidFill>
                </w14:textFill>
              </w:rPr>
              <w:t>/次，项目设置1个容积</w:t>
            </w:r>
            <w:r>
              <w:rPr>
                <w:rFonts w:hint="eastAsia"/>
                <w:snapToGrid w:val="0"/>
                <w:color w:val="000000" w:themeColor="text1"/>
                <w:sz w:val="24"/>
                <w14:textFill>
                  <w14:solidFill>
                    <w14:schemeClr w14:val="tx1"/>
                  </w14:solidFill>
                </w14:textFill>
              </w:rPr>
              <w:t>3</w:t>
            </w:r>
            <w:r>
              <w:rPr>
                <w:snapToGrid w:val="0"/>
                <w:color w:val="000000" w:themeColor="text1"/>
                <w:sz w:val="24"/>
                <w14:textFill>
                  <w14:solidFill>
                    <w14:schemeClr w14:val="tx1"/>
                  </w14:solidFill>
                </w14:textFill>
              </w:rPr>
              <w:t>0m</w:t>
            </w:r>
            <w:r>
              <w:rPr>
                <w:snapToGrid w:val="0"/>
                <w:color w:val="000000" w:themeColor="text1"/>
                <w:sz w:val="24"/>
                <w:vertAlign w:val="superscript"/>
                <w14:textFill>
                  <w14:solidFill>
                    <w14:schemeClr w14:val="tx1"/>
                  </w14:solidFill>
                </w14:textFill>
              </w:rPr>
              <w:t>3</w:t>
            </w:r>
            <w:r>
              <w:rPr>
                <w:rFonts w:hint="eastAsia"/>
                <w:snapToGrid w:val="0"/>
                <w:color w:val="000000" w:themeColor="text1"/>
                <w:sz w:val="24"/>
                <w14:textFill>
                  <w14:solidFill>
                    <w14:schemeClr w14:val="tx1"/>
                  </w14:solidFill>
                </w14:textFill>
              </w:rPr>
              <w:t>初期雨水收集池</w:t>
            </w:r>
            <w:r>
              <w:rPr>
                <w:snapToGrid w:val="0"/>
                <w:color w:val="000000" w:themeColor="text1"/>
                <w:sz w:val="24"/>
                <w14:textFill>
                  <w14:solidFill>
                    <w14:schemeClr w14:val="tx1"/>
                  </w14:solidFill>
                </w14:textFill>
              </w:rPr>
              <w:t>，可满足初期雨水收集要求。</w:t>
            </w:r>
          </w:p>
          <w:p w14:paraId="101E66FC">
            <w:pPr>
              <w:pStyle w:val="7"/>
              <w:spacing w:line="360" w:lineRule="auto"/>
              <w:ind w:firstLine="480" w:firstLineChars="200"/>
              <w:jc w:val="left"/>
              <w:rPr>
                <w:rFonts w:eastAsia="宋体"/>
                <w:bCs/>
                <w:color w:val="000000" w:themeColor="text1"/>
                <w:sz w:val="24"/>
                <w14:textFill>
                  <w14:solidFill>
                    <w14:schemeClr w14:val="tx1"/>
                  </w14:solidFill>
                </w14:textFill>
              </w:rPr>
            </w:pPr>
            <w:r>
              <w:rPr>
                <w:rFonts w:hint="eastAsia" w:eastAsia="宋体"/>
                <w:bCs/>
                <w:color w:val="000000" w:themeColor="text1"/>
                <w:sz w:val="24"/>
                <w14:textFill>
                  <w14:solidFill>
                    <w14:schemeClr w14:val="tx1"/>
                  </w14:solidFill>
                </w14:textFill>
              </w:rPr>
              <w:t>根据昆明市气象台公布数据，昆明市近五年年平均降雨量为660mm（即0.66m），全年初期雨水收集总量计算式为：0.66（m）×5000（m</w:t>
            </w:r>
            <w:r>
              <w:rPr>
                <w:rFonts w:hint="eastAsia" w:eastAsia="宋体"/>
                <w:bCs/>
                <w:color w:val="000000" w:themeColor="text1"/>
                <w:sz w:val="24"/>
                <w:vertAlign w:val="superscript"/>
                <w14:textFill>
                  <w14:solidFill>
                    <w14:schemeClr w14:val="tx1"/>
                  </w14:solidFill>
                </w14:textFill>
              </w:rPr>
              <w:t>2</w:t>
            </w:r>
            <w:r>
              <w:rPr>
                <w:rFonts w:hint="eastAsia" w:eastAsia="宋体"/>
                <w:bCs/>
                <w:color w:val="000000" w:themeColor="text1"/>
                <w:sz w:val="24"/>
                <w14:textFill>
                  <w14:solidFill>
                    <w14:schemeClr w14:val="tx1"/>
                  </w14:solidFill>
                </w14:textFill>
              </w:rPr>
              <w:t>）×0.8（径流系数），则收集量为2640m</w:t>
            </w:r>
            <w:r>
              <w:rPr>
                <w:rFonts w:hint="eastAsia" w:eastAsia="宋体"/>
                <w:bCs/>
                <w:color w:val="000000" w:themeColor="text1"/>
                <w:sz w:val="24"/>
                <w:vertAlign w:val="superscript"/>
                <w14:textFill>
                  <w14:solidFill>
                    <w14:schemeClr w14:val="tx1"/>
                  </w14:solidFill>
                </w14:textFill>
              </w:rPr>
              <w:t>3</w:t>
            </w:r>
            <w:r>
              <w:rPr>
                <w:rFonts w:hint="eastAsia" w:eastAsia="宋体"/>
                <w:bCs/>
                <w:color w:val="000000" w:themeColor="text1"/>
                <w:sz w:val="24"/>
                <w14:textFill>
                  <w14:solidFill>
                    <w14:schemeClr w14:val="tx1"/>
                  </w14:solidFill>
                </w14:textFill>
              </w:rPr>
              <w:t>/a，13.9m</w:t>
            </w:r>
            <w:r>
              <w:rPr>
                <w:rFonts w:hint="eastAsia" w:eastAsia="宋体"/>
                <w:bCs/>
                <w:color w:val="000000" w:themeColor="text1"/>
                <w:sz w:val="24"/>
                <w:vertAlign w:val="superscript"/>
                <w14:textFill>
                  <w14:solidFill>
                    <w14:schemeClr w14:val="tx1"/>
                  </w14:solidFill>
                </w14:textFill>
              </w:rPr>
              <w:t>3</w:t>
            </w:r>
            <w:r>
              <w:rPr>
                <w:rFonts w:hint="eastAsia" w:eastAsia="宋体"/>
                <w:bCs/>
                <w:color w:val="000000" w:themeColor="text1"/>
                <w:sz w:val="24"/>
                <w14:textFill>
                  <w14:solidFill>
                    <w14:schemeClr w14:val="tx1"/>
                  </w14:solidFill>
                </w14:textFill>
              </w:rPr>
              <w:t>/d（降雨天数190天/年），初期雨水经初期雨水收集池收集沉淀后用于生产，不外排。</w:t>
            </w:r>
          </w:p>
          <w:p w14:paraId="19D274FF">
            <w:pPr>
              <w:adjustRightInd w:val="0"/>
              <w:snapToGrid w:val="0"/>
              <w:spacing w:line="360" w:lineRule="auto"/>
              <w:ind w:firstLine="480" w:firstLineChars="200"/>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w:t>
            </w:r>
            <w:r>
              <w:rPr>
                <w:rFonts w:hint="eastAsia" w:eastAsiaTheme="minorEastAsia"/>
                <w:bCs/>
                <w:color w:val="000000" w:themeColor="text1"/>
                <w:sz w:val="24"/>
                <w14:textFill>
                  <w14:solidFill>
                    <w14:schemeClr w14:val="tx1"/>
                  </w14:solidFill>
                </w14:textFill>
              </w:rPr>
              <w:t>3</w:t>
            </w:r>
            <w:r>
              <w:rPr>
                <w:rFonts w:eastAsiaTheme="minorEastAsia"/>
                <w:bCs/>
                <w:color w:val="000000" w:themeColor="text1"/>
                <w:sz w:val="24"/>
                <w14:textFill>
                  <w14:solidFill>
                    <w14:schemeClr w14:val="tx1"/>
                  </w14:solidFill>
                </w14:textFill>
              </w:rPr>
              <w:t>）生活</w:t>
            </w:r>
            <w:r>
              <w:rPr>
                <w:rFonts w:hint="eastAsia" w:eastAsiaTheme="minorEastAsia"/>
                <w:bCs/>
                <w:color w:val="000000" w:themeColor="text1"/>
                <w:sz w:val="24"/>
                <w14:textFill>
                  <w14:solidFill>
                    <w14:schemeClr w14:val="tx1"/>
                  </w14:solidFill>
                </w14:textFill>
              </w:rPr>
              <w:t>用水及</w:t>
            </w:r>
            <w:r>
              <w:rPr>
                <w:rFonts w:eastAsiaTheme="minorEastAsia"/>
                <w:bCs/>
                <w:color w:val="000000" w:themeColor="text1"/>
                <w:sz w:val="24"/>
                <w14:textFill>
                  <w14:solidFill>
                    <w14:schemeClr w14:val="tx1"/>
                  </w14:solidFill>
                </w14:textFill>
              </w:rPr>
              <w:t>污水</w:t>
            </w:r>
          </w:p>
          <w:p w14:paraId="687A244C">
            <w:pPr>
              <w:adjustRightInd w:val="0"/>
              <w:snapToGrid w:val="0"/>
              <w:spacing w:line="360" w:lineRule="auto"/>
              <w:ind w:firstLine="480" w:firstLineChars="200"/>
              <w:rPr>
                <w:rFonts w:eastAsiaTheme="minorEastAsia"/>
                <w:bCs/>
                <w:color w:val="000000" w:themeColor="text1"/>
                <w:kern w:val="0"/>
                <w:sz w:val="24"/>
                <w:szCs w:val="22"/>
                <w14:textFill>
                  <w14:solidFill>
                    <w14:schemeClr w14:val="tx1"/>
                  </w14:solidFill>
                </w14:textFill>
              </w:rPr>
            </w:pPr>
            <w:r>
              <w:rPr>
                <w:rFonts w:eastAsiaTheme="minorEastAsia"/>
                <w:bCs/>
                <w:color w:val="000000" w:themeColor="text1"/>
                <w:kern w:val="0"/>
                <w:sz w:val="24"/>
                <w:szCs w:val="22"/>
                <w14:textFill>
                  <w14:solidFill>
                    <w14:schemeClr w14:val="tx1"/>
                  </w14:solidFill>
                </w14:textFill>
              </w:rPr>
              <w:t>本项目劳动定员</w:t>
            </w:r>
            <w:r>
              <w:rPr>
                <w:rFonts w:hint="eastAsia" w:eastAsiaTheme="minorEastAsia"/>
                <w:bCs/>
                <w:color w:val="000000" w:themeColor="text1"/>
                <w:kern w:val="0"/>
                <w:sz w:val="24"/>
                <w:szCs w:val="22"/>
                <w14:textFill>
                  <w14:solidFill>
                    <w14:schemeClr w14:val="tx1"/>
                  </w14:solidFill>
                </w14:textFill>
              </w:rPr>
              <w:t>10</w:t>
            </w:r>
            <w:r>
              <w:rPr>
                <w:rFonts w:eastAsiaTheme="minorEastAsia"/>
                <w:bCs/>
                <w:color w:val="000000" w:themeColor="text1"/>
                <w:kern w:val="0"/>
                <w:sz w:val="24"/>
                <w:szCs w:val="22"/>
                <w14:textFill>
                  <w14:solidFill>
                    <w14:schemeClr w14:val="tx1"/>
                  </w14:solidFill>
                </w14:textFill>
              </w:rPr>
              <w:t>人，</w:t>
            </w:r>
            <w:r>
              <w:rPr>
                <w:rFonts w:hint="eastAsia" w:eastAsiaTheme="minorEastAsia"/>
                <w:bCs/>
                <w:color w:val="000000" w:themeColor="text1"/>
                <w:kern w:val="0"/>
                <w:sz w:val="24"/>
                <w:szCs w:val="22"/>
                <w14:textFill>
                  <w14:solidFill>
                    <w14:schemeClr w14:val="tx1"/>
                  </w14:solidFill>
                </w14:textFill>
              </w:rPr>
              <w:t>管理人员2人，员工8人，员工均为当地的村民，不在项目区食宿；管理人员依托云南建工云岭水泥有限公司已建的配套宿舍和食堂。</w:t>
            </w:r>
            <w:r>
              <w:rPr>
                <w:rFonts w:eastAsiaTheme="minorEastAsia"/>
                <w:bCs/>
                <w:color w:val="000000" w:themeColor="text1"/>
                <w:kern w:val="0"/>
                <w:sz w:val="24"/>
                <w:szCs w:val="22"/>
                <w14:textFill>
                  <w14:solidFill>
                    <w14:schemeClr w14:val="tx1"/>
                  </w14:solidFill>
                </w14:textFill>
              </w:rPr>
              <w:t>根据《云南省地方标准用水定额》（DB53/T168-20</w:t>
            </w:r>
            <w:r>
              <w:rPr>
                <w:rFonts w:hint="eastAsia" w:eastAsiaTheme="minorEastAsia"/>
                <w:bCs/>
                <w:color w:val="000000" w:themeColor="text1"/>
                <w:kern w:val="0"/>
                <w:sz w:val="24"/>
                <w:szCs w:val="22"/>
                <w14:textFill>
                  <w14:solidFill>
                    <w14:schemeClr w14:val="tx1"/>
                  </w14:solidFill>
                </w14:textFill>
              </w:rPr>
              <w:t>26</w:t>
            </w:r>
            <w:r>
              <w:rPr>
                <w:rFonts w:eastAsiaTheme="minorEastAsia"/>
                <w:bCs/>
                <w:color w:val="000000" w:themeColor="text1"/>
                <w:kern w:val="0"/>
                <w:sz w:val="24"/>
                <w:szCs w:val="22"/>
                <w14:textFill>
                  <w14:solidFill>
                    <w14:schemeClr w14:val="tx1"/>
                  </w14:solidFill>
                </w14:textFill>
              </w:rPr>
              <w:t>），中小城市用水定额为110L/(人·d)，本项目</w:t>
            </w:r>
            <w:r>
              <w:rPr>
                <w:rFonts w:hint="eastAsia" w:eastAsiaTheme="minorEastAsia"/>
                <w:bCs/>
                <w:color w:val="000000" w:themeColor="text1"/>
                <w:kern w:val="0"/>
                <w:sz w:val="24"/>
                <w:szCs w:val="22"/>
                <w14:textFill>
                  <w14:solidFill>
                    <w14:schemeClr w14:val="tx1"/>
                  </w14:solidFill>
                </w14:textFill>
              </w:rPr>
              <w:t>管理人员按</w:t>
            </w:r>
            <w:r>
              <w:rPr>
                <w:rFonts w:eastAsiaTheme="minorEastAsia"/>
                <w:bCs/>
                <w:color w:val="000000" w:themeColor="text1"/>
                <w:kern w:val="0"/>
                <w:sz w:val="24"/>
                <w:szCs w:val="22"/>
                <w14:textFill>
                  <w14:solidFill>
                    <w14:schemeClr w14:val="tx1"/>
                  </w14:solidFill>
                </w14:textFill>
              </w:rPr>
              <w:t>110L/(人·d)</w:t>
            </w:r>
            <w:r>
              <w:rPr>
                <w:rFonts w:hint="eastAsia" w:eastAsiaTheme="minorEastAsia"/>
                <w:bCs/>
                <w:color w:val="000000" w:themeColor="text1"/>
                <w:kern w:val="0"/>
                <w:sz w:val="24"/>
                <w:szCs w:val="22"/>
                <w14:textFill>
                  <w14:solidFill>
                    <w14:schemeClr w14:val="tx1"/>
                  </w14:solidFill>
                </w14:textFill>
              </w:rPr>
              <w:t>计</w:t>
            </w:r>
            <w:r>
              <w:rPr>
                <w:rFonts w:eastAsiaTheme="minorEastAsia"/>
                <w:bCs/>
                <w:color w:val="000000" w:themeColor="text1"/>
                <w:kern w:val="0"/>
                <w:sz w:val="24"/>
                <w:szCs w:val="22"/>
                <w14:textFill>
                  <w14:solidFill>
                    <w14:schemeClr w14:val="tx1"/>
                  </w14:solidFill>
                </w14:textFill>
              </w:rPr>
              <w:t>，员工不在项目区</w:t>
            </w:r>
            <w:r>
              <w:rPr>
                <w:rFonts w:hint="eastAsia" w:eastAsiaTheme="minorEastAsia"/>
                <w:bCs/>
                <w:color w:val="000000" w:themeColor="text1"/>
                <w:kern w:val="0"/>
                <w:sz w:val="24"/>
                <w:szCs w:val="22"/>
                <w14:textFill>
                  <w14:solidFill>
                    <w14:schemeClr w14:val="tx1"/>
                  </w14:solidFill>
                </w14:textFill>
              </w:rPr>
              <w:t>食宿</w:t>
            </w:r>
            <w:r>
              <w:rPr>
                <w:rFonts w:eastAsiaTheme="minorEastAsia"/>
                <w:bCs/>
                <w:color w:val="000000" w:themeColor="text1"/>
                <w:kern w:val="0"/>
                <w:sz w:val="24"/>
                <w:szCs w:val="22"/>
                <w14:textFill>
                  <w14:solidFill>
                    <w14:schemeClr w14:val="tx1"/>
                  </w14:solidFill>
                </w14:textFill>
              </w:rPr>
              <w:t>，按</w:t>
            </w:r>
            <w:r>
              <w:rPr>
                <w:rFonts w:hint="eastAsia" w:eastAsiaTheme="minorEastAsia"/>
                <w:bCs/>
                <w:color w:val="000000" w:themeColor="text1"/>
                <w:kern w:val="0"/>
                <w:sz w:val="24"/>
                <w:szCs w:val="22"/>
                <w14:textFill>
                  <w14:solidFill>
                    <w14:schemeClr w14:val="tx1"/>
                  </w14:solidFill>
                </w14:textFill>
              </w:rPr>
              <w:t>2</w:t>
            </w:r>
            <w:r>
              <w:rPr>
                <w:rFonts w:eastAsiaTheme="minorEastAsia"/>
                <w:bCs/>
                <w:color w:val="000000" w:themeColor="text1"/>
                <w:kern w:val="0"/>
                <w:sz w:val="24"/>
                <w:szCs w:val="22"/>
                <w14:textFill>
                  <w14:solidFill>
                    <w14:schemeClr w14:val="tx1"/>
                  </w14:solidFill>
                </w14:textFill>
              </w:rPr>
              <w:t>0L/(人·d)计，则用水量为</w:t>
            </w:r>
            <w:r>
              <w:rPr>
                <w:rFonts w:hint="eastAsia" w:eastAsiaTheme="minorEastAsia"/>
                <w:bCs/>
                <w:color w:val="000000" w:themeColor="text1"/>
                <w:kern w:val="0"/>
                <w:sz w:val="24"/>
                <w:szCs w:val="22"/>
                <w14:textFill>
                  <w14:solidFill>
                    <w14:schemeClr w14:val="tx1"/>
                  </w14:solidFill>
                </w14:textFill>
              </w:rPr>
              <w:t>0.38</w:t>
            </w:r>
            <w:r>
              <w:rPr>
                <w:rFonts w:eastAsiaTheme="minorEastAsia"/>
                <w:bCs/>
                <w:color w:val="000000" w:themeColor="text1"/>
                <w:kern w:val="0"/>
                <w:sz w:val="24"/>
                <w:szCs w:val="22"/>
                <w14:textFill>
                  <w14:solidFill>
                    <w14:schemeClr w14:val="tx1"/>
                  </w14:solidFill>
                </w14:textFill>
              </w:rPr>
              <w:t>m</w:t>
            </w:r>
            <w:r>
              <w:rPr>
                <w:rFonts w:eastAsiaTheme="minorEastAsia"/>
                <w:bCs/>
                <w:color w:val="000000" w:themeColor="text1"/>
                <w:kern w:val="0"/>
                <w:sz w:val="24"/>
                <w:szCs w:val="22"/>
                <w:vertAlign w:val="superscript"/>
                <w14:textFill>
                  <w14:solidFill>
                    <w14:schemeClr w14:val="tx1"/>
                  </w14:solidFill>
                </w14:textFill>
              </w:rPr>
              <w:t>3</w:t>
            </w:r>
            <w:r>
              <w:rPr>
                <w:rFonts w:eastAsiaTheme="minorEastAsia"/>
                <w:bCs/>
                <w:color w:val="000000" w:themeColor="text1"/>
                <w:kern w:val="0"/>
                <w:sz w:val="24"/>
                <w:szCs w:val="22"/>
                <w14:textFill>
                  <w14:solidFill>
                    <w14:schemeClr w14:val="tx1"/>
                  </w14:solidFill>
                </w14:textFill>
              </w:rPr>
              <w:t>/d（</w:t>
            </w:r>
            <w:r>
              <w:rPr>
                <w:rFonts w:hint="eastAsia" w:eastAsiaTheme="minorEastAsia"/>
                <w:bCs/>
                <w:color w:val="000000" w:themeColor="text1"/>
                <w:kern w:val="0"/>
                <w:sz w:val="24"/>
                <w:szCs w:val="22"/>
                <w14:textFill>
                  <w14:solidFill>
                    <w14:schemeClr w14:val="tx1"/>
                  </w14:solidFill>
                </w14:textFill>
              </w:rPr>
              <w:t>114</w:t>
            </w:r>
            <w:r>
              <w:rPr>
                <w:rFonts w:eastAsiaTheme="minorEastAsia"/>
                <w:bCs/>
                <w:color w:val="000000" w:themeColor="text1"/>
                <w:kern w:val="0"/>
                <w:sz w:val="24"/>
                <w:szCs w:val="22"/>
                <w14:textFill>
                  <w14:solidFill>
                    <w14:schemeClr w14:val="tx1"/>
                  </w14:solidFill>
                </w14:textFill>
              </w:rPr>
              <w:t>m</w:t>
            </w:r>
            <w:r>
              <w:rPr>
                <w:rFonts w:eastAsiaTheme="minorEastAsia"/>
                <w:bCs/>
                <w:color w:val="000000" w:themeColor="text1"/>
                <w:kern w:val="0"/>
                <w:sz w:val="24"/>
                <w:szCs w:val="22"/>
                <w:vertAlign w:val="superscript"/>
                <w14:textFill>
                  <w14:solidFill>
                    <w14:schemeClr w14:val="tx1"/>
                  </w14:solidFill>
                </w14:textFill>
              </w:rPr>
              <w:t>3</w:t>
            </w:r>
            <w:r>
              <w:rPr>
                <w:rFonts w:eastAsiaTheme="minorEastAsia"/>
                <w:bCs/>
                <w:color w:val="000000" w:themeColor="text1"/>
                <w:kern w:val="0"/>
                <w:sz w:val="24"/>
                <w:szCs w:val="22"/>
                <w14:textFill>
                  <w14:solidFill>
                    <w14:schemeClr w14:val="tx1"/>
                  </w14:solidFill>
                </w14:textFill>
              </w:rPr>
              <w:t>/a），排污系数按0.8计，则生活污水产生总量为</w:t>
            </w:r>
            <w:r>
              <w:rPr>
                <w:rFonts w:hint="eastAsia" w:eastAsiaTheme="minorEastAsia"/>
                <w:bCs/>
                <w:color w:val="000000" w:themeColor="text1"/>
                <w:kern w:val="0"/>
                <w:sz w:val="24"/>
                <w:szCs w:val="22"/>
                <w14:textFill>
                  <w14:solidFill>
                    <w14:schemeClr w14:val="tx1"/>
                  </w14:solidFill>
                </w14:textFill>
              </w:rPr>
              <w:t>0.304</w:t>
            </w:r>
            <w:r>
              <w:rPr>
                <w:rFonts w:eastAsiaTheme="minorEastAsia"/>
                <w:bCs/>
                <w:color w:val="000000" w:themeColor="text1"/>
                <w:kern w:val="0"/>
                <w:sz w:val="24"/>
                <w:szCs w:val="22"/>
                <w14:textFill>
                  <w14:solidFill>
                    <w14:schemeClr w14:val="tx1"/>
                  </w14:solidFill>
                </w14:textFill>
              </w:rPr>
              <w:t>m</w:t>
            </w:r>
            <w:r>
              <w:rPr>
                <w:rFonts w:eastAsiaTheme="minorEastAsia"/>
                <w:bCs/>
                <w:color w:val="000000" w:themeColor="text1"/>
                <w:kern w:val="0"/>
                <w:sz w:val="24"/>
                <w:szCs w:val="22"/>
                <w:vertAlign w:val="superscript"/>
                <w14:textFill>
                  <w14:solidFill>
                    <w14:schemeClr w14:val="tx1"/>
                  </w14:solidFill>
                </w14:textFill>
              </w:rPr>
              <w:t>3</w:t>
            </w:r>
            <w:r>
              <w:rPr>
                <w:rFonts w:eastAsiaTheme="minorEastAsia"/>
                <w:bCs/>
                <w:color w:val="000000" w:themeColor="text1"/>
                <w:kern w:val="0"/>
                <w:sz w:val="24"/>
                <w:szCs w:val="22"/>
                <w14:textFill>
                  <w14:solidFill>
                    <w14:schemeClr w14:val="tx1"/>
                  </w14:solidFill>
                </w14:textFill>
              </w:rPr>
              <w:t>/d（</w:t>
            </w:r>
            <w:r>
              <w:rPr>
                <w:rFonts w:hint="eastAsia" w:eastAsiaTheme="minorEastAsia"/>
                <w:bCs/>
                <w:color w:val="000000" w:themeColor="text1"/>
                <w:kern w:val="0"/>
                <w:sz w:val="24"/>
                <w:szCs w:val="22"/>
                <w14:textFill>
                  <w14:solidFill>
                    <w14:schemeClr w14:val="tx1"/>
                  </w14:solidFill>
                </w14:textFill>
              </w:rPr>
              <w:t>91.2</w:t>
            </w:r>
            <w:r>
              <w:rPr>
                <w:rFonts w:eastAsiaTheme="minorEastAsia"/>
                <w:bCs/>
                <w:color w:val="000000" w:themeColor="text1"/>
                <w:kern w:val="0"/>
                <w:sz w:val="24"/>
                <w:szCs w:val="22"/>
                <w14:textFill>
                  <w14:solidFill>
                    <w14:schemeClr w14:val="tx1"/>
                  </w14:solidFill>
                </w14:textFill>
              </w:rPr>
              <w:t>m</w:t>
            </w:r>
            <w:r>
              <w:rPr>
                <w:rFonts w:eastAsiaTheme="minorEastAsia"/>
                <w:bCs/>
                <w:color w:val="000000" w:themeColor="text1"/>
                <w:kern w:val="0"/>
                <w:sz w:val="24"/>
                <w:szCs w:val="22"/>
                <w:vertAlign w:val="superscript"/>
                <w14:textFill>
                  <w14:solidFill>
                    <w14:schemeClr w14:val="tx1"/>
                  </w14:solidFill>
                </w14:textFill>
              </w:rPr>
              <w:t>3</w:t>
            </w:r>
            <w:r>
              <w:rPr>
                <w:rFonts w:eastAsiaTheme="minorEastAsia"/>
                <w:bCs/>
                <w:color w:val="000000" w:themeColor="text1"/>
                <w:kern w:val="0"/>
                <w:sz w:val="24"/>
                <w:szCs w:val="22"/>
                <w14:textFill>
                  <w14:solidFill>
                    <w14:schemeClr w14:val="tx1"/>
                  </w14:solidFill>
                </w14:textFill>
              </w:rPr>
              <w:t>/a）。</w:t>
            </w:r>
            <w:r>
              <w:rPr>
                <w:rFonts w:hint="eastAsia" w:eastAsiaTheme="minorEastAsia"/>
                <w:bCs/>
                <w:color w:val="000000" w:themeColor="text1"/>
                <w:kern w:val="0"/>
                <w:sz w:val="24"/>
                <w:szCs w:val="22"/>
                <w14:textFill>
                  <w14:solidFill>
                    <w14:schemeClr w14:val="tx1"/>
                  </w14:solidFill>
                </w14:textFill>
              </w:rPr>
              <w:t>生活污水</w:t>
            </w:r>
            <w:r>
              <w:rPr>
                <w:rFonts w:eastAsiaTheme="minorEastAsia"/>
                <w:bCs/>
                <w:color w:val="000000" w:themeColor="text1"/>
                <w:kern w:val="0"/>
                <w:sz w:val="24"/>
                <w:szCs w:val="22"/>
                <w14:textFill>
                  <w14:solidFill>
                    <w14:schemeClr w14:val="tx1"/>
                  </w14:solidFill>
                </w14:textFill>
              </w:rPr>
              <w:t>进入</w:t>
            </w:r>
            <w:r>
              <w:rPr>
                <w:rFonts w:hint="eastAsia" w:eastAsiaTheme="minorEastAsia"/>
                <w:bCs/>
                <w:color w:val="000000" w:themeColor="text1"/>
                <w:kern w:val="0"/>
                <w:sz w:val="24"/>
                <w:szCs w:val="22"/>
                <w14:textFill>
                  <w14:solidFill>
                    <w14:schemeClr w14:val="tx1"/>
                  </w14:solidFill>
                </w14:textFill>
              </w:rPr>
              <w:t>云南建工云岭水泥有限公司已建60</w:t>
            </w:r>
            <w:r>
              <w:rPr>
                <w:rFonts w:eastAsiaTheme="minorEastAsia"/>
                <w:bCs/>
                <w:color w:val="000000" w:themeColor="text1"/>
                <w:kern w:val="0"/>
                <w:sz w:val="24"/>
                <w:szCs w:val="22"/>
                <w14:textFill>
                  <w14:solidFill>
                    <w14:schemeClr w14:val="tx1"/>
                  </w14:solidFill>
                </w14:textFill>
              </w:rPr>
              <w:t>m</w:t>
            </w:r>
            <w:r>
              <w:rPr>
                <w:rFonts w:eastAsiaTheme="minorEastAsia"/>
                <w:bCs/>
                <w:color w:val="000000" w:themeColor="text1"/>
                <w:kern w:val="0"/>
                <w:sz w:val="24"/>
                <w:szCs w:val="22"/>
                <w:vertAlign w:val="superscript"/>
                <w14:textFill>
                  <w14:solidFill>
                    <w14:schemeClr w14:val="tx1"/>
                  </w14:solidFill>
                </w14:textFill>
              </w:rPr>
              <w:t>3</w:t>
            </w:r>
            <w:r>
              <w:rPr>
                <w:rFonts w:eastAsiaTheme="minorEastAsia"/>
                <w:bCs/>
                <w:color w:val="000000" w:themeColor="text1"/>
                <w:kern w:val="0"/>
                <w:sz w:val="24"/>
                <w:szCs w:val="22"/>
                <w14:textFill>
                  <w14:solidFill>
                    <w14:schemeClr w14:val="tx1"/>
                  </w14:solidFill>
                </w14:textFill>
              </w:rPr>
              <w:t>化粪池处理，最终</w:t>
            </w:r>
            <w:r>
              <w:rPr>
                <w:rFonts w:hint="eastAsia" w:eastAsiaTheme="minorEastAsia"/>
                <w:bCs/>
                <w:color w:val="000000" w:themeColor="text1"/>
                <w:kern w:val="0"/>
                <w:sz w:val="24"/>
                <w:szCs w:val="22"/>
                <w14:textFill>
                  <w14:solidFill>
                    <w14:schemeClr w14:val="tx1"/>
                  </w14:solidFill>
                </w14:textFill>
              </w:rPr>
              <w:t>进入已建的一体化污水处理设备进行处理达标后，回用绿化和洒水降尘</w:t>
            </w:r>
            <w:r>
              <w:rPr>
                <w:rFonts w:eastAsiaTheme="minorEastAsia"/>
                <w:bCs/>
                <w:color w:val="000000" w:themeColor="text1"/>
                <w:kern w:val="0"/>
                <w:sz w:val="24"/>
                <w:szCs w:val="22"/>
                <w14:textFill>
                  <w14:solidFill>
                    <w14:schemeClr w14:val="tx1"/>
                  </w14:solidFill>
                </w14:textFill>
              </w:rPr>
              <w:t>。</w:t>
            </w:r>
          </w:p>
          <w:p w14:paraId="3E8A18E2">
            <w:pPr>
              <w:tabs>
                <w:tab w:val="center" w:pos="4026"/>
              </w:tabs>
              <w:adjustRightInd w:val="0"/>
              <w:snapToGrid w:val="0"/>
              <w:spacing w:line="360" w:lineRule="auto"/>
              <w:ind w:firstLine="480" w:firstLineChars="200"/>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项目用水量及污水产排情况见表</w:t>
            </w:r>
            <w:r>
              <w:rPr>
                <w:rFonts w:hint="eastAsia" w:eastAsiaTheme="minorEastAsia"/>
                <w:bCs/>
                <w:color w:val="000000" w:themeColor="text1"/>
                <w:sz w:val="24"/>
                <w14:textFill>
                  <w14:solidFill>
                    <w14:schemeClr w14:val="tx1"/>
                  </w14:solidFill>
                </w14:textFill>
              </w:rPr>
              <w:t>2</w:t>
            </w:r>
            <w:r>
              <w:rPr>
                <w:rFonts w:eastAsiaTheme="minorEastAsia"/>
                <w:bCs/>
                <w:color w:val="000000" w:themeColor="text1"/>
                <w:sz w:val="24"/>
                <w14:textFill>
                  <w14:solidFill>
                    <w14:schemeClr w14:val="tx1"/>
                  </w14:solidFill>
                </w14:textFill>
              </w:rPr>
              <w:t>-</w:t>
            </w:r>
            <w:r>
              <w:rPr>
                <w:rFonts w:hint="eastAsia" w:eastAsiaTheme="minorEastAsia"/>
                <w:bCs/>
                <w:color w:val="000000" w:themeColor="text1"/>
                <w:sz w:val="24"/>
                <w14:textFill>
                  <w14:solidFill>
                    <w14:schemeClr w14:val="tx1"/>
                  </w14:solidFill>
                </w14:textFill>
              </w:rPr>
              <w:t>10</w:t>
            </w:r>
            <w:r>
              <w:rPr>
                <w:rFonts w:eastAsiaTheme="minorEastAsia"/>
                <w:bCs/>
                <w:color w:val="000000" w:themeColor="text1"/>
                <w:sz w:val="24"/>
                <w14:textFill>
                  <w14:solidFill>
                    <w14:schemeClr w14:val="tx1"/>
                  </w14:solidFill>
                </w14:textFill>
              </w:rPr>
              <w:t>，项目最大日水量平衡图见图</w:t>
            </w:r>
            <w:r>
              <w:rPr>
                <w:rFonts w:hint="eastAsia" w:eastAsiaTheme="minorEastAsia"/>
                <w:bCs/>
                <w:color w:val="000000" w:themeColor="text1"/>
                <w:sz w:val="24"/>
                <w14:textFill>
                  <w14:solidFill>
                    <w14:schemeClr w14:val="tx1"/>
                  </w14:solidFill>
                </w14:textFill>
              </w:rPr>
              <w:t>2</w:t>
            </w:r>
            <w:r>
              <w:rPr>
                <w:rFonts w:eastAsiaTheme="minorEastAsia"/>
                <w:bCs/>
                <w:color w:val="000000" w:themeColor="text1"/>
                <w:sz w:val="24"/>
                <w14:textFill>
                  <w14:solidFill>
                    <w14:schemeClr w14:val="tx1"/>
                  </w14:solidFill>
                </w14:textFill>
              </w:rPr>
              <w:t>-</w:t>
            </w:r>
            <w:r>
              <w:rPr>
                <w:rFonts w:hint="eastAsia" w:eastAsiaTheme="minorEastAsia"/>
                <w:bCs/>
                <w:color w:val="000000" w:themeColor="text1"/>
                <w:sz w:val="24"/>
                <w14:textFill>
                  <w14:solidFill>
                    <w14:schemeClr w14:val="tx1"/>
                  </w14:solidFill>
                </w14:textFill>
              </w:rPr>
              <w:t>3</w:t>
            </w:r>
            <w:r>
              <w:rPr>
                <w:rFonts w:eastAsiaTheme="minorEastAsia"/>
                <w:bCs/>
                <w:color w:val="000000" w:themeColor="text1"/>
                <w:sz w:val="24"/>
                <w14:textFill>
                  <w14:solidFill>
                    <w14:schemeClr w14:val="tx1"/>
                  </w14:solidFill>
                </w14:textFill>
              </w:rPr>
              <w:t>。</w:t>
            </w:r>
          </w:p>
          <w:p w14:paraId="666A05AE">
            <w:pPr>
              <w:jc w:val="center"/>
              <w:rPr>
                <w:rFonts w:eastAsiaTheme="minorEastAsia"/>
                <w:b/>
                <w:color w:val="000000" w:themeColor="text1"/>
                <w:szCs w:val="21"/>
                <w14:textFill>
                  <w14:solidFill>
                    <w14:schemeClr w14:val="tx1"/>
                  </w14:solidFill>
                </w14:textFill>
              </w:rPr>
            </w:pPr>
            <w:r>
              <w:rPr>
                <w:rFonts w:eastAsiaTheme="minorEastAsia"/>
                <w:b/>
                <w:color w:val="000000" w:themeColor="text1"/>
                <w:szCs w:val="21"/>
                <w14:textFill>
                  <w14:solidFill>
                    <w14:schemeClr w14:val="tx1"/>
                  </w14:solidFill>
                </w14:textFill>
              </w:rPr>
              <w:t>表</w:t>
            </w:r>
            <w:r>
              <w:rPr>
                <w:rFonts w:hint="eastAsia" w:eastAsiaTheme="minorEastAsia"/>
                <w:b/>
                <w:color w:val="000000" w:themeColor="text1"/>
                <w:szCs w:val="21"/>
                <w14:textFill>
                  <w14:solidFill>
                    <w14:schemeClr w14:val="tx1"/>
                  </w14:solidFill>
                </w14:textFill>
              </w:rPr>
              <w:t>2</w:t>
            </w:r>
            <w:r>
              <w:rPr>
                <w:rFonts w:eastAsiaTheme="minorEastAsia"/>
                <w:b/>
                <w:color w:val="000000" w:themeColor="text1"/>
                <w:szCs w:val="21"/>
                <w14:textFill>
                  <w14:solidFill>
                    <w14:schemeClr w14:val="tx1"/>
                  </w14:solidFill>
                </w14:textFill>
              </w:rPr>
              <w:t>-</w:t>
            </w:r>
            <w:r>
              <w:rPr>
                <w:rFonts w:hint="eastAsia" w:eastAsiaTheme="minorEastAsia"/>
                <w:b/>
                <w:color w:val="000000" w:themeColor="text1"/>
                <w:szCs w:val="21"/>
                <w14:textFill>
                  <w14:solidFill>
                    <w14:schemeClr w14:val="tx1"/>
                  </w14:solidFill>
                </w14:textFill>
              </w:rPr>
              <w:t>10</w:t>
            </w:r>
            <w:r>
              <w:rPr>
                <w:rFonts w:eastAsiaTheme="minorEastAsia"/>
                <w:b/>
                <w:color w:val="000000" w:themeColor="text1"/>
                <w:szCs w:val="21"/>
                <w14:textFill>
                  <w14:solidFill>
                    <w14:schemeClr w14:val="tx1"/>
                  </w14:solidFill>
                </w14:textFill>
              </w:rPr>
              <w:t xml:space="preserve">  项目用水及污水产排情况</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836"/>
              <w:gridCol w:w="1431"/>
              <w:gridCol w:w="1356"/>
              <w:gridCol w:w="1450"/>
              <w:gridCol w:w="1214"/>
            </w:tblGrid>
            <w:tr w14:paraId="479C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484" w:type="dxa"/>
                  <w:gridSpan w:val="2"/>
                  <w:tcBorders>
                    <w:top w:val="single" w:color="auto" w:sz="4" w:space="0"/>
                    <w:left w:val="single" w:color="auto" w:sz="4" w:space="0"/>
                    <w:bottom w:val="single" w:color="auto" w:sz="4" w:space="0"/>
                    <w:right w:val="single" w:color="auto" w:sz="4" w:space="0"/>
                  </w:tcBorders>
                  <w:vAlign w:val="center"/>
                </w:tcPr>
                <w:p w14:paraId="19525EA1">
                  <w:pPr>
                    <w:jc w:val="center"/>
                    <w:rPr>
                      <w:rFonts w:eastAsiaTheme="minorEastAsia"/>
                      <w:b/>
                      <w:color w:val="000000" w:themeColor="text1"/>
                      <w:kern w:val="0"/>
                      <w:szCs w:val="21"/>
                      <w14:textFill>
                        <w14:solidFill>
                          <w14:schemeClr w14:val="tx1"/>
                        </w14:solidFill>
                      </w14:textFill>
                    </w:rPr>
                  </w:pPr>
                  <w:r>
                    <w:rPr>
                      <w:rFonts w:eastAsiaTheme="minorEastAsia"/>
                      <w:b/>
                      <w:color w:val="000000" w:themeColor="text1"/>
                      <w:kern w:val="0"/>
                      <w:szCs w:val="21"/>
                      <w14:textFill>
                        <w14:solidFill>
                          <w14:schemeClr w14:val="tx1"/>
                        </w14:solidFill>
                      </w14:textFill>
                    </w:rPr>
                    <w:t>用水项目</w:t>
                  </w:r>
                </w:p>
              </w:tc>
              <w:tc>
                <w:tcPr>
                  <w:tcW w:w="1431" w:type="dxa"/>
                  <w:tcBorders>
                    <w:top w:val="single" w:color="auto" w:sz="4" w:space="0"/>
                    <w:left w:val="single" w:color="auto" w:sz="4" w:space="0"/>
                    <w:bottom w:val="single" w:color="auto" w:sz="4" w:space="0"/>
                    <w:right w:val="single" w:color="auto" w:sz="4" w:space="0"/>
                  </w:tcBorders>
                  <w:vAlign w:val="center"/>
                </w:tcPr>
                <w:p w14:paraId="3FD8BA2A">
                  <w:pPr>
                    <w:jc w:val="center"/>
                    <w:rPr>
                      <w:rFonts w:eastAsiaTheme="minorEastAsia"/>
                      <w:b/>
                      <w:color w:val="000000" w:themeColor="text1"/>
                      <w:kern w:val="0"/>
                      <w:szCs w:val="21"/>
                      <w14:textFill>
                        <w14:solidFill>
                          <w14:schemeClr w14:val="tx1"/>
                        </w14:solidFill>
                      </w14:textFill>
                    </w:rPr>
                  </w:pPr>
                  <w:r>
                    <w:rPr>
                      <w:rFonts w:eastAsiaTheme="minorEastAsia"/>
                      <w:b/>
                      <w:color w:val="000000" w:themeColor="text1"/>
                      <w:kern w:val="0"/>
                      <w:szCs w:val="21"/>
                      <w14:textFill>
                        <w14:solidFill>
                          <w14:schemeClr w14:val="tx1"/>
                        </w14:solidFill>
                      </w14:textFill>
                    </w:rPr>
                    <w:t>日用水量（m</w:t>
                  </w:r>
                  <w:r>
                    <w:rPr>
                      <w:rFonts w:eastAsiaTheme="minorEastAsia"/>
                      <w:b/>
                      <w:color w:val="000000" w:themeColor="text1"/>
                      <w:kern w:val="0"/>
                      <w:szCs w:val="21"/>
                      <w:vertAlign w:val="superscript"/>
                      <w14:textFill>
                        <w14:solidFill>
                          <w14:schemeClr w14:val="tx1"/>
                        </w14:solidFill>
                      </w14:textFill>
                    </w:rPr>
                    <w:t>3</w:t>
                  </w:r>
                  <w:r>
                    <w:rPr>
                      <w:rFonts w:eastAsiaTheme="minorEastAsia"/>
                      <w:b/>
                      <w:color w:val="000000" w:themeColor="text1"/>
                      <w:kern w:val="0"/>
                      <w:szCs w:val="21"/>
                      <w14:textFill>
                        <w14:solidFill>
                          <w14:schemeClr w14:val="tx1"/>
                        </w14:solidFill>
                      </w14:textFill>
                    </w:rPr>
                    <w:t>/d）</w:t>
                  </w:r>
                </w:p>
              </w:tc>
              <w:tc>
                <w:tcPr>
                  <w:tcW w:w="1356" w:type="dxa"/>
                  <w:tcBorders>
                    <w:top w:val="single" w:color="auto" w:sz="4" w:space="0"/>
                    <w:left w:val="single" w:color="auto" w:sz="4" w:space="0"/>
                    <w:bottom w:val="single" w:color="auto" w:sz="4" w:space="0"/>
                    <w:right w:val="single" w:color="auto" w:sz="4" w:space="0"/>
                  </w:tcBorders>
                  <w:vAlign w:val="center"/>
                </w:tcPr>
                <w:p w14:paraId="201A8EF8">
                  <w:pPr>
                    <w:jc w:val="center"/>
                    <w:rPr>
                      <w:rFonts w:eastAsiaTheme="minorEastAsia"/>
                      <w:b/>
                      <w:color w:val="000000" w:themeColor="text1"/>
                      <w:kern w:val="0"/>
                      <w:szCs w:val="21"/>
                      <w14:textFill>
                        <w14:solidFill>
                          <w14:schemeClr w14:val="tx1"/>
                        </w14:solidFill>
                      </w14:textFill>
                    </w:rPr>
                  </w:pPr>
                  <w:r>
                    <w:rPr>
                      <w:rFonts w:eastAsiaTheme="minorEastAsia"/>
                      <w:b/>
                      <w:color w:val="000000" w:themeColor="text1"/>
                      <w:kern w:val="0"/>
                      <w:szCs w:val="21"/>
                      <w14:textFill>
                        <w14:solidFill>
                          <w14:schemeClr w14:val="tx1"/>
                        </w14:solidFill>
                      </w14:textFill>
                    </w:rPr>
                    <w:t>年用水量（m</w:t>
                  </w:r>
                  <w:r>
                    <w:rPr>
                      <w:rFonts w:eastAsiaTheme="minorEastAsia"/>
                      <w:b/>
                      <w:color w:val="000000" w:themeColor="text1"/>
                      <w:kern w:val="0"/>
                      <w:szCs w:val="21"/>
                      <w:vertAlign w:val="superscript"/>
                      <w14:textFill>
                        <w14:solidFill>
                          <w14:schemeClr w14:val="tx1"/>
                        </w14:solidFill>
                      </w14:textFill>
                    </w:rPr>
                    <w:t>3</w:t>
                  </w:r>
                  <w:r>
                    <w:rPr>
                      <w:rFonts w:eastAsiaTheme="minorEastAsia"/>
                      <w:b/>
                      <w:color w:val="000000" w:themeColor="text1"/>
                      <w:kern w:val="0"/>
                      <w:szCs w:val="21"/>
                      <w14:textFill>
                        <w14:solidFill>
                          <w14:schemeClr w14:val="tx1"/>
                        </w14:solidFill>
                      </w14:textFill>
                    </w:rPr>
                    <w:t>/</w:t>
                  </w:r>
                  <w:r>
                    <w:rPr>
                      <w:rFonts w:hint="eastAsia" w:eastAsiaTheme="minorEastAsia"/>
                      <w:b/>
                      <w:color w:val="000000" w:themeColor="text1"/>
                      <w:kern w:val="0"/>
                      <w:szCs w:val="21"/>
                      <w14:textFill>
                        <w14:solidFill>
                          <w14:schemeClr w14:val="tx1"/>
                        </w14:solidFill>
                      </w14:textFill>
                    </w:rPr>
                    <w:t>a</w:t>
                  </w:r>
                  <w:r>
                    <w:rPr>
                      <w:rFonts w:eastAsiaTheme="minorEastAsia"/>
                      <w:b/>
                      <w:color w:val="000000" w:themeColor="text1"/>
                      <w:kern w:val="0"/>
                      <w:szCs w:val="21"/>
                      <w14:textFill>
                        <w14:solidFill>
                          <w14:schemeClr w14:val="tx1"/>
                        </w14:solidFill>
                      </w14:textFill>
                    </w:rPr>
                    <w:t>）</w:t>
                  </w:r>
                </w:p>
              </w:tc>
              <w:tc>
                <w:tcPr>
                  <w:tcW w:w="1450" w:type="dxa"/>
                  <w:tcBorders>
                    <w:top w:val="single" w:color="auto" w:sz="4" w:space="0"/>
                    <w:left w:val="single" w:color="auto" w:sz="4" w:space="0"/>
                    <w:bottom w:val="single" w:color="auto" w:sz="4" w:space="0"/>
                    <w:right w:val="single" w:color="auto" w:sz="4" w:space="0"/>
                  </w:tcBorders>
                  <w:vAlign w:val="center"/>
                </w:tcPr>
                <w:p w14:paraId="7E01BCC0">
                  <w:pPr>
                    <w:jc w:val="center"/>
                    <w:rPr>
                      <w:rFonts w:eastAsiaTheme="minorEastAsia"/>
                      <w:b/>
                      <w:color w:val="000000" w:themeColor="text1"/>
                      <w:kern w:val="21"/>
                      <w:szCs w:val="21"/>
                      <w14:textFill>
                        <w14:solidFill>
                          <w14:schemeClr w14:val="tx1"/>
                        </w14:solidFill>
                      </w14:textFill>
                    </w:rPr>
                  </w:pPr>
                  <w:r>
                    <w:rPr>
                      <w:rFonts w:eastAsiaTheme="minorEastAsia"/>
                      <w:b/>
                      <w:color w:val="000000" w:themeColor="text1"/>
                      <w:kern w:val="21"/>
                      <w:szCs w:val="21"/>
                      <w14:textFill>
                        <w14:solidFill>
                          <w14:schemeClr w14:val="tx1"/>
                        </w14:solidFill>
                      </w14:textFill>
                    </w:rPr>
                    <w:t>日废水量（m</w:t>
                  </w:r>
                  <w:r>
                    <w:rPr>
                      <w:rFonts w:eastAsiaTheme="minorEastAsia"/>
                      <w:b/>
                      <w:color w:val="000000" w:themeColor="text1"/>
                      <w:kern w:val="21"/>
                      <w:szCs w:val="21"/>
                      <w:vertAlign w:val="superscript"/>
                      <w14:textFill>
                        <w14:solidFill>
                          <w14:schemeClr w14:val="tx1"/>
                        </w14:solidFill>
                      </w14:textFill>
                    </w:rPr>
                    <w:t>3</w:t>
                  </w:r>
                  <w:r>
                    <w:rPr>
                      <w:rFonts w:eastAsiaTheme="minorEastAsia"/>
                      <w:b/>
                      <w:color w:val="000000" w:themeColor="text1"/>
                      <w:kern w:val="21"/>
                      <w:szCs w:val="21"/>
                      <w14:textFill>
                        <w14:solidFill>
                          <w14:schemeClr w14:val="tx1"/>
                        </w14:solidFill>
                      </w14:textFill>
                    </w:rPr>
                    <w:t>/d）</w:t>
                  </w:r>
                </w:p>
              </w:tc>
              <w:tc>
                <w:tcPr>
                  <w:tcW w:w="1214" w:type="dxa"/>
                  <w:tcBorders>
                    <w:top w:val="single" w:color="auto" w:sz="4" w:space="0"/>
                    <w:left w:val="single" w:color="auto" w:sz="4" w:space="0"/>
                    <w:bottom w:val="single" w:color="auto" w:sz="4" w:space="0"/>
                    <w:right w:val="single" w:color="auto" w:sz="4" w:space="0"/>
                  </w:tcBorders>
                  <w:vAlign w:val="center"/>
                </w:tcPr>
                <w:p w14:paraId="073415B8">
                  <w:pPr>
                    <w:jc w:val="center"/>
                    <w:rPr>
                      <w:rFonts w:eastAsiaTheme="minorEastAsia"/>
                      <w:b/>
                      <w:color w:val="000000" w:themeColor="text1"/>
                      <w:kern w:val="21"/>
                      <w:szCs w:val="21"/>
                      <w14:textFill>
                        <w14:solidFill>
                          <w14:schemeClr w14:val="tx1"/>
                        </w14:solidFill>
                      </w14:textFill>
                    </w:rPr>
                  </w:pPr>
                  <w:r>
                    <w:rPr>
                      <w:rFonts w:eastAsiaTheme="minorEastAsia"/>
                      <w:b/>
                      <w:color w:val="000000" w:themeColor="text1"/>
                      <w:kern w:val="21"/>
                      <w:szCs w:val="21"/>
                      <w14:textFill>
                        <w14:solidFill>
                          <w14:schemeClr w14:val="tx1"/>
                        </w14:solidFill>
                      </w14:textFill>
                    </w:rPr>
                    <w:t>年废水量（</w:t>
                  </w:r>
                  <w:r>
                    <w:rPr>
                      <w:rFonts w:eastAsiaTheme="minorEastAsia"/>
                      <w:b/>
                      <w:color w:val="000000" w:themeColor="text1"/>
                      <w:kern w:val="0"/>
                      <w:szCs w:val="21"/>
                      <w14:textFill>
                        <w14:solidFill>
                          <w14:schemeClr w14:val="tx1"/>
                        </w14:solidFill>
                      </w14:textFill>
                    </w:rPr>
                    <w:t>m</w:t>
                  </w:r>
                  <w:r>
                    <w:rPr>
                      <w:rFonts w:eastAsiaTheme="minorEastAsia"/>
                      <w:b/>
                      <w:color w:val="000000" w:themeColor="text1"/>
                      <w:kern w:val="0"/>
                      <w:szCs w:val="21"/>
                      <w:vertAlign w:val="superscript"/>
                      <w14:textFill>
                        <w14:solidFill>
                          <w14:schemeClr w14:val="tx1"/>
                        </w14:solidFill>
                      </w14:textFill>
                    </w:rPr>
                    <w:t>3</w:t>
                  </w:r>
                  <w:r>
                    <w:rPr>
                      <w:rFonts w:eastAsiaTheme="minorEastAsia"/>
                      <w:b/>
                      <w:color w:val="000000" w:themeColor="text1"/>
                      <w:kern w:val="0"/>
                      <w:szCs w:val="21"/>
                      <w14:textFill>
                        <w14:solidFill>
                          <w14:schemeClr w14:val="tx1"/>
                        </w14:solidFill>
                      </w14:textFill>
                    </w:rPr>
                    <w:t>/</w:t>
                  </w:r>
                  <w:r>
                    <w:rPr>
                      <w:rFonts w:hint="eastAsia" w:eastAsiaTheme="minorEastAsia"/>
                      <w:b/>
                      <w:color w:val="000000" w:themeColor="text1"/>
                      <w:kern w:val="0"/>
                      <w:szCs w:val="21"/>
                      <w14:textFill>
                        <w14:solidFill>
                          <w14:schemeClr w14:val="tx1"/>
                        </w14:solidFill>
                      </w14:textFill>
                    </w:rPr>
                    <w:t>a</w:t>
                  </w:r>
                  <w:r>
                    <w:rPr>
                      <w:rFonts w:eastAsiaTheme="minorEastAsia"/>
                      <w:b/>
                      <w:color w:val="000000" w:themeColor="text1"/>
                      <w:kern w:val="21"/>
                      <w:szCs w:val="21"/>
                      <w14:textFill>
                        <w14:solidFill>
                          <w14:schemeClr w14:val="tx1"/>
                        </w14:solidFill>
                      </w14:textFill>
                    </w:rPr>
                    <w:t>）</w:t>
                  </w:r>
                </w:p>
              </w:tc>
            </w:tr>
            <w:tr w14:paraId="21F3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48" w:type="dxa"/>
                  <w:vMerge w:val="restart"/>
                  <w:tcBorders>
                    <w:top w:val="single" w:color="auto" w:sz="4" w:space="0"/>
                    <w:left w:val="single" w:color="auto" w:sz="4" w:space="0"/>
                    <w:right w:val="single" w:color="auto" w:sz="4" w:space="0"/>
                  </w:tcBorders>
                  <w:vAlign w:val="center"/>
                </w:tcPr>
                <w:p w14:paraId="22A1AF8F">
                  <w:pPr>
                    <w:jc w:val="center"/>
                    <w:rPr>
                      <w:rFonts w:eastAsiaTheme="minorEastAsia"/>
                      <w:color w:val="000000" w:themeColor="text1"/>
                      <w:kern w:val="0"/>
                      <w:szCs w:val="21"/>
                      <w14:textFill>
                        <w14:solidFill>
                          <w14:schemeClr w14:val="tx1"/>
                        </w14:solidFill>
                      </w14:textFill>
                    </w:rPr>
                  </w:pPr>
                  <w:r>
                    <w:rPr>
                      <w:rFonts w:hint="eastAsia" w:eastAsiaTheme="minorEastAsia"/>
                      <w:color w:val="000000" w:themeColor="text1"/>
                      <w:kern w:val="0"/>
                      <w:szCs w:val="21"/>
                      <w14:textFill>
                        <w14:solidFill>
                          <w14:schemeClr w14:val="tx1"/>
                        </w14:solidFill>
                      </w14:textFill>
                    </w:rPr>
                    <w:t>生产用水</w:t>
                  </w:r>
                </w:p>
              </w:tc>
              <w:tc>
                <w:tcPr>
                  <w:tcW w:w="1836" w:type="dxa"/>
                  <w:tcBorders>
                    <w:top w:val="single" w:color="auto" w:sz="4" w:space="0"/>
                    <w:left w:val="single" w:color="auto" w:sz="4" w:space="0"/>
                    <w:bottom w:val="single" w:color="auto" w:sz="4" w:space="0"/>
                    <w:right w:val="single" w:color="auto" w:sz="4" w:space="0"/>
                  </w:tcBorders>
                  <w:vAlign w:val="center"/>
                </w:tcPr>
                <w:p w14:paraId="371729D9">
                  <w:pPr>
                    <w:jc w:val="center"/>
                    <w:rPr>
                      <w:rFonts w:eastAsiaTheme="minorEastAsia"/>
                      <w:color w:val="000000" w:themeColor="text1"/>
                      <w:kern w:val="0"/>
                      <w:szCs w:val="21"/>
                      <w14:textFill>
                        <w14:solidFill>
                          <w14:schemeClr w14:val="tx1"/>
                        </w14:solidFill>
                      </w14:textFill>
                    </w:rPr>
                  </w:pPr>
                  <w:r>
                    <w:rPr>
                      <w:rFonts w:hint="eastAsia" w:eastAsiaTheme="minorEastAsia"/>
                      <w:color w:val="000000" w:themeColor="text1"/>
                      <w:kern w:val="0"/>
                      <w:szCs w:val="21"/>
                      <w14:textFill>
                        <w14:solidFill>
                          <w14:schemeClr w14:val="tx1"/>
                        </w14:solidFill>
                      </w14:textFill>
                    </w:rPr>
                    <w:t>工艺用水</w:t>
                  </w:r>
                </w:p>
              </w:tc>
              <w:tc>
                <w:tcPr>
                  <w:tcW w:w="1431" w:type="dxa"/>
                  <w:tcBorders>
                    <w:top w:val="single" w:color="auto" w:sz="4" w:space="0"/>
                    <w:left w:val="single" w:color="auto" w:sz="4" w:space="0"/>
                    <w:bottom w:val="single" w:color="auto" w:sz="4" w:space="0"/>
                    <w:right w:val="single" w:color="auto" w:sz="4" w:space="0"/>
                  </w:tcBorders>
                  <w:vAlign w:val="center"/>
                </w:tcPr>
                <w:p w14:paraId="7B7F29D8">
                  <w:pPr>
                    <w:jc w:val="center"/>
                    <w:rPr>
                      <w:rFonts w:eastAsiaTheme="minorEastAsia"/>
                      <w:color w:val="000000" w:themeColor="text1"/>
                      <w:kern w:val="0"/>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雨天1.1，晴天15</w:t>
                  </w:r>
                </w:p>
              </w:tc>
              <w:tc>
                <w:tcPr>
                  <w:tcW w:w="1356" w:type="dxa"/>
                  <w:tcBorders>
                    <w:top w:val="single" w:color="auto" w:sz="4" w:space="0"/>
                    <w:left w:val="single" w:color="auto" w:sz="4" w:space="0"/>
                    <w:bottom w:val="single" w:color="auto" w:sz="4" w:space="0"/>
                    <w:right w:val="single" w:color="auto" w:sz="4" w:space="0"/>
                  </w:tcBorders>
                  <w:vAlign w:val="center"/>
                </w:tcPr>
                <w:p w14:paraId="230EBBC5">
                  <w:pPr>
                    <w:jc w:val="center"/>
                    <w:rPr>
                      <w:rFonts w:eastAsiaTheme="minorEastAsia"/>
                      <w:color w:val="000000" w:themeColor="text1"/>
                      <w:kern w:val="0"/>
                      <w:szCs w:val="21"/>
                      <w14:textFill>
                        <w14:solidFill>
                          <w14:schemeClr w14:val="tx1"/>
                        </w14:solidFill>
                      </w14:textFill>
                    </w:rPr>
                  </w:pPr>
                  <w:r>
                    <w:rPr>
                      <w:rFonts w:hint="eastAsia" w:eastAsiaTheme="minorEastAsia"/>
                      <w:color w:val="000000" w:themeColor="text1"/>
                      <w:kern w:val="0"/>
                      <w:szCs w:val="21"/>
                      <w14:textFill>
                        <w14:solidFill>
                          <w14:schemeClr w14:val="tx1"/>
                        </w14:solidFill>
                      </w14:textFill>
                    </w:rPr>
                    <w:t>5100</w:t>
                  </w:r>
                </w:p>
              </w:tc>
              <w:tc>
                <w:tcPr>
                  <w:tcW w:w="1450" w:type="dxa"/>
                  <w:tcBorders>
                    <w:top w:val="single" w:color="auto" w:sz="4" w:space="0"/>
                    <w:left w:val="single" w:color="auto" w:sz="4" w:space="0"/>
                    <w:bottom w:val="single" w:color="auto" w:sz="4" w:space="0"/>
                    <w:right w:val="single" w:color="auto" w:sz="4" w:space="0"/>
                  </w:tcBorders>
                  <w:vAlign w:val="center"/>
                </w:tcPr>
                <w:p w14:paraId="053650A7">
                  <w:pPr>
                    <w:jc w:val="center"/>
                    <w:rPr>
                      <w:rFonts w:eastAsiaTheme="minorEastAsia"/>
                      <w:color w:val="000000" w:themeColor="text1"/>
                      <w:kern w:val="0"/>
                      <w:szCs w:val="21"/>
                      <w14:textFill>
                        <w14:solidFill>
                          <w14:schemeClr w14:val="tx1"/>
                        </w14:solidFill>
                      </w14:textFill>
                    </w:rPr>
                  </w:pPr>
                  <w:r>
                    <w:rPr>
                      <w:rFonts w:hint="eastAsia" w:eastAsiaTheme="minorEastAsia"/>
                      <w:color w:val="000000" w:themeColor="text1"/>
                      <w:kern w:val="0"/>
                      <w:szCs w:val="21"/>
                      <w14:textFill>
                        <w14:solidFill>
                          <w14:schemeClr w14:val="tx1"/>
                        </w14:solidFill>
                      </w14:textFill>
                    </w:rPr>
                    <w:t>/</w:t>
                  </w:r>
                </w:p>
              </w:tc>
              <w:tc>
                <w:tcPr>
                  <w:tcW w:w="1214" w:type="dxa"/>
                  <w:tcBorders>
                    <w:top w:val="single" w:color="auto" w:sz="4" w:space="0"/>
                    <w:left w:val="single" w:color="auto" w:sz="4" w:space="0"/>
                    <w:bottom w:val="single" w:color="auto" w:sz="4" w:space="0"/>
                    <w:right w:val="single" w:color="auto" w:sz="4" w:space="0"/>
                  </w:tcBorders>
                  <w:vAlign w:val="center"/>
                </w:tcPr>
                <w:p w14:paraId="15D6BB45">
                  <w:pPr>
                    <w:jc w:val="center"/>
                    <w:rPr>
                      <w:rFonts w:eastAsiaTheme="minorEastAsia"/>
                      <w:color w:val="000000" w:themeColor="text1"/>
                      <w:kern w:val="0"/>
                      <w:szCs w:val="21"/>
                      <w14:textFill>
                        <w14:solidFill>
                          <w14:schemeClr w14:val="tx1"/>
                        </w14:solidFill>
                      </w14:textFill>
                    </w:rPr>
                  </w:pPr>
                  <w:r>
                    <w:rPr>
                      <w:rFonts w:hint="eastAsia" w:eastAsiaTheme="minorEastAsia"/>
                      <w:color w:val="000000" w:themeColor="text1"/>
                      <w:kern w:val="0"/>
                      <w:szCs w:val="21"/>
                      <w14:textFill>
                        <w14:solidFill>
                          <w14:schemeClr w14:val="tx1"/>
                        </w14:solidFill>
                      </w14:textFill>
                    </w:rPr>
                    <w:t>/</w:t>
                  </w:r>
                </w:p>
              </w:tc>
            </w:tr>
            <w:tr w14:paraId="7368C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48" w:type="dxa"/>
                  <w:vMerge w:val="continue"/>
                  <w:tcBorders>
                    <w:left w:val="single" w:color="auto" w:sz="4" w:space="0"/>
                    <w:right w:val="single" w:color="auto" w:sz="4" w:space="0"/>
                  </w:tcBorders>
                  <w:vAlign w:val="center"/>
                </w:tcPr>
                <w:p w14:paraId="54A73AC1">
                  <w:pPr>
                    <w:jc w:val="center"/>
                    <w:rPr>
                      <w:rFonts w:eastAsiaTheme="minorEastAsia"/>
                      <w:color w:val="000000" w:themeColor="text1"/>
                      <w:kern w:val="0"/>
                      <w:szCs w:val="21"/>
                      <w14:textFill>
                        <w14:solidFill>
                          <w14:schemeClr w14:val="tx1"/>
                        </w14:solidFill>
                      </w14:textFill>
                    </w:rPr>
                  </w:pPr>
                </w:p>
              </w:tc>
              <w:tc>
                <w:tcPr>
                  <w:tcW w:w="1836" w:type="dxa"/>
                  <w:tcBorders>
                    <w:top w:val="single" w:color="auto" w:sz="4" w:space="0"/>
                    <w:left w:val="single" w:color="auto" w:sz="4" w:space="0"/>
                    <w:bottom w:val="single" w:color="auto" w:sz="4" w:space="0"/>
                    <w:right w:val="single" w:color="auto" w:sz="4" w:space="0"/>
                  </w:tcBorders>
                  <w:vAlign w:val="center"/>
                </w:tcPr>
                <w:p w14:paraId="321806F1">
                  <w:pPr>
                    <w:jc w:val="center"/>
                    <w:rPr>
                      <w:rFonts w:eastAsiaTheme="minorEastAsia"/>
                      <w:color w:val="000000" w:themeColor="text1"/>
                      <w:kern w:val="0"/>
                      <w:szCs w:val="21"/>
                      <w14:textFill>
                        <w14:solidFill>
                          <w14:schemeClr w14:val="tx1"/>
                        </w14:solidFill>
                      </w14:textFill>
                    </w:rPr>
                  </w:pPr>
                  <w:r>
                    <w:rPr>
                      <w:rFonts w:hint="eastAsia" w:eastAsiaTheme="minorEastAsia"/>
                      <w:color w:val="000000" w:themeColor="text1"/>
                      <w:kern w:val="0"/>
                      <w:szCs w:val="21"/>
                      <w14:textFill>
                        <w14:solidFill>
                          <w14:schemeClr w14:val="tx1"/>
                        </w14:solidFill>
                      </w14:textFill>
                    </w:rPr>
                    <w:t>除臭剂稀释用水</w:t>
                  </w:r>
                </w:p>
              </w:tc>
              <w:tc>
                <w:tcPr>
                  <w:tcW w:w="1431" w:type="dxa"/>
                  <w:tcBorders>
                    <w:top w:val="single" w:color="auto" w:sz="4" w:space="0"/>
                    <w:left w:val="single" w:color="auto" w:sz="4" w:space="0"/>
                    <w:bottom w:val="single" w:color="auto" w:sz="4" w:space="0"/>
                    <w:right w:val="single" w:color="auto" w:sz="4" w:space="0"/>
                  </w:tcBorders>
                  <w:vAlign w:val="center"/>
                </w:tcPr>
                <w:p w14:paraId="6FD0A24E">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0.13</w:t>
                  </w:r>
                </w:p>
              </w:tc>
              <w:tc>
                <w:tcPr>
                  <w:tcW w:w="1356" w:type="dxa"/>
                  <w:tcBorders>
                    <w:top w:val="single" w:color="auto" w:sz="4" w:space="0"/>
                    <w:left w:val="single" w:color="auto" w:sz="4" w:space="0"/>
                    <w:bottom w:val="single" w:color="auto" w:sz="4" w:space="0"/>
                    <w:right w:val="single" w:color="auto" w:sz="4" w:space="0"/>
                  </w:tcBorders>
                  <w:vAlign w:val="center"/>
                </w:tcPr>
                <w:p w14:paraId="36F0EDCA">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40</w:t>
                  </w:r>
                </w:p>
              </w:tc>
              <w:tc>
                <w:tcPr>
                  <w:tcW w:w="1450" w:type="dxa"/>
                  <w:tcBorders>
                    <w:top w:val="single" w:color="auto" w:sz="4" w:space="0"/>
                    <w:left w:val="single" w:color="auto" w:sz="4" w:space="0"/>
                    <w:bottom w:val="single" w:color="auto" w:sz="4" w:space="0"/>
                    <w:right w:val="single" w:color="auto" w:sz="4" w:space="0"/>
                  </w:tcBorders>
                  <w:vAlign w:val="center"/>
                </w:tcPr>
                <w:p w14:paraId="180BC58F">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w:t>
                  </w:r>
                </w:p>
              </w:tc>
              <w:tc>
                <w:tcPr>
                  <w:tcW w:w="1214" w:type="dxa"/>
                  <w:tcBorders>
                    <w:top w:val="single" w:color="auto" w:sz="4" w:space="0"/>
                    <w:left w:val="single" w:color="auto" w:sz="4" w:space="0"/>
                    <w:bottom w:val="single" w:color="auto" w:sz="4" w:space="0"/>
                    <w:right w:val="single" w:color="auto" w:sz="4" w:space="0"/>
                  </w:tcBorders>
                  <w:vAlign w:val="center"/>
                </w:tcPr>
                <w:p w14:paraId="658CDADB">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w:t>
                  </w:r>
                </w:p>
              </w:tc>
            </w:tr>
            <w:tr w14:paraId="1A7E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48" w:type="dxa"/>
                  <w:vMerge w:val="continue"/>
                  <w:tcBorders>
                    <w:left w:val="single" w:color="auto" w:sz="4" w:space="0"/>
                    <w:right w:val="single" w:color="auto" w:sz="4" w:space="0"/>
                  </w:tcBorders>
                  <w:vAlign w:val="center"/>
                </w:tcPr>
                <w:p w14:paraId="3C45DF2F">
                  <w:pPr>
                    <w:jc w:val="center"/>
                    <w:rPr>
                      <w:rFonts w:eastAsiaTheme="minorEastAsia"/>
                      <w:color w:val="000000" w:themeColor="text1"/>
                      <w:kern w:val="0"/>
                      <w:szCs w:val="21"/>
                      <w14:textFill>
                        <w14:solidFill>
                          <w14:schemeClr w14:val="tx1"/>
                        </w14:solidFill>
                      </w14:textFill>
                    </w:rPr>
                  </w:pPr>
                </w:p>
              </w:tc>
              <w:tc>
                <w:tcPr>
                  <w:tcW w:w="1836" w:type="dxa"/>
                  <w:tcBorders>
                    <w:top w:val="single" w:color="auto" w:sz="4" w:space="0"/>
                    <w:left w:val="single" w:color="auto" w:sz="4" w:space="0"/>
                    <w:bottom w:val="single" w:color="auto" w:sz="4" w:space="0"/>
                    <w:right w:val="single" w:color="auto" w:sz="4" w:space="0"/>
                  </w:tcBorders>
                  <w:vAlign w:val="center"/>
                </w:tcPr>
                <w:p w14:paraId="2BBE5C58">
                  <w:pPr>
                    <w:jc w:val="center"/>
                    <w:rPr>
                      <w:rFonts w:eastAsiaTheme="minorEastAsia"/>
                      <w:color w:val="000000" w:themeColor="text1"/>
                      <w:kern w:val="0"/>
                      <w:szCs w:val="21"/>
                      <w14:textFill>
                        <w14:solidFill>
                          <w14:schemeClr w14:val="tx1"/>
                        </w14:solidFill>
                      </w14:textFill>
                    </w:rPr>
                  </w:pPr>
                  <w:r>
                    <w:rPr>
                      <w:rFonts w:hint="eastAsia" w:eastAsiaTheme="minorEastAsia"/>
                      <w:color w:val="000000" w:themeColor="text1"/>
                      <w:kern w:val="0"/>
                      <w:szCs w:val="21"/>
                      <w14:textFill>
                        <w14:solidFill>
                          <w14:schemeClr w14:val="tx1"/>
                        </w14:solidFill>
                      </w14:textFill>
                    </w:rPr>
                    <w:t>道路降尘用水</w:t>
                  </w:r>
                </w:p>
              </w:tc>
              <w:tc>
                <w:tcPr>
                  <w:tcW w:w="1431" w:type="dxa"/>
                  <w:tcBorders>
                    <w:top w:val="single" w:color="auto" w:sz="4" w:space="0"/>
                    <w:left w:val="single" w:color="auto" w:sz="4" w:space="0"/>
                    <w:bottom w:val="single" w:color="auto" w:sz="4" w:space="0"/>
                    <w:right w:val="single" w:color="auto" w:sz="4" w:space="0"/>
                  </w:tcBorders>
                  <w:vAlign w:val="center"/>
                </w:tcPr>
                <w:p w14:paraId="28D3BA47">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4（晴天）</w:t>
                  </w:r>
                </w:p>
              </w:tc>
              <w:tc>
                <w:tcPr>
                  <w:tcW w:w="1356" w:type="dxa"/>
                  <w:tcBorders>
                    <w:top w:val="single" w:color="auto" w:sz="4" w:space="0"/>
                    <w:left w:val="single" w:color="auto" w:sz="4" w:space="0"/>
                    <w:bottom w:val="single" w:color="auto" w:sz="4" w:space="0"/>
                    <w:right w:val="single" w:color="auto" w:sz="4" w:space="0"/>
                  </w:tcBorders>
                  <w:vAlign w:val="center"/>
                </w:tcPr>
                <w:p w14:paraId="6141E98D">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700</w:t>
                  </w:r>
                </w:p>
              </w:tc>
              <w:tc>
                <w:tcPr>
                  <w:tcW w:w="1450" w:type="dxa"/>
                  <w:tcBorders>
                    <w:top w:val="single" w:color="auto" w:sz="4" w:space="0"/>
                    <w:left w:val="single" w:color="auto" w:sz="4" w:space="0"/>
                    <w:bottom w:val="single" w:color="auto" w:sz="4" w:space="0"/>
                    <w:right w:val="single" w:color="auto" w:sz="4" w:space="0"/>
                  </w:tcBorders>
                  <w:vAlign w:val="center"/>
                </w:tcPr>
                <w:p w14:paraId="583ABE27">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w:t>
                  </w:r>
                </w:p>
              </w:tc>
              <w:tc>
                <w:tcPr>
                  <w:tcW w:w="1214" w:type="dxa"/>
                  <w:tcBorders>
                    <w:top w:val="single" w:color="auto" w:sz="4" w:space="0"/>
                    <w:left w:val="single" w:color="auto" w:sz="4" w:space="0"/>
                    <w:bottom w:val="single" w:color="auto" w:sz="4" w:space="0"/>
                    <w:right w:val="single" w:color="auto" w:sz="4" w:space="0"/>
                  </w:tcBorders>
                  <w:vAlign w:val="center"/>
                </w:tcPr>
                <w:p w14:paraId="42CCFF22">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w:t>
                  </w:r>
                </w:p>
              </w:tc>
            </w:tr>
            <w:tr w14:paraId="6E164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48" w:type="dxa"/>
                  <w:vMerge w:val="continue"/>
                  <w:tcBorders>
                    <w:left w:val="single" w:color="auto" w:sz="4" w:space="0"/>
                    <w:right w:val="single" w:color="auto" w:sz="4" w:space="0"/>
                  </w:tcBorders>
                  <w:vAlign w:val="center"/>
                </w:tcPr>
                <w:p w14:paraId="3121FB56">
                  <w:pPr>
                    <w:jc w:val="center"/>
                    <w:rPr>
                      <w:rFonts w:eastAsiaTheme="minorEastAsia"/>
                      <w:color w:val="000000" w:themeColor="text1"/>
                      <w:kern w:val="0"/>
                      <w:szCs w:val="21"/>
                      <w14:textFill>
                        <w14:solidFill>
                          <w14:schemeClr w14:val="tx1"/>
                        </w14:solidFill>
                      </w14:textFill>
                    </w:rPr>
                  </w:pPr>
                </w:p>
              </w:tc>
              <w:tc>
                <w:tcPr>
                  <w:tcW w:w="1836" w:type="dxa"/>
                  <w:tcBorders>
                    <w:top w:val="single" w:color="auto" w:sz="4" w:space="0"/>
                    <w:left w:val="single" w:color="auto" w:sz="4" w:space="0"/>
                    <w:bottom w:val="single" w:color="auto" w:sz="4" w:space="0"/>
                    <w:right w:val="single" w:color="auto" w:sz="4" w:space="0"/>
                  </w:tcBorders>
                  <w:vAlign w:val="center"/>
                </w:tcPr>
                <w:p w14:paraId="01F5D9D5">
                  <w:pPr>
                    <w:jc w:val="center"/>
                    <w:rPr>
                      <w:rFonts w:eastAsiaTheme="minorEastAsia"/>
                      <w:color w:val="000000" w:themeColor="text1"/>
                      <w:kern w:val="0"/>
                      <w:szCs w:val="21"/>
                      <w14:textFill>
                        <w14:solidFill>
                          <w14:schemeClr w14:val="tx1"/>
                        </w14:solidFill>
                      </w14:textFill>
                    </w:rPr>
                  </w:pPr>
                  <w:r>
                    <w:rPr>
                      <w:rFonts w:hint="eastAsia" w:eastAsiaTheme="minorEastAsia"/>
                      <w:color w:val="000000" w:themeColor="text1"/>
                      <w:kern w:val="0"/>
                      <w:szCs w:val="21"/>
                      <w14:textFill>
                        <w14:solidFill>
                          <w14:schemeClr w14:val="tx1"/>
                        </w14:solidFill>
                      </w14:textFill>
                    </w:rPr>
                    <w:t>雾炮机用水</w:t>
                  </w:r>
                </w:p>
              </w:tc>
              <w:tc>
                <w:tcPr>
                  <w:tcW w:w="1431" w:type="dxa"/>
                  <w:tcBorders>
                    <w:top w:val="single" w:color="auto" w:sz="4" w:space="0"/>
                    <w:left w:val="single" w:color="auto" w:sz="4" w:space="0"/>
                    <w:bottom w:val="single" w:color="auto" w:sz="4" w:space="0"/>
                    <w:right w:val="single" w:color="auto" w:sz="4" w:space="0"/>
                  </w:tcBorders>
                  <w:vAlign w:val="center"/>
                </w:tcPr>
                <w:p w14:paraId="014FE5D0">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7.2</w:t>
                  </w:r>
                </w:p>
              </w:tc>
              <w:tc>
                <w:tcPr>
                  <w:tcW w:w="1356" w:type="dxa"/>
                  <w:tcBorders>
                    <w:top w:val="single" w:color="auto" w:sz="4" w:space="0"/>
                    <w:left w:val="single" w:color="auto" w:sz="4" w:space="0"/>
                    <w:bottom w:val="single" w:color="auto" w:sz="4" w:space="0"/>
                    <w:right w:val="single" w:color="auto" w:sz="4" w:space="0"/>
                  </w:tcBorders>
                  <w:vAlign w:val="center"/>
                </w:tcPr>
                <w:p w14:paraId="5623172C">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160</w:t>
                  </w:r>
                </w:p>
              </w:tc>
              <w:tc>
                <w:tcPr>
                  <w:tcW w:w="1450" w:type="dxa"/>
                  <w:tcBorders>
                    <w:top w:val="single" w:color="auto" w:sz="4" w:space="0"/>
                    <w:left w:val="single" w:color="auto" w:sz="4" w:space="0"/>
                    <w:bottom w:val="single" w:color="auto" w:sz="4" w:space="0"/>
                    <w:right w:val="single" w:color="auto" w:sz="4" w:space="0"/>
                  </w:tcBorders>
                  <w:vAlign w:val="center"/>
                </w:tcPr>
                <w:p w14:paraId="0893C280">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w:t>
                  </w:r>
                </w:p>
              </w:tc>
              <w:tc>
                <w:tcPr>
                  <w:tcW w:w="1214" w:type="dxa"/>
                  <w:tcBorders>
                    <w:top w:val="single" w:color="auto" w:sz="4" w:space="0"/>
                    <w:left w:val="single" w:color="auto" w:sz="4" w:space="0"/>
                    <w:bottom w:val="single" w:color="auto" w:sz="4" w:space="0"/>
                    <w:right w:val="single" w:color="auto" w:sz="4" w:space="0"/>
                  </w:tcBorders>
                  <w:vAlign w:val="center"/>
                </w:tcPr>
                <w:p w14:paraId="6D88755E">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w:t>
                  </w:r>
                </w:p>
              </w:tc>
            </w:tr>
            <w:tr w14:paraId="0C4E1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48" w:type="dxa"/>
                  <w:tcBorders>
                    <w:top w:val="single" w:color="auto" w:sz="4" w:space="0"/>
                    <w:left w:val="single" w:color="auto" w:sz="4" w:space="0"/>
                    <w:right w:val="single" w:color="auto" w:sz="4" w:space="0"/>
                  </w:tcBorders>
                  <w:vAlign w:val="center"/>
                </w:tcPr>
                <w:p w14:paraId="48E58CE5">
                  <w:pPr>
                    <w:jc w:val="center"/>
                    <w:rPr>
                      <w:rFonts w:eastAsiaTheme="minorEastAsia"/>
                      <w:color w:val="000000" w:themeColor="text1"/>
                      <w:kern w:val="0"/>
                      <w:szCs w:val="21"/>
                      <w14:textFill>
                        <w14:solidFill>
                          <w14:schemeClr w14:val="tx1"/>
                        </w14:solidFill>
                      </w14:textFill>
                    </w:rPr>
                  </w:pPr>
                  <w:r>
                    <w:rPr>
                      <w:rFonts w:hint="eastAsia" w:eastAsiaTheme="minorEastAsia"/>
                      <w:color w:val="000000" w:themeColor="text1"/>
                      <w:kern w:val="0"/>
                      <w:szCs w:val="21"/>
                      <w14:textFill>
                        <w14:solidFill>
                          <w14:schemeClr w14:val="tx1"/>
                        </w14:solidFill>
                      </w14:textFill>
                    </w:rPr>
                    <w:t>生活用水</w:t>
                  </w:r>
                </w:p>
              </w:tc>
              <w:tc>
                <w:tcPr>
                  <w:tcW w:w="1836" w:type="dxa"/>
                  <w:tcBorders>
                    <w:top w:val="single" w:color="auto" w:sz="4" w:space="0"/>
                    <w:left w:val="single" w:color="auto" w:sz="4" w:space="0"/>
                    <w:right w:val="single" w:color="auto" w:sz="4" w:space="0"/>
                  </w:tcBorders>
                  <w:vAlign w:val="center"/>
                </w:tcPr>
                <w:p w14:paraId="4BE6D89A">
                  <w:pPr>
                    <w:jc w:val="center"/>
                    <w:rPr>
                      <w:rFonts w:eastAsiaTheme="minorEastAsia"/>
                      <w:color w:val="000000" w:themeColor="text1"/>
                      <w:kern w:val="0"/>
                      <w:szCs w:val="21"/>
                      <w14:textFill>
                        <w14:solidFill>
                          <w14:schemeClr w14:val="tx1"/>
                        </w14:solidFill>
                      </w14:textFill>
                    </w:rPr>
                  </w:pPr>
                  <w:r>
                    <w:rPr>
                      <w:rFonts w:hint="eastAsia" w:eastAsiaTheme="minorEastAsia"/>
                      <w:color w:val="000000" w:themeColor="text1"/>
                      <w:kern w:val="0"/>
                      <w:szCs w:val="21"/>
                      <w14:textFill>
                        <w14:solidFill>
                          <w14:schemeClr w14:val="tx1"/>
                        </w14:solidFill>
                      </w14:textFill>
                    </w:rPr>
                    <w:t>生活用水</w:t>
                  </w:r>
                </w:p>
              </w:tc>
              <w:tc>
                <w:tcPr>
                  <w:tcW w:w="1431" w:type="dxa"/>
                  <w:tcBorders>
                    <w:top w:val="single" w:color="auto" w:sz="4" w:space="0"/>
                    <w:left w:val="single" w:color="auto" w:sz="4" w:space="0"/>
                    <w:right w:val="single" w:color="auto" w:sz="4" w:space="0"/>
                  </w:tcBorders>
                  <w:vAlign w:val="center"/>
                </w:tcPr>
                <w:p w14:paraId="0C1D1765">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0.38</w:t>
                  </w:r>
                </w:p>
              </w:tc>
              <w:tc>
                <w:tcPr>
                  <w:tcW w:w="1356" w:type="dxa"/>
                  <w:tcBorders>
                    <w:top w:val="single" w:color="auto" w:sz="4" w:space="0"/>
                    <w:left w:val="single" w:color="auto" w:sz="4" w:space="0"/>
                    <w:right w:val="single" w:color="auto" w:sz="4" w:space="0"/>
                  </w:tcBorders>
                  <w:vAlign w:val="center"/>
                </w:tcPr>
                <w:p w14:paraId="10085924">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144</w:t>
                  </w:r>
                </w:p>
              </w:tc>
              <w:tc>
                <w:tcPr>
                  <w:tcW w:w="1450" w:type="dxa"/>
                  <w:tcBorders>
                    <w:top w:val="single" w:color="auto" w:sz="4" w:space="0"/>
                    <w:left w:val="single" w:color="auto" w:sz="4" w:space="0"/>
                    <w:right w:val="single" w:color="auto" w:sz="4" w:space="0"/>
                  </w:tcBorders>
                  <w:vAlign w:val="center"/>
                </w:tcPr>
                <w:p w14:paraId="00172053">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0.304</w:t>
                  </w:r>
                </w:p>
              </w:tc>
              <w:tc>
                <w:tcPr>
                  <w:tcW w:w="1214" w:type="dxa"/>
                  <w:tcBorders>
                    <w:top w:val="single" w:color="auto" w:sz="4" w:space="0"/>
                    <w:left w:val="single" w:color="auto" w:sz="4" w:space="0"/>
                    <w:bottom w:val="single" w:color="auto" w:sz="4" w:space="0"/>
                    <w:right w:val="single" w:color="auto" w:sz="4" w:space="0"/>
                  </w:tcBorders>
                  <w:vAlign w:val="center"/>
                </w:tcPr>
                <w:p w14:paraId="1949A03D">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91.2</w:t>
                  </w:r>
                </w:p>
              </w:tc>
            </w:tr>
            <w:tr w14:paraId="01DE1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2484" w:type="dxa"/>
                  <w:gridSpan w:val="2"/>
                  <w:tcBorders>
                    <w:top w:val="single" w:color="auto" w:sz="4" w:space="0"/>
                    <w:left w:val="single" w:color="auto" w:sz="4" w:space="0"/>
                    <w:right w:val="single" w:color="auto" w:sz="4" w:space="0"/>
                  </w:tcBorders>
                  <w:vAlign w:val="center"/>
                </w:tcPr>
                <w:p w14:paraId="50C38F3C">
                  <w:pPr>
                    <w:jc w:val="center"/>
                    <w:rPr>
                      <w:rFonts w:eastAsiaTheme="minorEastAsia"/>
                      <w:bCs/>
                      <w:color w:val="000000" w:themeColor="text1"/>
                      <w:kern w:val="0"/>
                      <w:szCs w:val="21"/>
                      <w14:textFill>
                        <w14:solidFill>
                          <w14:schemeClr w14:val="tx1"/>
                        </w14:solidFill>
                      </w14:textFill>
                    </w:rPr>
                  </w:pPr>
                  <w:r>
                    <w:rPr>
                      <w:rFonts w:hint="eastAsia" w:eastAsiaTheme="minorEastAsia"/>
                      <w:color w:val="000000" w:themeColor="text1"/>
                      <w:kern w:val="0"/>
                      <w:szCs w:val="21"/>
                      <w14:textFill>
                        <w14:solidFill>
                          <w14:schemeClr w14:val="tx1"/>
                        </w14:solidFill>
                      </w14:textFill>
                    </w:rPr>
                    <w:t>总计</w:t>
                  </w:r>
                </w:p>
              </w:tc>
              <w:tc>
                <w:tcPr>
                  <w:tcW w:w="1431" w:type="dxa"/>
                  <w:tcBorders>
                    <w:top w:val="single" w:color="auto" w:sz="4" w:space="0"/>
                    <w:left w:val="single" w:color="auto" w:sz="4" w:space="0"/>
                    <w:right w:val="single" w:color="auto" w:sz="4" w:space="0"/>
                  </w:tcBorders>
                  <w:vAlign w:val="center"/>
                </w:tcPr>
                <w:p w14:paraId="568AE1D5">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雨天8.81，晴天26.71</w:t>
                  </w:r>
                </w:p>
              </w:tc>
              <w:tc>
                <w:tcPr>
                  <w:tcW w:w="1356" w:type="dxa"/>
                  <w:tcBorders>
                    <w:top w:val="single" w:color="auto" w:sz="4" w:space="0"/>
                    <w:left w:val="single" w:color="auto" w:sz="4" w:space="0"/>
                    <w:right w:val="single" w:color="auto" w:sz="4" w:space="0"/>
                  </w:tcBorders>
                  <w:vAlign w:val="center"/>
                </w:tcPr>
                <w:p w14:paraId="37F9EDE6">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6144</w:t>
                  </w:r>
                </w:p>
              </w:tc>
              <w:tc>
                <w:tcPr>
                  <w:tcW w:w="1450" w:type="dxa"/>
                  <w:tcBorders>
                    <w:top w:val="single" w:color="auto" w:sz="4" w:space="0"/>
                    <w:left w:val="single" w:color="auto" w:sz="4" w:space="0"/>
                    <w:right w:val="single" w:color="auto" w:sz="4" w:space="0"/>
                  </w:tcBorders>
                  <w:vAlign w:val="center"/>
                </w:tcPr>
                <w:p w14:paraId="09C6D338">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0.304</w:t>
                  </w:r>
                </w:p>
              </w:tc>
              <w:tc>
                <w:tcPr>
                  <w:tcW w:w="1214" w:type="dxa"/>
                  <w:tcBorders>
                    <w:top w:val="single" w:color="auto" w:sz="4" w:space="0"/>
                    <w:left w:val="single" w:color="auto" w:sz="4" w:space="0"/>
                    <w:bottom w:val="single" w:color="auto" w:sz="4" w:space="0"/>
                    <w:right w:val="single" w:color="auto" w:sz="4" w:space="0"/>
                  </w:tcBorders>
                  <w:vAlign w:val="center"/>
                </w:tcPr>
                <w:p w14:paraId="57C013B0">
                  <w:pPr>
                    <w:jc w:val="center"/>
                    <w:rPr>
                      <w:rFonts w:eastAsiaTheme="minorEastAsia"/>
                      <w:bCs/>
                      <w:color w:val="000000" w:themeColor="text1"/>
                      <w:szCs w:val="21"/>
                      <w14:textFill>
                        <w14:solidFill>
                          <w14:schemeClr w14:val="tx1"/>
                        </w14:solidFill>
                      </w14:textFill>
                    </w:rPr>
                  </w:pPr>
                  <w:r>
                    <w:rPr>
                      <w:rFonts w:hint="eastAsia" w:eastAsiaTheme="minorEastAsia"/>
                      <w:bCs/>
                      <w:color w:val="000000" w:themeColor="text1"/>
                      <w:szCs w:val="21"/>
                      <w14:textFill>
                        <w14:solidFill>
                          <w14:schemeClr w14:val="tx1"/>
                        </w14:solidFill>
                      </w14:textFill>
                    </w:rPr>
                    <w:t>91.2</w:t>
                  </w:r>
                </w:p>
              </w:tc>
            </w:tr>
          </w:tbl>
          <w:p w14:paraId="6BFDF4E1">
            <w:pPr>
              <w:rPr>
                <w:rFonts w:hint="eastAsia" w:eastAsiaTheme="minorEastAsia"/>
                <w:color w:val="000000" w:themeColor="text1"/>
                <w14:textFill>
                  <w14:solidFill>
                    <w14:schemeClr w14:val="tx1"/>
                  </w14:solidFill>
                </w14:textFill>
              </w:rPr>
            </w:pPr>
          </w:p>
          <w:p w14:paraId="3AACDD87">
            <w:pPr>
              <w:pStyle w:val="50"/>
              <w:ind w:firstLine="480"/>
              <w:rPr>
                <w:rFonts w:hint="eastAsia"/>
                <w:color w:val="000000" w:themeColor="text1"/>
                <w14:textFill>
                  <w14:solidFill>
                    <w14:schemeClr w14:val="tx1"/>
                  </w14:solidFill>
                </w14:textFill>
              </w:rPr>
            </w:pPr>
          </w:p>
          <w:p w14:paraId="5C0014B6">
            <w:pPr>
              <w:pStyle w:val="50"/>
              <w:ind w:firstLine="480"/>
              <w:rPr>
                <w:rFonts w:hint="eastAsia"/>
                <w:color w:val="000000" w:themeColor="text1"/>
                <w14:textFill>
                  <w14:solidFill>
                    <w14:schemeClr w14:val="tx1"/>
                  </w14:solidFill>
                </w14:textFill>
              </w:rPr>
            </w:pPr>
          </w:p>
          <w:p w14:paraId="3769C110">
            <w:pPr>
              <w:pStyle w:val="50"/>
              <w:ind w:firstLine="480"/>
              <w:rPr>
                <w:rFonts w:hint="eastAsia"/>
                <w:color w:val="000000" w:themeColor="text1"/>
                <w14:textFill>
                  <w14:solidFill>
                    <w14:schemeClr w14:val="tx1"/>
                  </w14:solidFill>
                </w14:textFill>
              </w:rPr>
            </w:pPr>
          </w:p>
          <w:p w14:paraId="6BEF3ACC">
            <w:pPr>
              <w:pStyle w:val="50"/>
              <w:ind w:firstLine="480"/>
              <w:rPr>
                <w:rFonts w:hint="eastAsia"/>
                <w:color w:val="000000" w:themeColor="text1"/>
                <w14:textFill>
                  <w14:solidFill>
                    <w14:schemeClr w14:val="tx1"/>
                  </w14:solidFill>
                </w14:textFill>
              </w:rPr>
            </w:pPr>
          </w:p>
          <w:p w14:paraId="3BAA90C5">
            <w:pPr>
              <w:pStyle w:val="50"/>
              <w:ind w:firstLine="480"/>
              <w:rPr>
                <w:rFonts w:hint="eastAsia"/>
                <w:color w:val="000000" w:themeColor="text1"/>
                <w14:textFill>
                  <w14:solidFill>
                    <w14:schemeClr w14:val="tx1"/>
                  </w14:solidFill>
                </w14:textFill>
              </w:rPr>
            </w:pPr>
          </w:p>
          <w:p w14:paraId="6FC9AD43">
            <w:pPr>
              <w:pStyle w:val="50"/>
              <w:ind w:firstLine="480"/>
              <w:rPr>
                <w:rFonts w:hint="eastAsia"/>
                <w:color w:val="000000" w:themeColor="text1"/>
                <w14:textFill>
                  <w14:solidFill>
                    <w14:schemeClr w14:val="tx1"/>
                  </w14:solidFill>
                </w14:textFill>
              </w:rPr>
            </w:pPr>
          </w:p>
          <w:p w14:paraId="34A60128">
            <w:pPr>
              <w:pStyle w:val="50"/>
              <w:ind w:firstLine="480"/>
              <w:rPr>
                <w:rFonts w:hint="eastAsia"/>
                <w:color w:val="000000" w:themeColor="text1"/>
                <w14:textFill>
                  <w14:solidFill>
                    <w14:schemeClr w14:val="tx1"/>
                  </w14:solidFill>
                </w14:textFill>
              </w:rPr>
            </w:pPr>
          </w:p>
          <w:p w14:paraId="6A87906E">
            <w:pPr>
              <w:pStyle w:val="50"/>
              <w:ind w:firstLine="480"/>
              <w:rPr>
                <w:rFonts w:hint="eastAsia"/>
                <w:color w:val="000000" w:themeColor="text1"/>
                <w14:textFill>
                  <w14:solidFill>
                    <w14:schemeClr w14:val="tx1"/>
                  </w14:solidFill>
                </w14:textFill>
              </w:rPr>
            </w:pPr>
          </w:p>
          <w:p w14:paraId="0FFBD231">
            <w:pPr>
              <w:jc w:val="center"/>
              <w:rPr>
                <w:rFonts w:eastAsiaTheme="minorEastAsia"/>
                <w:b/>
                <w:iCs/>
                <w:color w:val="000000" w:themeColor="text1"/>
                <w:szCs w:val="21"/>
                <w14:textFill>
                  <w14:solidFill>
                    <w14:schemeClr w14:val="tx1"/>
                  </w14:solidFill>
                </w14:textFill>
              </w:rPr>
            </w:pPr>
            <w:r>
              <w:rPr>
                <w:rFonts w:eastAsiaTheme="minorEastAsia"/>
                <w:color w:val="000000" w:themeColor="text1"/>
                <w14:textFill>
                  <w14:solidFill>
                    <w14:schemeClr w14:val="tx1"/>
                  </w14:solidFill>
                </w14:textFill>
              </w:rPr>
              <w:object>
                <v:shape id="_x0000_i1028" o:spt="75" type="#_x0000_t75" style="height:272.25pt;width:397.5pt;" o:ole="t" filled="f" o:preferrelative="t" stroked="f" coordsize="21600,21600">
                  <v:path/>
                  <v:fill on="f" focussize="0,0"/>
                  <v:stroke on="f" joinstyle="miter"/>
                  <v:imagedata r:id="rId16" o:title=""/>
                  <o:lock v:ext="edit" aspectratio="f"/>
                  <w10:wrap type="none"/>
                  <w10:anchorlock/>
                </v:shape>
                <o:OLEObject Type="Embed" ProgID="Visio.Drawing.11" ShapeID="_x0000_i1028" DrawAspect="Content" ObjectID="_1468075728" r:id="rId15">
                  <o:LockedField>false</o:LockedField>
                </o:OLEObject>
              </w:object>
            </w:r>
            <w:r>
              <w:rPr>
                <w:rFonts w:eastAsiaTheme="minorEastAsia"/>
                <w:b/>
                <w:iCs/>
                <w:color w:val="000000" w:themeColor="text1"/>
                <w:szCs w:val="21"/>
                <w14:textFill>
                  <w14:solidFill>
                    <w14:schemeClr w14:val="tx1"/>
                  </w14:solidFill>
                </w14:textFill>
              </w:rPr>
              <w:t>图</w:t>
            </w:r>
            <w:r>
              <w:rPr>
                <w:rFonts w:hint="eastAsia" w:eastAsiaTheme="minorEastAsia"/>
                <w:b/>
                <w:iCs/>
                <w:color w:val="000000" w:themeColor="text1"/>
                <w:szCs w:val="21"/>
                <w14:textFill>
                  <w14:solidFill>
                    <w14:schemeClr w14:val="tx1"/>
                  </w14:solidFill>
                </w14:textFill>
              </w:rPr>
              <w:t>2</w:t>
            </w:r>
            <w:r>
              <w:rPr>
                <w:rFonts w:eastAsiaTheme="minorEastAsia"/>
                <w:b/>
                <w:iCs/>
                <w:color w:val="000000" w:themeColor="text1"/>
                <w:szCs w:val="21"/>
                <w14:textFill>
                  <w14:solidFill>
                    <w14:schemeClr w14:val="tx1"/>
                  </w14:solidFill>
                </w14:textFill>
              </w:rPr>
              <w:t>-</w:t>
            </w:r>
            <w:r>
              <w:rPr>
                <w:rFonts w:hint="eastAsia" w:eastAsiaTheme="minorEastAsia"/>
                <w:b/>
                <w:iCs/>
                <w:color w:val="000000" w:themeColor="text1"/>
                <w:szCs w:val="21"/>
                <w14:textFill>
                  <w14:solidFill>
                    <w14:schemeClr w14:val="tx1"/>
                  </w14:solidFill>
                </w14:textFill>
              </w:rPr>
              <w:t>3</w:t>
            </w:r>
            <w:r>
              <w:rPr>
                <w:rFonts w:eastAsiaTheme="minorEastAsia"/>
                <w:b/>
                <w:iCs/>
                <w:color w:val="000000" w:themeColor="text1"/>
                <w:szCs w:val="21"/>
                <w14:textFill>
                  <w14:solidFill>
                    <w14:schemeClr w14:val="tx1"/>
                  </w14:solidFill>
                </w14:textFill>
              </w:rPr>
              <w:t xml:space="preserve"> 项目水量平衡图  单位：m</w:t>
            </w:r>
            <w:r>
              <w:rPr>
                <w:rFonts w:eastAsiaTheme="minorEastAsia"/>
                <w:b/>
                <w:iCs/>
                <w:color w:val="000000" w:themeColor="text1"/>
                <w:szCs w:val="21"/>
                <w:vertAlign w:val="superscript"/>
                <w14:textFill>
                  <w14:solidFill>
                    <w14:schemeClr w14:val="tx1"/>
                  </w14:solidFill>
                </w14:textFill>
              </w:rPr>
              <w:t>3</w:t>
            </w:r>
            <w:r>
              <w:rPr>
                <w:rFonts w:eastAsiaTheme="minorEastAsia"/>
                <w:b/>
                <w:iCs/>
                <w:color w:val="000000" w:themeColor="text1"/>
                <w:szCs w:val="21"/>
                <w14:textFill>
                  <w14:solidFill>
                    <w14:schemeClr w14:val="tx1"/>
                  </w14:solidFill>
                </w14:textFill>
              </w:rPr>
              <w:t>/</w:t>
            </w:r>
            <w:r>
              <w:rPr>
                <w:rFonts w:hint="eastAsia" w:eastAsiaTheme="minorEastAsia"/>
                <w:b/>
                <w:iCs/>
                <w:color w:val="000000" w:themeColor="text1"/>
                <w:szCs w:val="21"/>
                <w14:textFill>
                  <w14:solidFill>
                    <w14:schemeClr w14:val="tx1"/>
                  </w14:solidFill>
                </w14:textFill>
              </w:rPr>
              <w:t>d</w:t>
            </w:r>
          </w:p>
          <w:p w14:paraId="5F6A4BDF">
            <w:pPr>
              <w:adjustRightInd w:val="0"/>
              <w:snapToGrid w:val="0"/>
              <w:spacing w:line="36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六</w:t>
            </w:r>
            <w:r>
              <w:rPr>
                <w:b/>
                <w:color w:val="000000" w:themeColor="text1"/>
                <w:sz w:val="24"/>
                <w14:textFill>
                  <w14:solidFill>
                    <w14:schemeClr w14:val="tx1"/>
                  </w14:solidFill>
                </w14:textFill>
              </w:rPr>
              <w:t>、劳动定员与工作制度</w:t>
            </w:r>
          </w:p>
          <w:p w14:paraId="728F122B">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本项目劳动定员</w:t>
            </w:r>
            <w:r>
              <w:rPr>
                <w:rFonts w:hint="eastAsia"/>
                <w:bCs/>
                <w:color w:val="000000" w:themeColor="text1"/>
                <w:sz w:val="24"/>
                <w14:textFill>
                  <w14:solidFill>
                    <w14:schemeClr w14:val="tx1"/>
                  </w14:solidFill>
                </w14:textFill>
              </w:rPr>
              <w:t>10</w:t>
            </w:r>
            <w:r>
              <w:rPr>
                <w:bCs/>
                <w:color w:val="000000" w:themeColor="text1"/>
                <w:sz w:val="24"/>
                <w14:textFill>
                  <w14:solidFill>
                    <w14:schemeClr w14:val="tx1"/>
                  </w14:solidFill>
                </w14:textFill>
              </w:rPr>
              <w:t>人</w:t>
            </w:r>
            <w:r>
              <w:rPr>
                <w:rFonts w:hint="eastAsia"/>
                <w:bCs/>
                <w:color w:val="000000" w:themeColor="text1"/>
                <w:sz w:val="24"/>
                <w14:textFill>
                  <w14:solidFill>
                    <w14:schemeClr w14:val="tx1"/>
                  </w14:solidFill>
                </w14:textFill>
              </w:rPr>
              <w:t>，其中管理人员2人，员工8人，所有人员均不在厂区内食宿，依托</w:t>
            </w:r>
            <w:r>
              <w:rPr>
                <w:rFonts w:hint="eastAsia"/>
                <w:color w:val="000000" w:themeColor="text1"/>
                <w:sz w:val="24"/>
                <w14:textFill>
                  <w14:solidFill>
                    <w14:schemeClr w14:val="tx1"/>
                  </w14:solidFill>
                </w14:textFill>
              </w:rPr>
              <w:t>云南建工云岭水泥有限公司已建办公生活设施</w:t>
            </w:r>
            <w:r>
              <w:rPr>
                <w:bCs/>
                <w:color w:val="000000" w:themeColor="text1"/>
                <w:sz w:val="24"/>
                <w14:textFill>
                  <w14:solidFill>
                    <w14:schemeClr w14:val="tx1"/>
                  </w14:solidFill>
                </w14:textFill>
              </w:rPr>
              <w:t>。工作制度为</w:t>
            </w:r>
            <w:r>
              <w:rPr>
                <w:rFonts w:hint="eastAsia"/>
                <w:bCs/>
                <w:color w:val="000000" w:themeColor="text1"/>
                <w:sz w:val="24"/>
                <w14:textFill>
                  <w14:solidFill>
                    <w14:schemeClr w14:val="tx1"/>
                  </w14:solidFill>
                </w14:textFill>
              </w:rPr>
              <w:t>10</w:t>
            </w:r>
            <w:r>
              <w:rPr>
                <w:bCs/>
                <w:color w:val="000000" w:themeColor="text1"/>
                <w:sz w:val="24"/>
                <w14:textFill>
                  <w14:solidFill>
                    <w14:schemeClr w14:val="tx1"/>
                  </w14:solidFill>
                </w14:textFill>
              </w:rPr>
              <w:t>h/d，年工作时</w:t>
            </w:r>
            <w:r>
              <w:rPr>
                <w:rFonts w:hint="eastAsia"/>
                <w:bCs/>
                <w:color w:val="000000" w:themeColor="text1"/>
                <w:sz w:val="24"/>
                <w:lang w:eastAsia="zh-CN"/>
                <w14:textFill>
                  <w14:solidFill>
                    <w14:schemeClr w14:val="tx1"/>
                  </w14:solidFill>
                </w14:textFill>
              </w:rPr>
              <w:t>间为</w:t>
            </w:r>
            <w:r>
              <w:rPr>
                <w:bCs/>
                <w:color w:val="000000" w:themeColor="text1"/>
                <w:sz w:val="24"/>
                <w14:textFill>
                  <w14:solidFill>
                    <w14:schemeClr w14:val="tx1"/>
                  </w14:solidFill>
                </w14:textFill>
              </w:rPr>
              <w:t>3</w:t>
            </w:r>
            <w:r>
              <w:rPr>
                <w:rFonts w:hint="eastAsia"/>
                <w:bCs/>
                <w:color w:val="000000" w:themeColor="text1"/>
                <w:sz w:val="24"/>
                <w14:textFill>
                  <w14:solidFill>
                    <w14:schemeClr w14:val="tx1"/>
                  </w14:solidFill>
                </w14:textFill>
              </w:rPr>
              <w:t>4</w:t>
            </w:r>
            <w:r>
              <w:rPr>
                <w:bCs/>
                <w:color w:val="000000" w:themeColor="text1"/>
                <w:sz w:val="24"/>
                <w14:textFill>
                  <w14:solidFill>
                    <w14:schemeClr w14:val="tx1"/>
                  </w14:solidFill>
                </w14:textFill>
              </w:rPr>
              <w:t>0d。</w:t>
            </w:r>
          </w:p>
          <w:p w14:paraId="63E923AA">
            <w:pPr>
              <w:adjustRightInd w:val="0"/>
              <w:snapToGrid w:val="0"/>
              <w:spacing w:line="36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七</w:t>
            </w:r>
            <w:r>
              <w:rPr>
                <w:b/>
                <w:color w:val="000000" w:themeColor="text1"/>
                <w:sz w:val="24"/>
                <w14:textFill>
                  <w14:solidFill>
                    <w14:schemeClr w14:val="tx1"/>
                  </w14:solidFill>
                </w14:textFill>
              </w:rPr>
              <w:t>、平面布置</w:t>
            </w:r>
          </w:p>
          <w:p w14:paraId="16900B62">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项目在</w:t>
            </w:r>
            <w:r>
              <w:rPr>
                <w:rFonts w:hint="eastAsia"/>
                <w:color w:val="000000" w:themeColor="text1"/>
                <w:sz w:val="24"/>
                <w14:textFill>
                  <w14:solidFill>
                    <w14:schemeClr w14:val="tx1"/>
                  </w14:solidFill>
                </w14:textFill>
              </w:rPr>
              <w:t>云南建工云岭水泥有限公司</w:t>
            </w:r>
            <w:r>
              <w:rPr>
                <w:rFonts w:hint="eastAsia"/>
                <w:bCs/>
                <w:color w:val="000000" w:themeColor="text1"/>
                <w:sz w:val="24"/>
                <w14:textFill>
                  <w14:solidFill>
                    <w14:schemeClr w14:val="tx1"/>
                  </w14:solidFill>
                </w14:textFill>
              </w:rPr>
              <w:t>现有的</w:t>
            </w:r>
            <w:r>
              <w:rPr>
                <w:bCs/>
                <w:color w:val="000000" w:themeColor="text1"/>
                <w:sz w:val="24"/>
                <w14:textFill>
                  <w14:solidFill>
                    <w14:schemeClr w14:val="tx1"/>
                  </w14:solidFill>
                </w14:textFill>
              </w:rPr>
              <w:t>厂区内建设，</w:t>
            </w:r>
            <w:r>
              <w:rPr>
                <w:rFonts w:hint="eastAsia"/>
                <w:bCs/>
                <w:color w:val="000000" w:themeColor="text1"/>
                <w:sz w:val="24"/>
                <w14:textFill>
                  <w14:solidFill>
                    <w14:schemeClr w14:val="tx1"/>
                  </w14:solidFill>
                </w14:textFill>
              </w:rPr>
              <w:t>租用</w:t>
            </w:r>
            <w:r>
              <w:rPr>
                <w:rFonts w:hint="eastAsia"/>
                <w:color w:val="000000" w:themeColor="text1"/>
                <w:sz w:val="24"/>
                <w14:textFill>
                  <w14:solidFill>
                    <w14:schemeClr w14:val="tx1"/>
                  </w14:solidFill>
                </w14:textFill>
              </w:rPr>
              <w:t>2幢已建的生产厂房利旧改造后进行生产，西侧厂房建筑面积3024</w:t>
            </w:r>
            <w:r>
              <w:rPr>
                <w:color w:val="000000" w:themeColor="text1"/>
                <w:sz w:val="24"/>
                <w14:textFill>
                  <w14:solidFill>
                    <w14:schemeClr w14:val="tx1"/>
                  </w14:solidFill>
                </w14:textFill>
              </w:rPr>
              <w:t>m</w:t>
            </w:r>
            <w:r>
              <w:rPr>
                <w:color w:val="000000" w:themeColor="text1"/>
                <w:sz w:val="24"/>
                <w:vertAlign w:val="superscript"/>
                <w14:textFill>
                  <w14:solidFill>
                    <w14:schemeClr w14:val="tx1"/>
                  </w14:solidFill>
                </w14:textFill>
              </w:rPr>
              <w:t>2</w:t>
            </w:r>
            <w:r>
              <w:rPr>
                <w:rFonts w:hint="eastAsia"/>
                <w:color w:val="000000" w:themeColor="text1"/>
                <w:sz w:val="24"/>
                <w14:textFill>
                  <w14:solidFill>
                    <w14:schemeClr w14:val="tx1"/>
                  </w14:solidFill>
                </w14:textFill>
              </w:rPr>
              <w:t>，东侧厂房建筑面积990</w:t>
            </w:r>
            <w:r>
              <w:rPr>
                <w:color w:val="000000" w:themeColor="text1"/>
                <w:sz w:val="24"/>
                <w14:textFill>
                  <w14:solidFill>
                    <w14:schemeClr w14:val="tx1"/>
                  </w14:solidFill>
                </w14:textFill>
              </w:rPr>
              <w:t>m</w:t>
            </w:r>
            <w:r>
              <w:rPr>
                <w:color w:val="000000" w:themeColor="text1"/>
                <w:sz w:val="24"/>
                <w:vertAlign w:val="superscript"/>
                <w14:textFill>
                  <w14:solidFill>
                    <w14:schemeClr w14:val="tx1"/>
                  </w14:solidFill>
                </w14:textFill>
              </w:rPr>
              <w:t>2</w:t>
            </w:r>
            <w:r>
              <w:rPr>
                <w:rFonts w:hint="eastAsia"/>
                <w:color w:val="000000" w:themeColor="text1"/>
                <w:sz w:val="24"/>
                <w14:textFill>
                  <w14:solidFill>
                    <w14:schemeClr w14:val="tx1"/>
                  </w14:solidFill>
                </w14:textFill>
              </w:rPr>
              <w:t>。西侧厂房由西至东分别为原料库、拌合区、发酵区，东侧厂房由北至南分别为包装区、车辆周转区和成品库，每幢厂房内均设置有出入口与现有厂区道路相连，</w:t>
            </w:r>
            <w:r>
              <w:rPr>
                <w:rFonts w:hint="eastAsia"/>
                <w:bCs/>
                <w:color w:val="000000" w:themeColor="text1"/>
                <w:sz w:val="24"/>
                <w14:textFill>
                  <w14:solidFill>
                    <w14:schemeClr w14:val="tx1"/>
                  </w14:solidFill>
                </w14:textFill>
              </w:rPr>
              <w:t>方便运输。原料库及成品库均设置于运输道路两侧，分区设置，加工工序按照生产流程顺序进行布置，方便生产。</w:t>
            </w:r>
          </w:p>
          <w:p w14:paraId="540ACEBE">
            <w:pPr>
              <w:adjustRightInd w:val="0"/>
              <w:snapToGrid w:val="0"/>
              <w:spacing w:line="360" w:lineRule="auto"/>
              <w:ind w:firstLine="480" w:firstLineChars="200"/>
              <w:rPr>
                <w:rFonts w:hint="eastAsia"/>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本项目不设置办公生活区，依托云南建工云岭水泥有限公司已建的配套设施，位于项目东区生产厂房的东面150m处，位于项目区的侧风向；项目区最近的散户距离项目边界大于200m，减少对保护目标的影响，因此，项目平面布局较为合理。项目</w:t>
            </w:r>
            <w:r>
              <w:rPr>
                <w:bCs/>
                <w:color w:val="000000" w:themeColor="text1"/>
                <w:sz w:val="24"/>
                <w14:textFill>
                  <w14:solidFill>
                    <w14:schemeClr w14:val="tx1"/>
                  </w14:solidFill>
                </w14:textFill>
              </w:rPr>
              <w:t>平面布置图详见附图</w:t>
            </w:r>
            <w:r>
              <w:rPr>
                <w:rFonts w:hint="eastAsia"/>
                <w:bCs/>
                <w:color w:val="000000" w:themeColor="text1"/>
                <w:sz w:val="24"/>
                <w14:textFill>
                  <w14:solidFill>
                    <w14:schemeClr w14:val="tx1"/>
                  </w14:solidFill>
                </w14:textFill>
              </w:rPr>
              <w:t>3-1</w:t>
            </w:r>
            <w:r>
              <w:rPr>
                <w:bCs/>
                <w:color w:val="000000" w:themeColor="text1"/>
                <w:sz w:val="24"/>
                <w14:textFill>
                  <w14:solidFill>
                    <w14:schemeClr w14:val="tx1"/>
                  </w14:solidFill>
                </w14:textFill>
              </w:rPr>
              <w:t>。</w:t>
            </w:r>
          </w:p>
          <w:p w14:paraId="0DD6C4FA">
            <w:pPr>
              <w:adjustRightInd w:val="0"/>
              <w:snapToGrid w:val="0"/>
              <w:spacing w:line="360" w:lineRule="auto"/>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八</w:t>
            </w:r>
            <w:r>
              <w:rPr>
                <w:b/>
                <w:color w:val="000000" w:themeColor="text1"/>
                <w:sz w:val="24"/>
                <w14:textFill>
                  <w14:solidFill>
                    <w14:schemeClr w14:val="tx1"/>
                  </w14:solidFill>
                </w14:textFill>
              </w:rPr>
              <w:t>、环保投资</w:t>
            </w:r>
          </w:p>
          <w:p w14:paraId="716353E2">
            <w:pPr>
              <w:adjustRightInd w:val="0"/>
              <w:snapToGrid w:val="0"/>
              <w:spacing w:line="360" w:lineRule="auto"/>
              <w:ind w:right="57" w:firstLine="480" w:firstLineChars="200"/>
              <w:rPr>
                <w:snapToGrid w:val="0"/>
                <w:color w:val="000000" w:themeColor="text1"/>
                <w:kern w:val="0"/>
                <w:sz w:val="24"/>
                <w14:textFill>
                  <w14:solidFill>
                    <w14:schemeClr w14:val="tx1"/>
                  </w14:solidFill>
                </w14:textFill>
              </w:rPr>
            </w:pPr>
            <w:r>
              <w:rPr>
                <w:snapToGrid w:val="0"/>
                <w:color w:val="000000" w:themeColor="text1"/>
                <w:kern w:val="0"/>
                <w:sz w:val="24"/>
                <w14:textFill>
                  <w14:solidFill>
                    <w14:schemeClr w14:val="tx1"/>
                  </w14:solidFill>
                </w14:textFill>
              </w:rPr>
              <w:t>本项目总投资为</w:t>
            </w:r>
            <w:r>
              <w:rPr>
                <w:rFonts w:hint="eastAsia"/>
                <w:color w:val="000000" w:themeColor="text1"/>
                <w:sz w:val="24"/>
                <w14:textFill>
                  <w14:solidFill>
                    <w14:schemeClr w14:val="tx1"/>
                  </w14:solidFill>
                </w14:textFill>
              </w:rPr>
              <w:t>663</w:t>
            </w:r>
            <w:r>
              <w:rPr>
                <w:color w:val="000000" w:themeColor="text1"/>
                <w:sz w:val="24"/>
                <w14:textFill>
                  <w14:solidFill>
                    <w14:schemeClr w14:val="tx1"/>
                  </w14:solidFill>
                </w14:textFill>
              </w:rPr>
              <w:t>万元</w:t>
            </w:r>
            <w:r>
              <w:rPr>
                <w:snapToGrid w:val="0"/>
                <w:color w:val="000000" w:themeColor="text1"/>
                <w:kern w:val="0"/>
                <w:sz w:val="24"/>
                <w14:textFill>
                  <w14:solidFill>
                    <w14:schemeClr w14:val="tx1"/>
                  </w14:solidFill>
                </w14:textFill>
              </w:rPr>
              <w:t>，资金由建设单位自筹，其中环保投资约为</w:t>
            </w:r>
            <w:r>
              <w:rPr>
                <w:rFonts w:hint="eastAsia"/>
                <w:snapToGrid w:val="0"/>
                <w:color w:val="000000" w:themeColor="text1"/>
                <w:kern w:val="0"/>
                <w:sz w:val="24"/>
                <w14:textFill>
                  <w14:solidFill>
                    <w14:schemeClr w14:val="tx1"/>
                  </w14:solidFill>
                </w14:textFill>
              </w:rPr>
              <w:t>50.05</w:t>
            </w:r>
            <w:r>
              <w:rPr>
                <w:snapToGrid w:val="0"/>
                <w:color w:val="000000" w:themeColor="text1"/>
                <w:kern w:val="0"/>
                <w:sz w:val="24"/>
                <w14:textFill>
                  <w14:solidFill>
                    <w14:schemeClr w14:val="tx1"/>
                  </w14:solidFill>
                </w14:textFill>
              </w:rPr>
              <w:t>万元，占总投资的</w:t>
            </w:r>
            <w:r>
              <w:rPr>
                <w:rFonts w:hint="eastAsia"/>
                <w:snapToGrid w:val="0"/>
                <w:color w:val="000000" w:themeColor="text1"/>
                <w:kern w:val="0"/>
                <w:sz w:val="24"/>
                <w14:textFill>
                  <w14:solidFill>
                    <w14:schemeClr w14:val="tx1"/>
                  </w14:solidFill>
                </w14:textFill>
              </w:rPr>
              <w:t>7.5</w:t>
            </w:r>
            <w:r>
              <w:rPr>
                <w:snapToGrid w:val="0"/>
                <w:color w:val="000000" w:themeColor="text1"/>
                <w:kern w:val="0"/>
                <w:sz w:val="24"/>
                <w14:textFill>
                  <w14:solidFill>
                    <w14:schemeClr w14:val="tx1"/>
                  </w14:solidFill>
                </w14:textFill>
              </w:rPr>
              <w:t>%。环保投资见表2-</w:t>
            </w:r>
            <w:r>
              <w:rPr>
                <w:rFonts w:hint="eastAsia"/>
                <w:snapToGrid w:val="0"/>
                <w:color w:val="000000" w:themeColor="text1"/>
                <w:kern w:val="0"/>
                <w:sz w:val="24"/>
                <w14:textFill>
                  <w14:solidFill>
                    <w14:schemeClr w14:val="tx1"/>
                  </w14:solidFill>
                </w14:textFill>
              </w:rPr>
              <w:t>11</w:t>
            </w:r>
            <w:r>
              <w:rPr>
                <w:snapToGrid w:val="0"/>
                <w:color w:val="000000" w:themeColor="text1"/>
                <w:kern w:val="0"/>
                <w:sz w:val="24"/>
                <w14:textFill>
                  <w14:solidFill>
                    <w14:schemeClr w14:val="tx1"/>
                  </w14:solidFill>
                </w14:textFill>
              </w:rPr>
              <w:t>所示。</w:t>
            </w:r>
          </w:p>
          <w:p w14:paraId="4AD71D2D">
            <w:pPr>
              <w:jc w:val="center"/>
              <w:rPr>
                <w:bCs/>
                <w:color w:val="000000" w:themeColor="text1"/>
                <w:szCs w:val="21"/>
                <w14:textFill>
                  <w14:solidFill>
                    <w14:schemeClr w14:val="tx1"/>
                  </w14:solidFill>
                </w14:textFill>
              </w:rPr>
            </w:pPr>
            <w:r>
              <w:rPr>
                <w:b/>
                <w:bCs/>
                <w:snapToGrid w:val="0"/>
                <w:color w:val="000000" w:themeColor="text1"/>
                <w:kern w:val="0"/>
                <w:szCs w:val="21"/>
                <w14:textFill>
                  <w14:solidFill>
                    <w14:schemeClr w14:val="tx1"/>
                  </w14:solidFill>
                </w14:textFill>
              </w:rPr>
              <w:t>表2-</w:t>
            </w:r>
            <w:r>
              <w:rPr>
                <w:rFonts w:hint="eastAsia"/>
                <w:b/>
                <w:bCs/>
                <w:snapToGrid w:val="0"/>
                <w:color w:val="000000" w:themeColor="text1"/>
                <w:kern w:val="0"/>
                <w:szCs w:val="21"/>
                <w14:textFill>
                  <w14:solidFill>
                    <w14:schemeClr w14:val="tx1"/>
                  </w14:solidFill>
                </w14:textFill>
              </w:rPr>
              <w:t>11</w:t>
            </w:r>
            <w:r>
              <w:rPr>
                <w:b/>
                <w:bCs/>
                <w:snapToGrid w:val="0"/>
                <w:color w:val="000000" w:themeColor="text1"/>
                <w:kern w:val="0"/>
                <w:szCs w:val="21"/>
                <w14:textFill>
                  <w14:solidFill>
                    <w14:schemeClr w14:val="tx1"/>
                  </w14:solidFill>
                </w14:textFill>
              </w:rPr>
              <w:t xml:space="preserve">  项目环保投资一览</w:t>
            </w:r>
          </w:p>
          <w:tbl>
            <w:tblPr>
              <w:tblStyle w:val="2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1"/>
              <w:gridCol w:w="808"/>
              <w:gridCol w:w="1065"/>
              <w:gridCol w:w="3349"/>
              <w:gridCol w:w="1419"/>
              <w:gridCol w:w="873"/>
            </w:tblGrid>
            <w:tr w14:paraId="6E69C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774" w:type="pct"/>
                  <w:gridSpan w:val="2"/>
                  <w:vAlign w:val="center"/>
                </w:tcPr>
                <w:p w14:paraId="35D0D96B">
                  <w:pPr>
                    <w:pStyle w:val="57"/>
                    <w:jc w:val="center"/>
                    <w:rPr>
                      <w:rFonts w:eastAsiaTheme="minorEastAsia"/>
                      <w:color w:val="000000" w:themeColor="text1"/>
                      <w:szCs w:val="21"/>
                      <w:lang w:eastAsia="zh-CN"/>
                      <w14:textFill>
                        <w14:solidFill>
                          <w14:schemeClr w14:val="tx1"/>
                        </w14:solidFill>
                      </w14:textFill>
                    </w:rPr>
                  </w:pPr>
                  <w:r>
                    <w:rPr>
                      <w:rFonts w:eastAsiaTheme="minorEastAsia"/>
                      <w:color w:val="000000" w:themeColor="text1"/>
                      <w:szCs w:val="21"/>
                      <w:lang w:eastAsia="zh-CN"/>
                      <w14:textFill>
                        <w14:solidFill>
                          <w14:schemeClr w14:val="tx1"/>
                        </w14:solidFill>
                      </w14:textFill>
                    </w:rPr>
                    <w:t>项目</w:t>
                  </w:r>
                </w:p>
              </w:tc>
              <w:tc>
                <w:tcPr>
                  <w:tcW w:w="2781" w:type="pct"/>
                  <w:gridSpan w:val="2"/>
                  <w:vAlign w:val="center"/>
                </w:tcPr>
                <w:p w14:paraId="1611F74E">
                  <w:pPr>
                    <w:pStyle w:val="57"/>
                    <w:jc w:val="center"/>
                    <w:rPr>
                      <w:rFonts w:eastAsiaTheme="minorEastAsia"/>
                      <w:color w:val="000000" w:themeColor="text1"/>
                      <w:szCs w:val="21"/>
                      <w:lang w:eastAsia="zh-CN"/>
                      <w14:textFill>
                        <w14:solidFill>
                          <w14:schemeClr w14:val="tx1"/>
                        </w14:solidFill>
                      </w14:textFill>
                    </w:rPr>
                  </w:pPr>
                  <w:r>
                    <w:rPr>
                      <w:rFonts w:eastAsiaTheme="minorEastAsia"/>
                      <w:color w:val="000000" w:themeColor="text1"/>
                      <w:szCs w:val="21"/>
                      <w:lang w:eastAsia="zh-CN"/>
                      <w14:textFill>
                        <w14:solidFill>
                          <w14:schemeClr w14:val="tx1"/>
                        </w14:solidFill>
                      </w14:textFill>
                    </w:rPr>
                    <w:t>环保</w:t>
                  </w:r>
                  <w:r>
                    <w:rPr>
                      <w:rFonts w:eastAsiaTheme="minorEastAsia"/>
                      <w:color w:val="000000" w:themeColor="text1"/>
                      <w:spacing w:val="-3"/>
                      <w:szCs w:val="21"/>
                      <w:lang w:eastAsia="zh-CN"/>
                      <w14:textFill>
                        <w14:solidFill>
                          <w14:schemeClr w14:val="tx1"/>
                        </w14:solidFill>
                      </w14:textFill>
                    </w:rPr>
                    <w:t>措</w:t>
                  </w:r>
                  <w:r>
                    <w:rPr>
                      <w:rFonts w:eastAsiaTheme="minorEastAsia"/>
                      <w:color w:val="000000" w:themeColor="text1"/>
                      <w:szCs w:val="21"/>
                      <w:lang w:eastAsia="zh-CN"/>
                      <w14:textFill>
                        <w14:solidFill>
                          <w14:schemeClr w14:val="tx1"/>
                        </w14:solidFill>
                      </w14:textFill>
                    </w:rPr>
                    <w:t>施</w:t>
                  </w:r>
                </w:p>
              </w:tc>
              <w:tc>
                <w:tcPr>
                  <w:tcW w:w="892" w:type="pct"/>
                  <w:vAlign w:val="center"/>
                </w:tcPr>
                <w:p w14:paraId="082F799B">
                  <w:pPr>
                    <w:pStyle w:val="57"/>
                    <w:jc w:val="center"/>
                    <w:rPr>
                      <w:rFonts w:eastAsiaTheme="minorEastAsia"/>
                      <w:color w:val="000000" w:themeColor="text1"/>
                      <w:szCs w:val="21"/>
                      <w:lang w:eastAsia="zh-CN"/>
                      <w14:textFill>
                        <w14:solidFill>
                          <w14:schemeClr w14:val="tx1"/>
                        </w14:solidFill>
                      </w14:textFill>
                    </w:rPr>
                  </w:pPr>
                  <w:r>
                    <w:rPr>
                      <w:rFonts w:eastAsiaTheme="minorEastAsia"/>
                      <w:color w:val="000000" w:themeColor="text1"/>
                      <w:szCs w:val="21"/>
                      <w:lang w:eastAsia="zh-CN"/>
                      <w14:textFill>
                        <w14:solidFill>
                          <w14:schemeClr w14:val="tx1"/>
                        </w14:solidFill>
                      </w14:textFill>
                    </w:rPr>
                    <w:t>规模</w:t>
                  </w:r>
                </w:p>
              </w:tc>
              <w:tc>
                <w:tcPr>
                  <w:tcW w:w="550" w:type="pct"/>
                  <w:vAlign w:val="center"/>
                </w:tcPr>
                <w:p w14:paraId="1A0702DF">
                  <w:pPr>
                    <w:pStyle w:val="57"/>
                    <w:jc w:val="center"/>
                    <w:rPr>
                      <w:rFonts w:eastAsiaTheme="minorEastAsia"/>
                      <w:color w:val="000000" w:themeColor="text1"/>
                      <w:szCs w:val="21"/>
                      <w:lang w:eastAsia="zh-CN"/>
                      <w14:textFill>
                        <w14:solidFill>
                          <w14:schemeClr w14:val="tx1"/>
                        </w14:solidFill>
                      </w14:textFill>
                    </w:rPr>
                  </w:pPr>
                  <w:r>
                    <w:rPr>
                      <w:rFonts w:eastAsiaTheme="minorEastAsia"/>
                      <w:color w:val="000000" w:themeColor="text1"/>
                      <w:szCs w:val="21"/>
                      <w:lang w:eastAsia="zh-CN"/>
                      <w14:textFill>
                        <w14:solidFill>
                          <w14:schemeClr w14:val="tx1"/>
                        </w14:solidFill>
                      </w14:textFill>
                    </w:rPr>
                    <w:t>投资</w:t>
                  </w:r>
                  <w:r>
                    <w:rPr>
                      <w:rFonts w:hint="eastAsia" w:eastAsiaTheme="minorEastAsia"/>
                      <w:color w:val="000000" w:themeColor="text1"/>
                      <w:szCs w:val="21"/>
                      <w:lang w:eastAsia="zh-CN"/>
                      <w14:textFill>
                        <w14:solidFill>
                          <w14:schemeClr w14:val="tx1"/>
                        </w14:solidFill>
                      </w14:textFill>
                    </w:rPr>
                    <w:t>（万）</w:t>
                  </w:r>
                </w:p>
              </w:tc>
            </w:tr>
            <w:tr w14:paraId="3DB3A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9" w:hRule="atLeast"/>
                <w:jc w:val="center"/>
              </w:trPr>
              <w:tc>
                <w:tcPr>
                  <w:tcW w:w="265" w:type="pct"/>
                  <w:vMerge w:val="restart"/>
                  <w:vAlign w:val="center"/>
                </w:tcPr>
                <w:p w14:paraId="6079CAC6">
                  <w:pPr>
                    <w:pStyle w:val="65"/>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施工期</w:t>
                  </w:r>
                </w:p>
              </w:tc>
              <w:tc>
                <w:tcPr>
                  <w:tcW w:w="508" w:type="pct"/>
                  <w:vMerge w:val="restart"/>
                  <w:vAlign w:val="center"/>
                </w:tcPr>
                <w:p w14:paraId="71A7B13A">
                  <w:pPr>
                    <w:pStyle w:val="65"/>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废水</w:t>
                  </w:r>
                </w:p>
              </w:tc>
              <w:tc>
                <w:tcPr>
                  <w:tcW w:w="2781" w:type="pct"/>
                  <w:gridSpan w:val="2"/>
                  <w:vAlign w:val="center"/>
                </w:tcPr>
                <w:p w14:paraId="5D7EB3DF">
                  <w:pPr>
                    <w:pStyle w:val="57"/>
                    <w:jc w:val="center"/>
                    <w:rPr>
                      <w:rFonts w:eastAsiaTheme="minorEastAsia"/>
                      <w:color w:val="000000" w:themeColor="text1"/>
                      <w:szCs w:val="21"/>
                      <w:lang w:eastAsia="zh-CN"/>
                      <w14:textFill>
                        <w14:solidFill>
                          <w14:schemeClr w14:val="tx1"/>
                        </w14:solidFill>
                      </w14:textFill>
                    </w:rPr>
                  </w:pPr>
                  <w:r>
                    <w:rPr>
                      <w:rFonts w:eastAsiaTheme="minorEastAsia"/>
                      <w:color w:val="000000" w:themeColor="text1"/>
                      <w:szCs w:val="21"/>
                      <w:lang w:eastAsia="zh-CN"/>
                      <w14:textFill>
                        <w14:solidFill>
                          <w14:schemeClr w14:val="tx1"/>
                        </w14:solidFill>
                      </w14:textFill>
                    </w:rPr>
                    <w:t>施工废水收集池</w:t>
                  </w:r>
                </w:p>
              </w:tc>
              <w:tc>
                <w:tcPr>
                  <w:tcW w:w="892" w:type="pct"/>
                  <w:vAlign w:val="center"/>
                </w:tcPr>
                <w:p w14:paraId="2A8F1BD2">
                  <w:pPr>
                    <w:pStyle w:val="65"/>
                    <w:rPr>
                      <w:rFonts w:ascii="Times New Roman" w:hAnsi="Times New Roman" w:eastAsiaTheme="minorEastAsia"/>
                      <w:b/>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1个，1m</w:t>
                  </w:r>
                  <w:r>
                    <w:rPr>
                      <w:rFonts w:ascii="Times New Roman" w:hAnsi="Times New Roman" w:eastAsiaTheme="minorEastAsia"/>
                      <w:color w:val="000000" w:themeColor="text1"/>
                      <w:sz w:val="21"/>
                      <w:szCs w:val="21"/>
                      <w:vertAlign w:val="superscript"/>
                      <w14:textFill>
                        <w14:solidFill>
                          <w14:schemeClr w14:val="tx1"/>
                        </w14:solidFill>
                      </w14:textFill>
                    </w:rPr>
                    <w:t>3</w:t>
                  </w:r>
                </w:p>
              </w:tc>
              <w:tc>
                <w:tcPr>
                  <w:tcW w:w="550" w:type="pct"/>
                  <w:vAlign w:val="center"/>
                </w:tcPr>
                <w:p w14:paraId="7B77E43C">
                  <w:pPr>
                    <w:pStyle w:val="65"/>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0.2</w:t>
                  </w:r>
                </w:p>
              </w:tc>
            </w:tr>
            <w:tr w14:paraId="5B377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continue"/>
                  <w:vAlign w:val="center"/>
                </w:tcPr>
                <w:p w14:paraId="26C7D5E3">
                  <w:pPr>
                    <w:pStyle w:val="65"/>
                    <w:rPr>
                      <w:rFonts w:ascii="Times New Roman" w:hAnsi="Times New Roman" w:eastAsiaTheme="minorEastAsia"/>
                      <w:b/>
                      <w:color w:val="000000" w:themeColor="text1"/>
                      <w:sz w:val="21"/>
                      <w:szCs w:val="21"/>
                      <w14:textFill>
                        <w14:solidFill>
                          <w14:schemeClr w14:val="tx1"/>
                        </w14:solidFill>
                      </w14:textFill>
                    </w:rPr>
                  </w:pPr>
                </w:p>
              </w:tc>
              <w:tc>
                <w:tcPr>
                  <w:tcW w:w="508" w:type="pct"/>
                  <w:vMerge w:val="restart"/>
                  <w:vAlign w:val="center"/>
                </w:tcPr>
                <w:p w14:paraId="6F183337">
                  <w:pPr>
                    <w:jc w:val="center"/>
                    <w:rPr>
                      <w:rFonts w:eastAsiaTheme="minorEastAsia"/>
                      <w:color w:val="000000" w:themeColor="text1"/>
                      <w:kern w:val="0"/>
                      <w:lang w:eastAsia="en-US"/>
                      <w14:textFill>
                        <w14:solidFill>
                          <w14:schemeClr w14:val="tx1"/>
                        </w14:solidFill>
                      </w14:textFill>
                    </w:rPr>
                  </w:pPr>
                  <w:r>
                    <w:rPr>
                      <w:rFonts w:eastAsiaTheme="minorEastAsia"/>
                      <w:color w:val="000000" w:themeColor="text1"/>
                      <w:kern w:val="0"/>
                      <w:lang w:eastAsia="en-US"/>
                      <w14:textFill>
                        <w14:solidFill>
                          <w14:schemeClr w14:val="tx1"/>
                        </w14:solidFill>
                      </w14:textFill>
                    </w:rPr>
                    <w:t>废气</w:t>
                  </w:r>
                </w:p>
              </w:tc>
              <w:tc>
                <w:tcPr>
                  <w:tcW w:w="2781" w:type="pct"/>
                  <w:gridSpan w:val="2"/>
                  <w:vAlign w:val="center"/>
                </w:tcPr>
                <w:p w14:paraId="197A16E3">
                  <w:pPr>
                    <w:jc w:val="center"/>
                    <w:rPr>
                      <w:rFonts w:eastAsiaTheme="minorEastAsia"/>
                      <w:color w:val="000000" w:themeColor="text1"/>
                      <w:kern w:val="0"/>
                      <w:lang w:eastAsia="en-US"/>
                      <w14:textFill>
                        <w14:solidFill>
                          <w14:schemeClr w14:val="tx1"/>
                        </w14:solidFill>
                      </w14:textFill>
                    </w:rPr>
                  </w:pPr>
                  <w:r>
                    <w:rPr>
                      <w:rFonts w:eastAsiaTheme="minorEastAsia"/>
                      <w:color w:val="000000" w:themeColor="text1"/>
                      <w:kern w:val="0"/>
                      <w:lang w:eastAsia="en-US"/>
                      <w14:textFill>
                        <w14:solidFill>
                          <w14:schemeClr w14:val="tx1"/>
                        </w14:solidFill>
                      </w14:textFill>
                    </w:rPr>
                    <w:t>施工场地洒水设施</w:t>
                  </w:r>
                </w:p>
              </w:tc>
              <w:tc>
                <w:tcPr>
                  <w:tcW w:w="892" w:type="pct"/>
                  <w:vAlign w:val="center"/>
                </w:tcPr>
                <w:p w14:paraId="1474AF5A">
                  <w:pPr>
                    <w:jc w:val="center"/>
                    <w:rPr>
                      <w:rFonts w:eastAsiaTheme="minorEastAsia"/>
                      <w:color w:val="000000" w:themeColor="text1"/>
                      <w:kern w:val="0"/>
                      <w14:textFill>
                        <w14:solidFill>
                          <w14:schemeClr w14:val="tx1"/>
                        </w14:solidFill>
                      </w14:textFill>
                    </w:rPr>
                  </w:pPr>
                  <w:r>
                    <w:rPr>
                      <w:rFonts w:eastAsiaTheme="minorEastAsia"/>
                      <w:color w:val="000000" w:themeColor="text1"/>
                      <w:kern w:val="0"/>
                      <w14:textFill>
                        <w14:solidFill>
                          <w14:schemeClr w14:val="tx1"/>
                        </w14:solidFill>
                      </w14:textFill>
                    </w:rPr>
                    <w:t>/</w:t>
                  </w:r>
                </w:p>
              </w:tc>
              <w:tc>
                <w:tcPr>
                  <w:tcW w:w="550" w:type="pct"/>
                  <w:vAlign w:val="center"/>
                </w:tcPr>
                <w:p w14:paraId="70D394E4">
                  <w:pPr>
                    <w:pStyle w:val="65"/>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1</w:t>
                  </w:r>
                </w:p>
              </w:tc>
            </w:tr>
            <w:tr w14:paraId="54631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continue"/>
                  <w:vAlign w:val="center"/>
                </w:tcPr>
                <w:p w14:paraId="4738A009">
                  <w:pPr>
                    <w:pStyle w:val="65"/>
                    <w:rPr>
                      <w:rFonts w:ascii="Times New Roman" w:hAnsi="Times New Roman" w:eastAsiaTheme="minorEastAsia"/>
                      <w:b/>
                      <w:color w:val="000000" w:themeColor="text1"/>
                      <w:sz w:val="21"/>
                      <w:szCs w:val="21"/>
                      <w14:textFill>
                        <w14:solidFill>
                          <w14:schemeClr w14:val="tx1"/>
                        </w14:solidFill>
                      </w14:textFill>
                    </w:rPr>
                  </w:pPr>
                </w:p>
              </w:tc>
              <w:tc>
                <w:tcPr>
                  <w:tcW w:w="508" w:type="pct"/>
                  <w:vMerge w:val="continue"/>
                  <w:vAlign w:val="center"/>
                </w:tcPr>
                <w:p w14:paraId="6D7BCAAA">
                  <w:pPr>
                    <w:pStyle w:val="57"/>
                    <w:jc w:val="center"/>
                    <w:rPr>
                      <w:rFonts w:eastAsiaTheme="minorEastAsia"/>
                      <w:color w:val="000000" w:themeColor="text1"/>
                      <w:szCs w:val="21"/>
                      <w14:textFill>
                        <w14:solidFill>
                          <w14:schemeClr w14:val="tx1"/>
                        </w14:solidFill>
                      </w14:textFill>
                    </w:rPr>
                  </w:pPr>
                </w:p>
              </w:tc>
              <w:tc>
                <w:tcPr>
                  <w:tcW w:w="2781" w:type="pct"/>
                  <w:gridSpan w:val="2"/>
                  <w:vAlign w:val="center"/>
                </w:tcPr>
                <w:p w14:paraId="7B3B3866">
                  <w:pPr>
                    <w:pStyle w:val="57"/>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帷幕遮挡</w:t>
                  </w:r>
                </w:p>
              </w:tc>
              <w:tc>
                <w:tcPr>
                  <w:tcW w:w="892" w:type="pct"/>
                  <w:vAlign w:val="center"/>
                </w:tcPr>
                <w:p w14:paraId="380F5236">
                  <w:pPr>
                    <w:jc w:val="center"/>
                    <w:rPr>
                      <w:rFonts w:eastAsiaTheme="minorEastAsia"/>
                      <w:color w:val="000000" w:themeColor="text1"/>
                      <w:kern w:val="0"/>
                      <w14:textFill>
                        <w14:solidFill>
                          <w14:schemeClr w14:val="tx1"/>
                        </w14:solidFill>
                      </w14:textFill>
                    </w:rPr>
                  </w:pPr>
                  <w:r>
                    <w:rPr>
                      <w:rFonts w:eastAsiaTheme="minorEastAsia"/>
                      <w:color w:val="000000" w:themeColor="text1"/>
                      <w:kern w:val="0"/>
                      <w14:textFill>
                        <w14:solidFill>
                          <w14:schemeClr w14:val="tx1"/>
                        </w14:solidFill>
                      </w14:textFill>
                    </w:rPr>
                    <w:t>/</w:t>
                  </w:r>
                </w:p>
              </w:tc>
              <w:tc>
                <w:tcPr>
                  <w:tcW w:w="550" w:type="pct"/>
                  <w:vAlign w:val="center"/>
                </w:tcPr>
                <w:p w14:paraId="6A648798">
                  <w:pPr>
                    <w:pStyle w:val="65"/>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1</w:t>
                  </w:r>
                </w:p>
              </w:tc>
            </w:tr>
            <w:tr w14:paraId="56D28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continue"/>
                  <w:vAlign w:val="center"/>
                </w:tcPr>
                <w:p w14:paraId="24C6244A">
                  <w:pPr>
                    <w:pStyle w:val="65"/>
                    <w:rPr>
                      <w:rFonts w:ascii="Times New Roman" w:hAnsi="Times New Roman" w:eastAsiaTheme="minorEastAsia"/>
                      <w:b/>
                      <w:color w:val="000000" w:themeColor="text1"/>
                      <w:sz w:val="21"/>
                      <w:szCs w:val="21"/>
                      <w14:textFill>
                        <w14:solidFill>
                          <w14:schemeClr w14:val="tx1"/>
                        </w14:solidFill>
                      </w14:textFill>
                    </w:rPr>
                  </w:pPr>
                </w:p>
              </w:tc>
              <w:tc>
                <w:tcPr>
                  <w:tcW w:w="508" w:type="pct"/>
                  <w:vMerge w:val="restart"/>
                  <w:vAlign w:val="center"/>
                </w:tcPr>
                <w:p w14:paraId="7D94599A">
                  <w:pPr>
                    <w:pStyle w:val="57"/>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固</w:t>
                  </w:r>
                  <w:r>
                    <w:rPr>
                      <w:rFonts w:eastAsiaTheme="minorEastAsia"/>
                      <w:color w:val="000000" w:themeColor="text1"/>
                      <w:spacing w:val="-3"/>
                      <w:szCs w:val="21"/>
                      <w14:textFill>
                        <w14:solidFill>
                          <w14:schemeClr w14:val="tx1"/>
                        </w14:solidFill>
                      </w14:textFill>
                    </w:rPr>
                    <w:t>废</w:t>
                  </w:r>
                </w:p>
              </w:tc>
              <w:tc>
                <w:tcPr>
                  <w:tcW w:w="2781" w:type="pct"/>
                  <w:gridSpan w:val="2"/>
                  <w:vAlign w:val="center"/>
                </w:tcPr>
                <w:p w14:paraId="6399C5BF">
                  <w:pPr>
                    <w:pStyle w:val="57"/>
                    <w:jc w:val="center"/>
                    <w:rPr>
                      <w:rFonts w:eastAsiaTheme="minorEastAsia"/>
                      <w:color w:val="000000" w:themeColor="text1"/>
                      <w:szCs w:val="21"/>
                      <w14:textFill>
                        <w14:solidFill>
                          <w14:schemeClr w14:val="tx1"/>
                        </w14:solidFill>
                      </w14:textFill>
                    </w:rPr>
                  </w:pPr>
                  <w:r>
                    <w:rPr>
                      <w:rFonts w:eastAsiaTheme="minorEastAsia"/>
                      <w:color w:val="000000" w:themeColor="text1"/>
                      <w:szCs w:val="21"/>
                      <w14:textFill>
                        <w14:solidFill>
                          <w14:schemeClr w14:val="tx1"/>
                        </w14:solidFill>
                      </w14:textFill>
                    </w:rPr>
                    <w:t>垃圾桶</w:t>
                  </w:r>
                </w:p>
              </w:tc>
              <w:tc>
                <w:tcPr>
                  <w:tcW w:w="892" w:type="pct"/>
                </w:tcPr>
                <w:p w14:paraId="07B763CC">
                  <w:pPr>
                    <w:pStyle w:val="57"/>
                    <w:spacing w:before="67"/>
                    <w:ind w:left="2"/>
                    <w:jc w:val="center"/>
                    <w:rPr>
                      <w:rFonts w:eastAsiaTheme="minorEastAsia"/>
                      <w:color w:val="000000" w:themeColor="text1"/>
                      <w:szCs w:val="21"/>
                      <w:lang w:eastAsia="zh-CN"/>
                      <w14:textFill>
                        <w14:solidFill>
                          <w14:schemeClr w14:val="tx1"/>
                        </w14:solidFill>
                      </w14:textFill>
                    </w:rPr>
                  </w:pPr>
                  <w:r>
                    <w:rPr>
                      <w:rFonts w:eastAsiaTheme="minorEastAsia"/>
                      <w:color w:val="000000" w:themeColor="text1"/>
                      <w:szCs w:val="21"/>
                      <w:lang w:eastAsia="zh-CN"/>
                      <w14:textFill>
                        <w14:solidFill>
                          <w14:schemeClr w14:val="tx1"/>
                        </w14:solidFill>
                      </w14:textFill>
                    </w:rPr>
                    <w:t>/</w:t>
                  </w:r>
                </w:p>
              </w:tc>
              <w:tc>
                <w:tcPr>
                  <w:tcW w:w="550" w:type="pct"/>
                  <w:vAlign w:val="center"/>
                </w:tcPr>
                <w:p w14:paraId="5F5A26F9">
                  <w:pPr>
                    <w:pStyle w:val="65"/>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0.1</w:t>
                  </w:r>
                </w:p>
              </w:tc>
            </w:tr>
            <w:tr w14:paraId="1024F3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continue"/>
                  <w:vAlign w:val="center"/>
                </w:tcPr>
                <w:p w14:paraId="7FC76520">
                  <w:pPr>
                    <w:pStyle w:val="65"/>
                    <w:rPr>
                      <w:rFonts w:ascii="Times New Roman" w:hAnsi="Times New Roman" w:eastAsiaTheme="minorEastAsia"/>
                      <w:b/>
                      <w:color w:val="000000" w:themeColor="text1"/>
                      <w:sz w:val="21"/>
                      <w:szCs w:val="21"/>
                      <w14:textFill>
                        <w14:solidFill>
                          <w14:schemeClr w14:val="tx1"/>
                        </w14:solidFill>
                      </w14:textFill>
                    </w:rPr>
                  </w:pPr>
                </w:p>
              </w:tc>
              <w:tc>
                <w:tcPr>
                  <w:tcW w:w="508" w:type="pct"/>
                  <w:vMerge w:val="continue"/>
                  <w:vAlign w:val="center"/>
                </w:tcPr>
                <w:p w14:paraId="28AD3B2E">
                  <w:pPr>
                    <w:pStyle w:val="57"/>
                    <w:jc w:val="center"/>
                    <w:rPr>
                      <w:rFonts w:eastAsiaTheme="minorEastAsia"/>
                      <w:color w:val="000000" w:themeColor="text1"/>
                      <w:szCs w:val="21"/>
                      <w14:textFill>
                        <w14:solidFill>
                          <w14:schemeClr w14:val="tx1"/>
                        </w14:solidFill>
                      </w14:textFill>
                    </w:rPr>
                  </w:pPr>
                </w:p>
              </w:tc>
              <w:tc>
                <w:tcPr>
                  <w:tcW w:w="2781" w:type="pct"/>
                  <w:gridSpan w:val="2"/>
                  <w:vAlign w:val="center"/>
                </w:tcPr>
                <w:p w14:paraId="6CF47B3C">
                  <w:pPr>
                    <w:pStyle w:val="57"/>
                    <w:jc w:val="center"/>
                    <w:rPr>
                      <w:rFonts w:eastAsiaTheme="minorEastAsia"/>
                      <w:color w:val="000000" w:themeColor="text1"/>
                      <w:szCs w:val="21"/>
                      <w:lang w:eastAsia="zh-CN"/>
                      <w14:textFill>
                        <w14:solidFill>
                          <w14:schemeClr w14:val="tx1"/>
                        </w14:solidFill>
                      </w14:textFill>
                    </w:rPr>
                  </w:pPr>
                  <w:r>
                    <w:rPr>
                      <w:rFonts w:hint="eastAsia" w:eastAsiaTheme="minorEastAsia"/>
                      <w:color w:val="000000" w:themeColor="text1"/>
                      <w:szCs w:val="21"/>
                      <w:lang w:eastAsia="zh-CN"/>
                      <w14:textFill>
                        <w14:solidFill>
                          <w14:schemeClr w14:val="tx1"/>
                        </w14:solidFill>
                      </w14:textFill>
                    </w:rPr>
                    <w:t>建筑垃圾清运费</w:t>
                  </w:r>
                </w:p>
              </w:tc>
              <w:tc>
                <w:tcPr>
                  <w:tcW w:w="892" w:type="pct"/>
                </w:tcPr>
                <w:p w14:paraId="10F872A0">
                  <w:pPr>
                    <w:pStyle w:val="57"/>
                    <w:spacing w:before="67"/>
                    <w:ind w:left="2"/>
                    <w:jc w:val="center"/>
                    <w:rPr>
                      <w:rFonts w:eastAsiaTheme="minorEastAsia"/>
                      <w:color w:val="000000" w:themeColor="text1"/>
                      <w:szCs w:val="21"/>
                      <w:lang w:eastAsia="zh-CN"/>
                      <w14:textFill>
                        <w14:solidFill>
                          <w14:schemeClr w14:val="tx1"/>
                        </w14:solidFill>
                      </w14:textFill>
                    </w:rPr>
                  </w:pPr>
                  <w:r>
                    <w:rPr>
                      <w:rFonts w:hint="eastAsia" w:eastAsiaTheme="minorEastAsia"/>
                      <w:color w:val="000000" w:themeColor="text1"/>
                      <w:szCs w:val="21"/>
                      <w:lang w:eastAsia="zh-CN"/>
                      <w14:textFill>
                        <w14:solidFill>
                          <w14:schemeClr w14:val="tx1"/>
                        </w14:solidFill>
                      </w14:textFill>
                    </w:rPr>
                    <w:t>/</w:t>
                  </w:r>
                </w:p>
              </w:tc>
              <w:tc>
                <w:tcPr>
                  <w:tcW w:w="550" w:type="pct"/>
                  <w:vAlign w:val="center"/>
                </w:tcPr>
                <w:p w14:paraId="4D567E7F">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1.5</w:t>
                  </w:r>
                </w:p>
              </w:tc>
            </w:tr>
            <w:tr w14:paraId="1B03D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restart"/>
                  <w:vAlign w:val="center"/>
                </w:tcPr>
                <w:p w14:paraId="6F006F05">
                  <w:pPr>
                    <w:pStyle w:val="65"/>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运营期</w:t>
                  </w:r>
                </w:p>
              </w:tc>
              <w:tc>
                <w:tcPr>
                  <w:tcW w:w="508" w:type="pct"/>
                  <w:vMerge w:val="restart"/>
                  <w:vAlign w:val="center"/>
                </w:tcPr>
                <w:p w14:paraId="5CB35AD4">
                  <w:pPr>
                    <w:pStyle w:val="65"/>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废水</w:t>
                  </w:r>
                </w:p>
              </w:tc>
              <w:tc>
                <w:tcPr>
                  <w:tcW w:w="2781" w:type="pct"/>
                  <w:gridSpan w:val="2"/>
                  <w:vAlign w:val="center"/>
                </w:tcPr>
                <w:p w14:paraId="5481A2C4">
                  <w:pPr>
                    <w:jc w:val="center"/>
                    <w:rPr>
                      <w:rFonts w:eastAsiaTheme="minorEastAsia"/>
                      <w:color w:val="000000" w:themeColor="text1"/>
                      <w:kern w:val="0"/>
                      <w14:textFill>
                        <w14:solidFill>
                          <w14:schemeClr w14:val="tx1"/>
                        </w14:solidFill>
                      </w14:textFill>
                    </w:rPr>
                  </w:pPr>
                  <w:r>
                    <w:rPr>
                      <w:rFonts w:hint="eastAsia" w:eastAsiaTheme="minorEastAsia"/>
                      <w:color w:val="000000" w:themeColor="text1"/>
                      <w:kern w:val="0"/>
                      <w14:textFill>
                        <w14:solidFill>
                          <w14:schemeClr w14:val="tx1"/>
                        </w14:solidFill>
                      </w14:textFill>
                    </w:rPr>
                    <w:t>发酵区收集沟</w:t>
                  </w:r>
                </w:p>
              </w:tc>
              <w:tc>
                <w:tcPr>
                  <w:tcW w:w="892" w:type="pct"/>
                  <w:vAlign w:val="center"/>
                </w:tcPr>
                <w:p w14:paraId="3CE584BB">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110m</w:t>
                  </w:r>
                </w:p>
              </w:tc>
              <w:tc>
                <w:tcPr>
                  <w:tcW w:w="550" w:type="pct"/>
                  <w:vAlign w:val="center"/>
                </w:tcPr>
                <w:p w14:paraId="5F62270E">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1</w:t>
                  </w:r>
                </w:p>
              </w:tc>
            </w:tr>
            <w:tr w14:paraId="7EA1C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continue"/>
                  <w:vAlign w:val="center"/>
                </w:tcPr>
                <w:p w14:paraId="59B0CF3C">
                  <w:pPr>
                    <w:pStyle w:val="65"/>
                    <w:rPr>
                      <w:rFonts w:ascii="Times New Roman" w:hAnsi="Times New Roman" w:eastAsiaTheme="minorEastAsia"/>
                      <w:color w:val="000000" w:themeColor="text1"/>
                      <w:sz w:val="21"/>
                      <w:szCs w:val="21"/>
                      <w14:textFill>
                        <w14:solidFill>
                          <w14:schemeClr w14:val="tx1"/>
                        </w14:solidFill>
                      </w14:textFill>
                    </w:rPr>
                  </w:pPr>
                </w:p>
              </w:tc>
              <w:tc>
                <w:tcPr>
                  <w:tcW w:w="508" w:type="pct"/>
                  <w:vMerge w:val="continue"/>
                  <w:vAlign w:val="center"/>
                </w:tcPr>
                <w:p w14:paraId="0BAB5588">
                  <w:pPr>
                    <w:pStyle w:val="65"/>
                    <w:rPr>
                      <w:rFonts w:ascii="Times New Roman" w:hAnsi="Times New Roman" w:eastAsiaTheme="minorEastAsia"/>
                      <w:color w:val="000000" w:themeColor="text1"/>
                      <w:sz w:val="21"/>
                      <w:szCs w:val="21"/>
                      <w14:textFill>
                        <w14:solidFill>
                          <w14:schemeClr w14:val="tx1"/>
                        </w14:solidFill>
                      </w14:textFill>
                    </w:rPr>
                  </w:pPr>
                </w:p>
              </w:tc>
              <w:tc>
                <w:tcPr>
                  <w:tcW w:w="2781" w:type="pct"/>
                  <w:gridSpan w:val="2"/>
                  <w:vAlign w:val="center"/>
                </w:tcPr>
                <w:p w14:paraId="557B47D8">
                  <w:pPr>
                    <w:jc w:val="center"/>
                    <w:rPr>
                      <w:rFonts w:eastAsiaTheme="minorEastAsia"/>
                      <w:color w:val="000000" w:themeColor="text1"/>
                      <w:kern w:val="0"/>
                      <w14:textFill>
                        <w14:solidFill>
                          <w14:schemeClr w14:val="tx1"/>
                        </w14:solidFill>
                      </w14:textFill>
                    </w:rPr>
                  </w:pPr>
                  <w:r>
                    <w:rPr>
                      <w:rFonts w:hint="eastAsia" w:eastAsiaTheme="minorEastAsia"/>
                      <w:color w:val="000000" w:themeColor="text1"/>
                      <w:kern w:val="0"/>
                      <w14:textFill>
                        <w14:solidFill>
                          <w14:schemeClr w14:val="tx1"/>
                        </w14:solidFill>
                      </w14:textFill>
                    </w:rPr>
                    <w:t>渗滤液收集池</w:t>
                  </w:r>
                </w:p>
              </w:tc>
              <w:tc>
                <w:tcPr>
                  <w:tcW w:w="892" w:type="pct"/>
                  <w:vAlign w:val="center"/>
                </w:tcPr>
                <w:p w14:paraId="11FFD2CD">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2</w:t>
                  </w:r>
                  <w:r>
                    <w:rPr>
                      <w:rFonts w:ascii="Times New Roman" w:hAnsi="Times New Roman" w:eastAsiaTheme="minorEastAsia"/>
                      <w:color w:val="000000" w:themeColor="text1"/>
                      <w:sz w:val="21"/>
                      <w:szCs w:val="21"/>
                      <w14:textFill>
                        <w14:solidFill>
                          <w14:schemeClr w14:val="tx1"/>
                        </w14:solidFill>
                      </w14:textFill>
                    </w:rPr>
                    <w:t>m</w:t>
                  </w:r>
                  <w:r>
                    <w:rPr>
                      <w:rFonts w:ascii="Times New Roman" w:hAnsi="Times New Roman" w:eastAsiaTheme="minorEastAsia"/>
                      <w:color w:val="000000" w:themeColor="text1"/>
                      <w:sz w:val="21"/>
                      <w:szCs w:val="21"/>
                      <w:vertAlign w:val="superscript"/>
                      <w14:textFill>
                        <w14:solidFill>
                          <w14:schemeClr w14:val="tx1"/>
                        </w14:solidFill>
                      </w14:textFill>
                    </w:rPr>
                    <w:t>3</w:t>
                  </w:r>
                </w:p>
              </w:tc>
              <w:tc>
                <w:tcPr>
                  <w:tcW w:w="550" w:type="pct"/>
                  <w:vAlign w:val="center"/>
                </w:tcPr>
                <w:p w14:paraId="04D80492">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0.5</w:t>
                  </w:r>
                </w:p>
              </w:tc>
            </w:tr>
            <w:tr w14:paraId="4DB1F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continue"/>
                  <w:vAlign w:val="center"/>
                </w:tcPr>
                <w:p w14:paraId="0F887A0E">
                  <w:pPr>
                    <w:pStyle w:val="65"/>
                    <w:rPr>
                      <w:rFonts w:ascii="Times New Roman" w:hAnsi="Times New Roman" w:eastAsiaTheme="minorEastAsia"/>
                      <w:color w:val="000000" w:themeColor="text1"/>
                      <w:sz w:val="21"/>
                      <w:szCs w:val="21"/>
                      <w14:textFill>
                        <w14:solidFill>
                          <w14:schemeClr w14:val="tx1"/>
                        </w14:solidFill>
                      </w14:textFill>
                    </w:rPr>
                  </w:pPr>
                </w:p>
              </w:tc>
              <w:tc>
                <w:tcPr>
                  <w:tcW w:w="508" w:type="pct"/>
                  <w:vMerge w:val="continue"/>
                  <w:vAlign w:val="center"/>
                </w:tcPr>
                <w:p w14:paraId="423C3AAD">
                  <w:pPr>
                    <w:pStyle w:val="65"/>
                    <w:rPr>
                      <w:rFonts w:ascii="Times New Roman" w:hAnsi="Times New Roman" w:eastAsiaTheme="minorEastAsia"/>
                      <w:color w:val="000000" w:themeColor="text1"/>
                      <w:sz w:val="21"/>
                      <w:szCs w:val="21"/>
                      <w14:textFill>
                        <w14:solidFill>
                          <w14:schemeClr w14:val="tx1"/>
                        </w14:solidFill>
                      </w14:textFill>
                    </w:rPr>
                  </w:pPr>
                </w:p>
              </w:tc>
              <w:tc>
                <w:tcPr>
                  <w:tcW w:w="2781" w:type="pct"/>
                  <w:gridSpan w:val="2"/>
                  <w:vAlign w:val="center"/>
                </w:tcPr>
                <w:p w14:paraId="1C983D4D">
                  <w:pPr>
                    <w:jc w:val="center"/>
                    <w:rPr>
                      <w:rFonts w:eastAsiaTheme="minorEastAsia"/>
                      <w:color w:val="000000" w:themeColor="text1"/>
                      <w:kern w:val="0"/>
                      <w14:textFill>
                        <w14:solidFill>
                          <w14:schemeClr w14:val="tx1"/>
                        </w14:solidFill>
                      </w14:textFill>
                    </w:rPr>
                  </w:pPr>
                  <w:r>
                    <w:rPr>
                      <w:rFonts w:hint="eastAsia" w:eastAsiaTheme="minorEastAsia"/>
                      <w:color w:val="000000" w:themeColor="text1"/>
                      <w:kern w:val="0"/>
                      <w14:textFill>
                        <w14:solidFill>
                          <w14:schemeClr w14:val="tx1"/>
                        </w14:solidFill>
                      </w14:textFill>
                    </w:rPr>
                    <w:t>初期雨水收集池</w:t>
                  </w:r>
                </w:p>
              </w:tc>
              <w:tc>
                <w:tcPr>
                  <w:tcW w:w="892" w:type="pct"/>
                  <w:vAlign w:val="center"/>
                </w:tcPr>
                <w:p w14:paraId="0AE65C1D">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30</w:t>
                  </w:r>
                  <w:r>
                    <w:rPr>
                      <w:rFonts w:ascii="Times New Roman" w:hAnsi="Times New Roman" w:eastAsiaTheme="minorEastAsia"/>
                      <w:color w:val="000000" w:themeColor="text1"/>
                      <w:sz w:val="21"/>
                      <w:szCs w:val="21"/>
                      <w14:textFill>
                        <w14:solidFill>
                          <w14:schemeClr w14:val="tx1"/>
                        </w14:solidFill>
                      </w14:textFill>
                    </w:rPr>
                    <w:t>m</w:t>
                  </w:r>
                  <w:r>
                    <w:rPr>
                      <w:rFonts w:ascii="Times New Roman" w:hAnsi="Times New Roman" w:eastAsiaTheme="minorEastAsia"/>
                      <w:color w:val="000000" w:themeColor="text1"/>
                      <w:sz w:val="21"/>
                      <w:szCs w:val="21"/>
                      <w:vertAlign w:val="superscript"/>
                      <w14:textFill>
                        <w14:solidFill>
                          <w14:schemeClr w14:val="tx1"/>
                        </w14:solidFill>
                      </w14:textFill>
                    </w:rPr>
                    <w:t>3</w:t>
                  </w:r>
                </w:p>
              </w:tc>
              <w:tc>
                <w:tcPr>
                  <w:tcW w:w="550" w:type="pct"/>
                  <w:vAlign w:val="center"/>
                </w:tcPr>
                <w:p w14:paraId="012194A9">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3</w:t>
                  </w:r>
                </w:p>
              </w:tc>
            </w:tr>
            <w:tr w14:paraId="32EF2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continue"/>
                  <w:vAlign w:val="center"/>
                </w:tcPr>
                <w:p w14:paraId="36E1671F">
                  <w:pPr>
                    <w:pStyle w:val="65"/>
                    <w:rPr>
                      <w:rFonts w:ascii="Times New Roman" w:hAnsi="Times New Roman" w:eastAsiaTheme="minorEastAsia"/>
                      <w:color w:val="000000" w:themeColor="text1"/>
                      <w:sz w:val="21"/>
                      <w:szCs w:val="21"/>
                      <w14:textFill>
                        <w14:solidFill>
                          <w14:schemeClr w14:val="tx1"/>
                        </w14:solidFill>
                      </w14:textFill>
                    </w:rPr>
                  </w:pPr>
                </w:p>
              </w:tc>
              <w:tc>
                <w:tcPr>
                  <w:tcW w:w="508" w:type="pct"/>
                  <w:vMerge w:val="continue"/>
                  <w:vAlign w:val="center"/>
                </w:tcPr>
                <w:p w14:paraId="4A87E64D">
                  <w:pPr>
                    <w:pStyle w:val="65"/>
                    <w:rPr>
                      <w:rFonts w:ascii="Times New Roman" w:hAnsi="Times New Roman" w:eastAsiaTheme="minorEastAsia"/>
                      <w:color w:val="000000" w:themeColor="text1"/>
                      <w:sz w:val="21"/>
                      <w:szCs w:val="21"/>
                      <w14:textFill>
                        <w14:solidFill>
                          <w14:schemeClr w14:val="tx1"/>
                        </w14:solidFill>
                      </w14:textFill>
                    </w:rPr>
                  </w:pPr>
                </w:p>
              </w:tc>
              <w:tc>
                <w:tcPr>
                  <w:tcW w:w="2781" w:type="pct"/>
                  <w:gridSpan w:val="2"/>
                  <w:vAlign w:val="center"/>
                </w:tcPr>
                <w:p w14:paraId="3CD2C1D0">
                  <w:pPr>
                    <w:jc w:val="center"/>
                    <w:rPr>
                      <w:rFonts w:eastAsiaTheme="minorEastAsia"/>
                      <w:color w:val="000000" w:themeColor="text1"/>
                      <w:kern w:val="0"/>
                      <w14:textFill>
                        <w14:solidFill>
                          <w14:schemeClr w14:val="tx1"/>
                        </w14:solidFill>
                      </w14:textFill>
                    </w:rPr>
                  </w:pPr>
                  <w:r>
                    <w:rPr>
                      <w:rFonts w:hint="eastAsia" w:eastAsiaTheme="minorEastAsia"/>
                      <w:color w:val="000000" w:themeColor="text1"/>
                      <w:kern w:val="0"/>
                      <w14:textFill>
                        <w14:solidFill>
                          <w14:schemeClr w14:val="tx1"/>
                        </w14:solidFill>
                      </w14:textFill>
                    </w:rPr>
                    <w:t>隔油池</w:t>
                  </w:r>
                </w:p>
              </w:tc>
              <w:tc>
                <w:tcPr>
                  <w:tcW w:w="1419" w:type="dxa"/>
                  <w:vAlign w:val="center"/>
                </w:tcPr>
                <w:p w14:paraId="350BBBB2">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1座，5</w:t>
                  </w:r>
                  <w:r>
                    <w:rPr>
                      <w:rFonts w:ascii="Times New Roman" w:hAnsi="Times New Roman" w:eastAsiaTheme="minorEastAsia"/>
                      <w:color w:val="000000" w:themeColor="text1"/>
                      <w:sz w:val="21"/>
                      <w:szCs w:val="21"/>
                      <w14:textFill>
                        <w14:solidFill>
                          <w14:schemeClr w14:val="tx1"/>
                        </w14:solidFill>
                      </w14:textFill>
                    </w:rPr>
                    <w:t>m</w:t>
                  </w:r>
                  <w:r>
                    <w:rPr>
                      <w:rFonts w:ascii="Times New Roman" w:hAnsi="Times New Roman" w:eastAsiaTheme="minorEastAsia"/>
                      <w:color w:val="000000" w:themeColor="text1"/>
                      <w:sz w:val="21"/>
                      <w:szCs w:val="21"/>
                      <w:vertAlign w:val="superscript"/>
                      <w14:textFill>
                        <w14:solidFill>
                          <w14:schemeClr w14:val="tx1"/>
                        </w14:solidFill>
                      </w14:textFill>
                    </w:rPr>
                    <w:t>3</w:t>
                  </w:r>
                </w:p>
              </w:tc>
              <w:tc>
                <w:tcPr>
                  <w:tcW w:w="873" w:type="dxa"/>
                  <w:vAlign w:val="center"/>
                </w:tcPr>
                <w:p w14:paraId="7F677AA8">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依托</w:t>
                  </w:r>
                </w:p>
              </w:tc>
            </w:tr>
            <w:tr w14:paraId="642C6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continue"/>
                  <w:vAlign w:val="center"/>
                </w:tcPr>
                <w:p w14:paraId="75C6E086">
                  <w:pPr>
                    <w:pStyle w:val="65"/>
                    <w:rPr>
                      <w:rFonts w:ascii="Times New Roman" w:hAnsi="Times New Roman" w:eastAsiaTheme="minorEastAsia"/>
                      <w:color w:val="000000" w:themeColor="text1"/>
                      <w:sz w:val="21"/>
                      <w:szCs w:val="21"/>
                      <w14:textFill>
                        <w14:solidFill>
                          <w14:schemeClr w14:val="tx1"/>
                        </w14:solidFill>
                      </w14:textFill>
                    </w:rPr>
                  </w:pPr>
                </w:p>
              </w:tc>
              <w:tc>
                <w:tcPr>
                  <w:tcW w:w="508" w:type="pct"/>
                  <w:vMerge w:val="continue"/>
                  <w:vAlign w:val="center"/>
                </w:tcPr>
                <w:p w14:paraId="5BD8BB5B">
                  <w:pPr>
                    <w:pStyle w:val="65"/>
                    <w:rPr>
                      <w:rFonts w:ascii="Times New Roman" w:hAnsi="Times New Roman" w:eastAsiaTheme="minorEastAsia"/>
                      <w:color w:val="000000" w:themeColor="text1"/>
                      <w:sz w:val="21"/>
                      <w:szCs w:val="21"/>
                      <w14:textFill>
                        <w14:solidFill>
                          <w14:schemeClr w14:val="tx1"/>
                        </w14:solidFill>
                      </w14:textFill>
                    </w:rPr>
                  </w:pPr>
                </w:p>
              </w:tc>
              <w:tc>
                <w:tcPr>
                  <w:tcW w:w="2781" w:type="pct"/>
                  <w:gridSpan w:val="2"/>
                  <w:shd w:val="clear" w:color="auto" w:fill="auto"/>
                  <w:vAlign w:val="center"/>
                </w:tcPr>
                <w:p w14:paraId="5F1EB6AB">
                  <w:pPr>
                    <w:jc w:val="center"/>
                    <w:rPr>
                      <w:rFonts w:eastAsiaTheme="minorEastAsia"/>
                      <w:color w:val="000000" w:themeColor="text1"/>
                      <w:kern w:val="0"/>
                      <w14:textFill>
                        <w14:solidFill>
                          <w14:schemeClr w14:val="tx1"/>
                        </w14:solidFill>
                      </w14:textFill>
                    </w:rPr>
                  </w:pPr>
                  <w:r>
                    <w:rPr>
                      <w:rFonts w:eastAsiaTheme="minorEastAsia"/>
                      <w:color w:val="000000" w:themeColor="text1"/>
                      <w14:textFill>
                        <w14:solidFill>
                          <w14:schemeClr w14:val="tx1"/>
                        </w14:solidFill>
                      </w14:textFill>
                    </w:rPr>
                    <w:t>化粪池</w:t>
                  </w:r>
                </w:p>
              </w:tc>
              <w:tc>
                <w:tcPr>
                  <w:tcW w:w="892" w:type="pct"/>
                  <w:shd w:val="clear" w:color="auto" w:fill="auto"/>
                  <w:vAlign w:val="center"/>
                </w:tcPr>
                <w:p w14:paraId="603E18A0">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1座，</w:t>
                  </w:r>
                  <w:r>
                    <w:rPr>
                      <w:rFonts w:ascii="Times New Roman" w:hAnsi="Times New Roman" w:eastAsiaTheme="minorEastAsia"/>
                      <w:color w:val="000000" w:themeColor="text1"/>
                      <w:sz w:val="21"/>
                      <w:szCs w:val="21"/>
                      <w14:textFill>
                        <w14:solidFill>
                          <w14:schemeClr w14:val="tx1"/>
                        </w14:solidFill>
                      </w14:textFill>
                    </w:rPr>
                    <w:t>6</w:t>
                  </w:r>
                  <w:r>
                    <w:rPr>
                      <w:rFonts w:hint="eastAsia" w:ascii="Times New Roman" w:hAnsi="Times New Roman" w:eastAsiaTheme="minorEastAsia"/>
                      <w:color w:val="000000" w:themeColor="text1"/>
                      <w:sz w:val="21"/>
                      <w:szCs w:val="21"/>
                      <w14:textFill>
                        <w14:solidFill>
                          <w14:schemeClr w14:val="tx1"/>
                        </w14:solidFill>
                      </w14:textFill>
                    </w:rPr>
                    <w:t>0</w:t>
                  </w:r>
                  <w:r>
                    <w:rPr>
                      <w:rFonts w:ascii="Times New Roman" w:hAnsi="Times New Roman" w:eastAsiaTheme="minorEastAsia"/>
                      <w:color w:val="000000" w:themeColor="text1"/>
                      <w:sz w:val="21"/>
                      <w:szCs w:val="21"/>
                      <w14:textFill>
                        <w14:solidFill>
                          <w14:schemeClr w14:val="tx1"/>
                        </w14:solidFill>
                      </w14:textFill>
                    </w:rPr>
                    <w:t>m</w:t>
                  </w:r>
                  <w:r>
                    <w:rPr>
                      <w:rFonts w:ascii="Times New Roman" w:hAnsi="Times New Roman" w:eastAsiaTheme="minorEastAsia"/>
                      <w:color w:val="000000" w:themeColor="text1"/>
                      <w:sz w:val="21"/>
                      <w:szCs w:val="21"/>
                      <w:vertAlign w:val="superscript"/>
                      <w14:textFill>
                        <w14:solidFill>
                          <w14:schemeClr w14:val="tx1"/>
                        </w14:solidFill>
                      </w14:textFill>
                    </w:rPr>
                    <w:t>3</w:t>
                  </w:r>
                </w:p>
              </w:tc>
              <w:tc>
                <w:tcPr>
                  <w:tcW w:w="550" w:type="pct"/>
                  <w:shd w:val="clear" w:color="auto" w:fill="auto"/>
                  <w:vAlign w:val="center"/>
                </w:tcPr>
                <w:p w14:paraId="0CBFCF25">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依托</w:t>
                  </w:r>
                </w:p>
              </w:tc>
            </w:tr>
            <w:tr w14:paraId="28753B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continue"/>
                  <w:vAlign w:val="center"/>
                </w:tcPr>
                <w:p w14:paraId="2E320B41">
                  <w:pPr>
                    <w:pStyle w:val="65"/>
                    <w:rPr>
                      <w:rFonts w:ascii="Times New Roman" w:hAnsi="Times New Roman" w:eastAsiaTheme="minorEastAsia"/>
                      <w:b/>
                      <w:color w:val="000000" w:themeColor="text1"/>
                      <w:sz w:val="21"/>
                      <w:szCs w:val="21"/>
                      <w14:textFill>
                        <w14:solidFill>
                          <w14:schemeClr w14:val="tx1"/>
                        </w14:solidFill>
                      </w14:textFill>
                    </w:rPr>
                  </w:pPr>
                </w:p>
              </w:tc>
              <w:tc>
                <w:tcPr>
                  <w:tcW w:w="508" w:type="pct"/>
                  <w:vMerge w:val="continue"/>
                  <w:vAlign w:val="center"/>
                </w:tcPr>
                <w:p w14:paraId="29F97DC1">
                  <w:pPr>
                    <w:pStyle w:val="65"/>
                    <w:rPr>
                      <w:rFonts w:ascii="Times New Roman" w:hAnsi="Times New Roman" w:eastAsiaTheme="minorEastAsia"/>
                      <w:b/>
                      <w:color w:val="000000" w:themeColor="text1"/>
                      <w:sz w:val="21"/>
                      <w:szCs w:val="21"/>
                      <w14:textFill>
                        <w14:solidFill>
                          <w14:schemeClr w14:val="tx1"/>
                        </w14:solidFill>
                      </w14:textFill>
                    </w:rPr>
                  </w:pPr>
                </w:p>
              </w:tc>
              <w:tc>
                <w:tcPr>
                  <w:tcW w:w="2781" w:type="pct"/>
                  <w:gridSpan w:val="2"/>
                  <w:vAlign w:val="center"/>
                </w:tcPr>
                <w:p w14:paraId="7D20408E">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一体化污水处理站</w:t>
                  </w:r>
                </w:p>
              </w:tc>
              <w:tc>
                <w:tcPr>
                  <w:tcW w:w="892" w:type="pct"/>
                  <w:vAlign w:val="center"/>
                </w:tcPr>
                <w:p w14:paraId="45DC138E">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1座，120m</w:t>
                  </w:r>
                  <w:r>
                    <w:rPr>
                      <w:rFonts w:hint="eastAsia" w:ascii="Times New Roman" w:hAnsi="Times New Roman" w:eastAsiaTheme="minorEastAsia"/>
                      <w:color w:val="000000" w:themeColor="text1"/>
                      <w:sz w:val="21"/>
                      <w:szCs w:val="21"/>
                      <w:vertAlign w:val="superscript"/>
                      <w14:textFill>
                        <w14:solidFill>
                          <w14:schemeClr w14:val="tx1"/>
                        </w14:solidFill>
                      </w14:textFill>
                    </w:rPr>
                    <w:t>3</w:t>
                  </w:r>
                  <w:r>
                    <w:rPr>
                      <w:rFonts w:hint="eastAsia" w:ascii="Times New Roman" w:hAnsi="Times New Roman" w:eastAsiaTheme="minorEastAsia"/>
                      <w:color w:val="000000" w:themeColor="text1"/>
                      <w:sz w:val="21"/>
                      <w:szCs w:val="21"/>
                      <w14:textFill>
                        <w14:solidFill>
                          <w14:schemeClr w14:val="tx1"/>
                        </w14:solidFill>
                      </w14:textFill>
                    </w:rPr>
                    <w:t>/d</w:t>
                  </w:r>
                </w:p>
              </w:tc>
              <w:tc>
                <w:tcPr>
                  <w:tcW w:w="550" w:type="pct"/>
                  <w:vAlign w:val="center"/>
                </w:tcPr>
                <w:p w14:paraId="68506844">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依托</w:t>
                  </w:r>
                </w:p>
              </w:tc>
            </w:tr>
            <w:tr w14:paraId="31699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265" w:type="pct"/>
                  <w:vMerge w:val="continue"/>
                  <w:vAlign w:val="center"/>
                </w:tcPr>
                <w:p w14:paraId="14D68DAA">
                  <w:pPr>
                    <w:pStyle w:val="65"/>
                    <w:rPr>
                      <w:rFonts w:ascii="Times New Roman" w:hAnsi="Times New Roman" w:eastAsiaTheme="minorEastAsia"/>
                      <w:b/>
                      <w:color w:val="000000" w:themeColor="text1"/>
                      <w:sz w:val="21"/>
                      <w:szCs w:val="21"/>
                      <w14:textFill>
                        <w14:solidFill>
                          <w14:schemeClr w14:val="tx1"/>
                        </w14:solidFill>
                      </w14:textFill>
                    </w:rPr>
                  </w:pPr>
                </w:p>
              </w:tc>
              <w:tc>
                <w:tcPr>
                  <w:tcW w:w="508" w:type="pct"/>
                  <w:vMerge w:val="continue"/>
                  <w:vAlign w:val="center"/>
                </w:tcPr>
                <w:p w14:paraId="3FF4B01F">
                  <w:pPr>
                    <w:pStyle w:val="65"/>
                    <w:rPr>
                      <w:rFonts w:ascii="Times New Roman" w:hAnsi="Times New Roman" w:eastAsiaTheme="minorEastAsia"/>
                      <w:b/>
                      <w:color w:val="000000" w:themeColor="text1"/>
                      <w:sz w:val="21"/>
                      <w:szCs w:val="21"/>
                      <w14:textFill>
                        <w14:solidFill>
                          <w14:schemeClr w14:val="tx1"/>
                        </w14:solidFill>
                      </w14:textFill>
                    </w:rPr>
                  </w:pPr>
                </w:p>
              </w:tc>
              <w:tc>
                <w:tcPr>
                  <w:tcW w:w="2781" w:type="pct"/>
                  <w:gridSpan w:val="2"/>
                  <w:vAlign w:val="center"/>
                </w:tcPr>
                <w:p w14:paraId="11714E4F">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蓄水池</w:t>
                  </w:r>
                </w:p>
              </w:tc>
              <w:tc>
                <w:tcPr>
                  <w:tcW w:w="892" w:type="pct"/>
                  <w:vAlign w:val="center"/>
                </w:tcPr>
                <w:p w14:paraId="6E5906E6">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1座，200m</w:t>
                  </w:r>
                  <w:r>
                    <w:rPr>
                      <w:rFonts w:hint="eastAsia" w:ascii="Times New Roman" w:hAnsi="Times New Roman" w:eastAsiaTheme="minorEastAsia"/>
                      <w:color w:val="000000" w:themeColor="text1"/>
                      <w:sz w:val="21"/>
                      <w:szCs w:val="21"/>
                      <w:vertAlign w:val="superscript"/>
                      <w14:textFill>
                        <w14:solidFill>
                          <w14:schemeClr w14:val="tx1"/>
                        </w14:solidFill>
                      </w14:textFill>
                    </w:rPr>
                    <w:t>3</w:t>
                  </w:r>
                  <w:r>
                    <w:rPr>
                      <w:rFonts w:hint="eastAsia" w:ascii="Times New Roman" w:hAnsi="Times New Roman" w:eastAsiaTheme="minorEastAsia"/>
                      <w:color w:val="000000" w:themeColor="text1"/>
                      <w:sz w:val="21"/>
                      <w:szCs w:val="21"/>
                      <w14:textFill>
                        <w14:solidFill>
                          <w14:schemeClr w14:val="tx1"/>
                        </w14:solidFill>
                      </w14:textFill>
                    </w:rPr>
                    <w:t>/d</w:t>
                  </w:r>
                </w:p>
              </w:tc>
              <w:tc>
                <w:tcPr>
                  <w:tcW w:w="550" w:type="pct"/>
                  <w:vAlign w:val="center"/>
                </w:tcPr>
                <w:p w14:paraId="25487E7E">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依托</w:t>
                  </w:r>
                </w:p>
              </w:tc>
            </w:tr>
            <w:tr w14:paraId="71430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continue"/>
                  <w:vAlign w:val="center"/>
                </w:tcPr>
                <w:p w14:paraId="6C3EE3B7">
                  <w:pPr>
                    <w:pStyle w:val="65"/>
                    <w:rPr>
                      <w:rFonts w:ascii="Times New Roman" w:hAnsi="Times New Roman" w:eastAsiaTheme="minorEastAsia"/>
                      <w:b/>
                      <w:color w:val="000000" w:themeColor="text1"/>
                      <w:sz w:val="21"/>
                      <w:szCs w:val="21"/>
                      <w14:textFill>
                        <w14:solidFill>
                          <w14:schemeClr w14:val="tx1"/>
                        </w14:solidFill>
                      </w14:textFill>
                    </w:rPr>
                  </w:pPr>
                </w:p>
              </w:tc>
              <w:tc>
                <w:tcPr>
                  <w:tcW w:w="508" w:type="pct"/>
                  <w:vMerge w:val="continue"/>
                  <w:vAlign w:val="center"/>
                </w:tcPr>
                <w:p w14:paraId="463BED10">
                  <w:pPr>
                    <w:pStyle w:val="65"/>
                    <w:rPr>
                      <w:rFonts w:ascii="Times New Roman" w:hAnsi="Times New Roman" w:eastAsiaTheme="minorEastAsia"/>
                      <w:b/>
                      <w:color w:val="000000" w:themeColor="text1"/>
                      <w:sz w:val="21"/>
                      <w:szCs w:val="21"/>
                      <w14:textFill>
                        <w14:solidFill>
                          <w14:schemeClr w14:val="tx1"/>
                        </w14:solidFill>
                      </w14:textFill>
                    </w:rPr>
                  </w:pPr>
                </w:p>
              </w:tc>
              <w:tc>
                <w:tcPr>
                  <w:tcW w:w="671" w:type="pct"/>
                  <w:vMerge w:val="restart"/>
                  <w:tcBorders>
                    <w:right w:val="single" w:color="auto" w:sz="4" w:space="0"/>
                  </w:tcBorders>
                  <w:vAlign w:val="center"/>
                </w:tcPr>
                <w:p w14:paraId="28E6D134">
                  <w:pPr>
                    <w:pStyle w:val="65"/>
                    <w:jc w:val="both"/>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防渗处理</w:t>
                  </w:r>
                </w:p>
              </w:tc>
              <w:tc>
                <w:tcPr>
                  <w:tcW w:w="3003" w:type="pct"/>
                  <w:gridSpan w:val="2"/>
                  <w:tcBorders>
                    <w:left w:val="single" w:color="auto" w:sz="4" w:space="0"/>
                  </w:tcBorders>
                  <w:vAlign w:val="center"/>
                </w:tcPr>
                <w:p w14:paraId="5A3A6980">
                  <w:pPr>
                    <w:pStyle w:val="65"/>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简易防渗：</w:t>
                  </w:r>
                  <w:r>
                    <w:rPr>
                      <w:rFonts w:hint="eastAsia" w:eastAsiaTheme="minorEastAsia"/>
                      <w:color w:val="000000" w:themeColor="text1"/>
                      <w:sz w:val="21"/>
                      <w:szCs w:val="21"/>
                      <w14:textFill>
                        <w14:solidFill>
                          <w14:schemeClr w14:val="tx1"/>
                        </w14:solidFill>
                      </w14:textFill>
                    </w:rPr>
                    <w:t>除重点防渗区和一般防渗区外的其他车间区域</w:t>
                  </w:r>
                  <w:r>
                    <w:rPr>
                      <w:rFonts w:eastAsiaTheme="minorEastAsia"/>
                      <w:color w:val="000000" w:themeColor="text1"/>
                      <w:sz w:val="21"/>
                      <w:szCs w:val="21"/>
                      <w14:textFill>
                        <w14:solidFill>
                          <w14:schemeClr w14:val="tx1"/>
                        </w14:solidFill>
                      </w14:textFill>
                    </w:rPr>
                    <w:t>进行地面硬化</w:t>
                  </w:r>
                  <w:r>
                    <w:rPr>
                      <w:rFonts w:ascii="Times New Roman" w:hAnsi="Times New Roman" w:eastAsiaTheme="minorEastAsia"/>
                      <w:color w:val="000000" w:themeColor="text1"/>
                      <w:sz w:val="21"/>
                      <w:szCs w:val="21"/>
                      <w14:textFill>
                        <w14:solidFill>
                          <w14:schemeClr w14:val="tx1"/>
                        </w14:solidFill>
                      </w14:textFill>
                    </w:rPr>
                    <w:t>。</w:t>
                  </w:r>
                </w:p>
              </w:tc>
              <w:tc>
                <w:tcPr>
                  <w:tcW w:w="550" w:type="pct"/>
                  <w:vAlign w:val="center"/>
                </w:tcPr>
                <w:p w14:paraId="39A4240A">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主体设计</w:t>
                  </w:r>
                </w:p>
              </w:tc>
            </w:tr>
            <w:tr w14:paraId="20774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continue"/>
                  <w:vAlign w:val="center"/>
                </w:tcPr>
                <w:p w14:paraId="2AEE089F">
                  <w:pPr>
                    <w:pStyle w:val="65"/>
                    <w:rPr>
                      <w:rFonts w:ascii="Times New Roman" w:hAnsi="Times New Roman" w:eastAsiaTheme="minorEastAsia"/>
                      <w:b/>
                      <w:color w:val="000000" w:themeColor="text1"/>
                      <w:sz w:val="21"/>
                      <w:szCs w:val="21"/>
                      <w14:textFill>
                        <w14:solidFill>
                          <w14:schemeClr w14:val="tx1"/>
                        </w14:solidFill>
                      </w14:textFill>
                    </w:rPr>
                  </w:pPr>
                </w:p>
              </w:tc>
              <w:tc>
                <w:tcPr>
                  <w:tcW w:w="508" w:type="pct"/>
                  <w:vMerge w:val="continue"/>
                  <w:vAlign w:val="center"/>
                </w:tcPr>
                <w:p w14:paraId="732A7636">
                  <w:pPr>
                    <w:pStyle w:val="65"/>
                    <w:rPr>
                      <w:rFonts w:ascii="Times New Roman" w:hAnsi="Times New Roman" w:eastAsiaTheme="minorEastAsia"/>
                      <w:b/>
                      <w:color w:val="000000" w:themeColor="text1"/>
                      <w:sz w:val="21"/>
                      <w:szCs w:val="21"/>
                      <w14:textFill>
                        <w14:solidFill>
                          <w14:schemeClr w14:val="tx1"/>
                        </w14:solidFill>
                      </w14:textFill>
                    </w:rPr>
                  </w:pPr>
                </w:p>
              </w:tc>
              <w:tc>
                <w:tcPr>
                  <w:tcW w:w="671" w:type="pct"/>
                  <w:vMerge w:val="continue"/>
                  <w:tcBorders>
                    <w:right w:val="single" w:color="auto" w:sz="4" w:space="0"/>
                  </w:tcBorders>
                  <w:vAlign w:val="center"/>
                </w:tcPr>
                <w:p w14:paraId="1EF0A5B8">
                  <w:pPr>
                    <w:pStyle w:val="65"/>
                    <w:jc w:val="both"/>
                    <w:rPr>
                      <w:rFonts w:ascii="Times New Roman" w:hAnsi="Times New Roman" w:eastAsiaTheme="minorEastAsia"/>
                      <w:color w:val="000000" w:themeColor="text1"/>
                      <w:sz w:val="21"/>
                      <w:szCs w:val="21"/>
                      <w14:textFill>
                        <w14:solidFill>
                          <w14:schemeClr w14:val="tx1"/>
                        </w14:solidFill>
                      </w14:textFill>
                    </w:rPr>
                  </w:pPr>
                </w:p>
              </w:tc>
              <w:tc>
                <w:tcPr>
                  <w:tcW w:w="3003" w:type="pct"/>
                  <w:gridSpan w:val="2"/>
                  <w:tcBorders>
                    <w:left w:val="single" w:color="auto" w:sz="4" w:space="0"/>
                  </w:tcBorders>
                  <w:vAlign w:val="center"/>
                </w:tcPr>
                <w:p w14:paraId="44A1182D">
                  <w:pPr>
                    <w:pStyle w:val="65"/>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一般防渗区：</w:t>
                  </w:r>
                  <w:r>
                    <w:rPr>
                      <w:rFonts w:hint="eastAsia" w:eastAsiaTheme="minorEastAsia"/>
                      <w:color w:val="000000" w:themeColor="text1"/>
                      <w:sz w:val="21"/>
                      <w:szCs w:val="21"/>
                      <w14:textFill>
                        <w14:solidFill>
                          <w14:schemeClr w14:val="tx1"/>
                        </w14:solidFill>
                      </w14:textFill>
                    </w:rPr>
                    <w:t>原料库、一般固废暂存库、渗滤液收集池、初期雨水收集池、发酵区</w:t>
                  </w:r>
                  <w:r>
                    <w:rPr>
                      <w:rFonts w:ascii="Times New Roman" w:hAnsi="Times New Roman" w:eastAsiaTheme="minorEastAsia"/>
                      <w:color w:val="000000" w:themeColor="text1"/>
                      <w:sz w:val="21"/>
                      <w:szCs w:val="21"/>
                      <w14:textFill>
                        <w14:solidFill>
                          <w14:schemeClr w14:val="tx1"/>
                        </w14:solidFill>
                      </w14:textFill>
                    </w:rPr>
                    <w:t>，防渗要求：渗透系数≤10</w:t>
                  </w:r>
                  <w:r>
                    <w:rPr>
                      <w:rFonts w:ascii="Times New Roman" w:hAnsi="Times New Roman" w:eastAsiaTheme="minorEastAsia"/>
                      <w:color w:val="000000" w:themeColor="text1"/>
                      <w:sz w:val="21"/>
                      <w:szCs w:val="21"/>
                      <w:vertAlign w:val="superscript"/>
                      <w14:textFill>
                        <w14:solidFill>
                          <w14:schemeClr w14:val="tx1"/>
                        </w14:solidFill>
                      </w14:textFill>
                    </w:rPr>
                    <w:t>-7</w:t>
                  </w:r>
                  <w:r>
                    <w:rPr>
                      <w:rFonts w:ascii="Times New Roman" w:hAnsi="Times New Roman" w:eastAsiaTheme="minorEastAsia"/>
                      <w:color w:val="000000" w:themeColor="text1"/>
                      <w:sz w:val="21"/>
                      <w:szCs w:val="21"/>
                      <w14:textFill>
                        <w14:solidFill>
                          <w14:schemeClr w14:val="tx1"/>
                        </w14:solidFill>
                      </w14:textFill>
                    </w:rPr>
                    <w:t>cm/s，等效黏土防渗层Mb≥1.5m。施工时采用防渗混凝土浇筑。</w:t>
                  </w:r>
                </w:p>
              </w:tc>
              <w:tc>
                <w:tcPr>
                  <w:tcW w:w="550" w:type="pct"/>
                  <w:vAlign w:val="center"/>
                </w:tcPr>
                <w:p w14:paraId="056B24AB">
                  <w:pPr>
                    <w:pStyle w:val="65"/>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5</w:t>
                  </w:r>
                </w:p>
              </w:tc>
            </w:tr>
            <w:tr w14:paraId="5E7A3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continue"/>
                  <w:vAlign w:val="center"/>
                </w:tcPr>
                <w:p w14:paraId="490A205D">
                  <w:pPr>
                    <w:pStyle w:val="65"/>
                    <w:rPr>
                      <w:rFonts w:ascii="Times New Roman" w:hAnsi="Times New Roman" w:eastAsiaTheme="minorEastAsia"/>
                      <w:b/>
                      <w:color w:val="000000" w:themeColor="text1"/>
                      <w:sz w:val="21"/>
                      <w:szCs w:val="21"/>
                      <w14:textFill>
                        <w14:solidFill>
                          <w14:schemeClr w14:val="tx1"/>
                        </w14:solidFill>
                      </w14:textFill>
                    </w:rPr>
                  </w:pPr>
                </w:p>
              </w:tc>
              <w:tc>
                <w:tcPr>
                  <w:tcW w:w="508" w:type="pct"/>
                  <w:vMerge w:val="continue"/>
                  <w:vAlign w:val="center"/>
                </w:tcPr>
                <w:p w14:paraId="4BB954C1">
                  <w:pPr>
                    <w:pStyle w:val="65"/>
                    <w:rPr>
                      <w:rFonts w:ascii="Times New Roman" w:hAnsi="Times New Roman" w:eastAsiaTheme="minorEastAsia"/>
                      <w:b/>
                      <w:color w:val="000000" w:themeColor="text1"/>
                      <w:sz w:val="21"/>
                      <w:szCs w:val="21"/>
                      <w14:textFill>
                        <w14:solidFill>
                          <w14:schemeClr w14:val="tx1"/>
                        </w14:solidFill>
                      </w14:textFill>
                    </w:rPr>
                  </w:pPr>
                </w:p>
              </w:tc>
              <w:tc>
                <w:tcPr>
                  <w:tcW w:w="671" w:type="pct"/>
                  <w:vMerge w:val="continue"/>
                  <w:tcBorders>
                    <w:right w:val="single" w:color="auto" w:sz="4" w:space="0"/>
                  </w:tcBorders>
                  <w:vAlign w:val="center"/>
                </w:tcPr>
                <w:p w14:paraId="3C358888">
                  <w:pPr>
                    <w:pStyle w:val="65"/>
                    <w:jc w:val="both"/>
                    <w:rPr>
                      <w:rFonts w:ascii="Times New Roman" w:hAnsi="Times New Roman" w:eastAsiaTheme="minorEastAsia"/>
                      <w:color w:val="000000" w:themeColor="text1"/>
                      <w:sz w:val="21"/>
                      <w:szCs w:val="21"/>
                      <w14:textFill>
                        <w14:solidFill>
                          <w14:schemeClr w14:val="tx1"/>
                        </w14:solidFill>
                      </w14:textFill>
                    </w:rPr>
                  </w:pPr>
                </w:p>
              </w:tc>
              <w:tc>
                <w:tcPr>
                  <w:tcW w:w="3003" w:type="pct"/>
                  <w:gridSpan w:val="2"/>
                  <w:vAlign w:val="center"/>
                </w:tcPr>
                <w:p w14:paraId="40868FB5">
                  <w:pPr>
                    <w:pStyle w:val="65"/>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重点防渗区：</w:t>
                  </w:r>
                  <w:r>
                    <w:rPr>
                      <w:rFonts w:hint="eastAsia" w:ascii="Times New Roman" w:hAnsi="Times New Roman" w:eastAsiaTheme="minorEastAsia"/>
                      <w:color w:val="000000" w:themeColor="text1"/>
                      <w:sz w:val="21"/>
                      <w:szCs w:val="21"/>
                      <w14:textFill>
                        <w14:solidFill>
                          <w14:schemeClr w14:val="tx1"/>
                        </w14:solidFill>
                      </w14:textFill>
                    </w:rPr>
                    <w:t>危废暂存库</w:t>
                  </w:r>
                  <w:r>
                    <w:rPr>
                      <w:rFonts w:ascii="Times New Roman" w:hAnsi="Times New Roman" w:eastAsiaTheme="minorEastAsia"/>
                      <w:color w:val="000000" w:themeColor="text1"/>
                      <w:sz w:val="21"/>
                      <w:szCs w:val="21"/>
                      <w14:textFill>
                        <w14:solidFill>
                          <w14:schemeClr w14:val="tx1"/>
                        </w14:solidFill>
                      </w14:textFill>
                    </w:rPr>
                    <w:t>，防渗要求：渗透系数10</w:t>
                  </w:r>
                  <w:r>
                    <w:rPr>
                      <w:rFonts w:ascii="Times New Roman" w:hAnsi="Times New Roman" w:eastAsiaTheme="minorEastAsia"/>
                      <w:color w:val="000000" w:themeColor="text1"/>
                      <w:sz w:val="21"/>
                      <w:szCs w:val="21"/>
                      <w:vertAlign w:val="superscript"/>
                      <w14:textFill>
                        <w14:solidFill>
                          <w14:schemeClr w14:val="tx1"/>
                        </w14:solidFill>
                      </w14:textFill>
                    </w:rPr>
                    <w:t>-10</w:t>
                  </w:r>
                  <w:r>
                    <w:rPr>
                      <w:rFonts w:ascii="Times New Roman" w:hAnsi="Times New Roman" w:eastAsiaTheme="minorEastAsia"/>
                      <w:color w:val="000000" w:themeColor="text1"/>
                      <w:sz w:val="21"/>
                      <w:szCs w:val="21"/>
                      <w14:textFill>
                        <w14:solidFill>
                          <w14:schemeClr w14:val="tx1"/>
                        </w14:solidFill>
                      </w14:textFill>
                    </w:rPr>
                    <w:t>cm/s，等效黏土防渗层Mb≥6.0m。施工时采用防渗混凝土浇筑，人工防渗材料衬层。</w:t>
                  </w:r>
                </w:p>
              </w:tc>
              <w:tc>
                <w:tcPr>
                  <w:tcW w:w="550" w:type="pct"/>
                  <w:vAlign w:val="center"/>
                </w:tcPr>
                <w:p w14:paraId="10192376">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5</w:t>
                  </w:r>
                </w:p>
              </w:tc>
            </w:tr>
            <w:tr w14:paraId="70FBA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continue"/>
                  <w:vAlign w:val="center"/>
                </w:tcPr>
                <w:p w14:paraId="47A922D2">
                  <w:pPr>
                    <w:pStyle w:val="65"/>
                    <w:rPr>
                      <w:rFonts w:ascii="Times New Roman" w:hAnsi="Times New Roman" w:eastAsiaTheme="minorEastAsia"/>
                      <w:b/>
                      <w:color w:val="000000" w:themeColor="text1"/>
                      <w:sz w:val="21"/>
                      <w:szCs w:val="21"/>
                      <w14:textFill>
                        <w14:solidFill>
                          <w14:schemeClr w14:val="tx1"/>
                        </w14:solidFill>
                      </w14:textFill>
                    </w:rPr>
                  </w:pPr>
                </w:p>
              </w:tc>
              <w:tc>
                <w:tcPr>
                  <w:tcW w:w="508" w:type="pct"/>
                  <w:vMerge w:val="restart"/>
                  <w:vAlign w:val="center"/>
                </w:tcPr>
                <w:p w14:paraId="49308772">
                  <w:pPr>
                    <w:adjustRightInd w:val="0"/>
                    <w:snapToGrid w:val="0"/>
                    <w:jc w:val="cente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废气</w:t>
                  </w:r>
                </w:p>
              </w:tc>
              <w:tc>
                <w:tcPr>
                  <w:tcW w:w="2781" w:type="pct"/>
                  <w:gridSpan w:val="2"/>
                  <w:vAlign w:val="center"/>
                </w:tcPr>
                <w:p w14:paraId="1A1BB6C5">
                  <w:pPr>
                    <w:adjustRightInd w:val="0"/>
                    <w:snapToGrid w:val="0"/>
                    <w:jc w:val="center"/>
                    <w:rPr>
                      <w:rFonts w:eastAsiaTheme="minorEastAsia"/>
                      <w:color w:val="000000" w:themeColor="text1"/>
                      <w14:textFill>
                        <w14:solidFill>
                          <w14:schemeClr w14:val="tx1"/>
                        </w14:solidFill>
                      </w14:textFill>
                    </w:rPr>
                  </w:pPr>
                  <w:r>
                    <w:rPr>
                      <w:rFonts w:hint="eastAsia" w:eastAsiaTheme="minorEastAsia"/>
                      <w:color w:val="000000" w:themeColor="text1"/>
                      <w14:textFill>
                        <w14:solidFill>
                          <w14:schemeClr w14:val="tx1"/>
                        </w14:solidFill>
                      </w14:textFill>
                    </w:rPr>
                    <w:t>分别于东西厂房内设置1台雾炮机</w:t>
                  </w:r>
                </w:p>
              </w:tc>
              <w:tc>
                <w:tcPr>
                  <w:tcW w:w="892" w:type="pct"/>
                  <w:vAlign w:val="center"/>
                </w:tcPr>
                <w:p w14:paraId="4BE395D6">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2台</w:t>
                  </w:r>
                </w:p>
              </w:tc>
              <w:tc>
                <w:tcPr>
                  <w:tcW w:w="550" w:type="pct"/>
                  <w:vAlign w:val="center"/>
                </w:tcPr>
                <w:p w14:paraId="2AD72668">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10</w:t>
                  </w:r>
                </w:p>
              </w:tc>
            </w:tr>
            <w:tr w14:paraId="1751B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continue"/>
                  <w:vAlign w:val="center"/>
                </w:tcPr>
                <w:p w14:paraId="15D0D3A1">
                  <w:pPr>
                    <w:pStyle w:val="65"/>
                    <w:rPr>
                      <w:rFonts w:ascii="Times New Roman" w:hAnsi="Times New Roman" w:eastAsiaTheme="minorEastAsia"/>
                      <w:b/>
                      <w:color w:val="000000" w:themeColor="text1"/>
                      <w:sz w:val="21"/>
                      <w:szCs w:val="21"/>
                      <w14:textFill>
                        <w14:solidFill>
                          <w14:schemeClr w14:val="tx1"/>
                        </w14:solidFill>
                      </w14:textFill>
                    </w:rPr>
                  </w:pPr>
                </w:p>
              </w:tc>
              <w:tc>
                <w:tcPr>
                  <w:tcW w:w="508" w:type="pct"/>
                  <w:vMerge w:val="continue"/>
                  <w:vAlign w:val="center"/>
                </w:tcPr>
                <w:p w14:paraId="114051C9">
                  <w:pPr>
                    <w:adjustRightInd w:val="0"/>
                    <w:snapToGrid w:val="0"/>
                    <w:jc w:val="center"/>
                    <w:rPr>
                      <w:rFonts w:eastAsiaTheme="minorEastAsia"/>
                      <w:color w:val="000000" w:themeColor="text1"/>
                      <w14:textFill>
                        <w14:solidFill>
                          <w14:schemeClr w14:val="tx1"/>
                        </w14:solidFill>
                      </w14:textFill>
                    </w:rPr>
                  </w:pPr>
                </w:p>
              </w:tc>
              <w:tc>
                <w:tcPr>
                  <w:tcW w:w="2781" w:type="pct"/>
                  <w:gridSpan w:val="2"/>
                  <w:vAlign w:val="center"/>
                </w:tcPr>
                <w:p w14:paraId="131F9A53">
                  <w:pPr>
                    <w:adjustRightInd w:val="0"/>
                    <w:snapToGrid w:val="0"/>
                    <w:jc w:val="center"/>
                    <w:rPr>
                      <w:rFonts w:eastAsiaTheme="minorEastAsia"/>
                      <w:color w:val="000000" w:themeColor="text1"/>
                      <w14:textFill>
                        <w14:solidFill>
                          <w14:schemeClr w14:val="tx1"/>
                        </w14:solidFill>
                      </w14:textFill>
                    </w:rPr>
                  </w:pPr>
                  <w:r>
                    <w:rPr>
                      <w:rFonts w:hint="eastAsia" w:eastAsiaTheme="minorEastAsia"/>
                      <w:color w:val="000000" w:themeColor="text1"/>
                      <w14:textFill>
                        <w14:solidFill>
                          <w14:schemeClr w14:val="tx1"/>
                        </w14:solidFill>
                      </w14:textFill>
                    </w:rPr>
                    <w:t>车间密闭，在车间顶部安装抽排风系统</w:t>
                  </w:r>
                </w:p>
              </w:tc>
              <w:tc>
                <w:tcPr>
                  <w:tcW w:w="892" w:type="pct"/>
                  <w:vAlign w:val="center"/>
                </w:tcPr>
                <w:p w14:paraId="621C7138">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1套</w:t>
                  </w:r>
                </w:p>
              </w:tc>
              <w:tc>
                <w:tcPr>
                  <w:tcW w:w="550" w:type="pct"/>
                  <w:vAlign w:val="center"/>
                </w:tcPr>
                <w:p w14:paraId="58C208C0">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5</w:t>
                  </w:r>
                </w:p>
              </w:tc>
            </w:tr>
            <w:tr w14:paraId="0FEEA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jc w:val="center"/>
              </w:trPr>
              <w:tc>
                <w:tcPr>
                  <w:tcW w:w="265" w:type="pct"/>
                  <w:vMerge w:val="continue"/>
                  <w:vAlign w:val="center"/>
                </w:tcPr>
                <w:p w14:paraId="09E9E212">
                  <w:pPr>
                    <w:pStyle w:val="65"/>
                    <w:rPr>
                      <w:rFonts w:ascii="Times New Roman" w:hAnsi="Times New Roman" w:eastAsiaTheme="minorEastAsia"/>
                      <w:b/>
                      <w:color w:val="000000" w:themeColor="text1"/>
                      <w:sz w:val="21"/>
                      <w:szCs w:val="21"/>
                      <w14:textFill>
                        <w14:solidFill>
                          <w14:schemeClr w14:val="tx1"/>
                        </w14:solidFill>
                      </w14:textFill>
                    </w:rPr>
                  </w:pPr>
                </w:p>
              </w:tc>
              <w:tc>
                <w:tcPr>
                  <w:tcW w:w="508" w:type="pct"/>
                  <w:vMerge w:val="continue"/>
                  <w:vAlign w:val="center"/>
                </w:tcPr>
                <w:p w14:paraId="5124918A">
                  <w:pPr>
                    <w:adjustRightInd w:val="0"/>
                    <w:snapToGrid w:val="0"/>
                    <w:jc w:val="center"/>
                    <w:rPr>
                      <w:rFonts w:eastAsiaTheme="minorEastAsia"/>
                      <w:color w:val="000000" w:themeColor="text1"/>
                      <w14:textFill>
                        <w14:solidFill>
                          <w14:schemeClr w14:val="tx1"/>
                        </w14:solidFill>
                      </w14:textFill>
                    </w:rPr>
                  </w:pPr>
                </w:p>
              </w:tc>
              <w:tc>
                <w:tcPr>
                  <w:tcW w:w="2781" w:type="pct"/>
                  <w:gridSpan w:val="2"/>
                  <w:vAlign w:val="center"/>
                </w:tcPr>
                <w:p w14:paraId="7A3F674F">
                  <w:pPr>
                    <w:jc w:val="center"/>
                    <w:rPr>
                      <w:rFonts w:eastAsiaTheme="minorEastAsia"/>
                      <w:bCs/>
                      <w:color w:val="000000" w:themeColor="text1"/>
                      <w:kern w:val="0"/>
                      <w14:textFill>
                        <w14:solidFill>
                          <w14:schemeClr w14:val="tx1"/>
                        </w14:solidFill>
                      </w14:textFill>
                    </w:rPr>
                  </w:pPr>
                  <w:r>
                    <w:rPr>
                      <w:rFonts w:hint="eastAsia" w:eastAsiaTheme="minorEastAsia"/>
                      <w:bCs/>
                      <w:color w:val="000000" w:themeColor="text1"/>
                      <w:kern w:val="0"/>
                      <w14:textFill>
                        <w14:solidFill>
                          <w14:schemeClr w14:val="tx1"/>
                        </w14:solidFill>
                      </w14:textFill>
                    </w:rPr>
                    <w:t>发酵过程中喷洒生物除臭剂除臭，</w:t>
                  </w:r>
                  <w:r>
                    <w:rPr>
                      <w:rFonts w:hint="eastAsia" w:eastAsiaTheme="minorEastAsia"/>
                      <w:bCs/>
                      <w:color w:val="000000" w:themeColor="text1"/>
                      <w:kern w:val="0"/>
                      <w:lang w:eastAsia="zh-CN"/>
                      <w14:textFill>
                        <w14:solidFill>
                          <w14:schemeClr w14:val="tx1"/>
                        </w14:solidFill>
                      </w14:textFill>
                    </w:rPr>
                    <w:t>配置</w:t>
                  </w:r>
                  <w:r>
                    <w:rPr>
                      <w:rFonts w:hint="eastAsia" w:eastAsiaTheme="minorEastAsia"/>
                      <w:bCs/>
                      <w:color w:val="000000" w:themeColor="text1"/>
                      <w:kern w:val="0"/>
                      <w14:textFill>
                        <w14:solidFill>
                          <w14:schemeClr w14:val="tx1"/>
                        </w14:solidFill>
                      </w14:textFill>
                    </w:rPr>
                    <w:t>喷洒设备</w:t>
                  </w:r>
                </w:p>
              </w:tc>
              <w:tc>
                <w:tcPr>
                  <w:tcW w:w="892" w:type="pct"/>
                  <w:vAlign w:val="center"/>
                </w:tcPr>
                <w:p w14:paraId="05E8DE18">
                  <w:pPr>
                    <w:jc w:val="cente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1套</w:t>
                  </w:r>
                </w:p>
              </w:tc>
              <w:tc>
                <w:tcPr>
                  <w:tcW w:w="550" w:type="pct"/>
                  <w:vAlign w:val="center"/>
                </w:tcPr>
                <w:p w14:paraId="651DD8A5">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1.2</w:t>
                  </w:r>
                </w:p>
              </w:tc>
            </w:tr>
            <w:tr w14:paraId="0C28C4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continue"/>
                  <w:vAlign w:val="center"/>
                </w:tcPr>
                <w:p w14:paraId="1AB5F75A">
                  <w:pPr>
                    <w:pStyle w:val="65"/>
                    <w:rPr>
                      <w:rFonts w:ascii="Times New Roman" w:hAnsi="Times New Roman" w:eastAsiaTheme="minorEastAsia"/>
                      <w:b/>
                      <w:color w:val="000000" w:themeColor="text1"/>
                      <w:sz w:val="21"/>
                      <w:szCs w:val="21"/>
                      <w14:textFill>
                        <w14:solidFill>
                          <w14:schemeClr w14:val="tx1"/>
                        </w14:solidFill>
                      </w14:textFill>
                    </w:rPr>
                  </w:pPr>
                </w:p>
              </w:tc>
              <w:tc>
                <w:tcPr>
                  <w:tcW w:w="508" w:type="pct"/>
                  <w:vAlign w:val="center"/>
                </w:tcPr>
                <w:p w14:paraId="247FCF20">
                  <w:pPr>
                    <w:adjustRightInd w:val="0"/>
                    <w:snapToGrid w:val="0"/>
                    <w:jc w:val="center"/>
                    <w:rPr>
                      <w:rFonts w:eastAsiaTheme="minorEastAsia"/>
                      <w:color w:val="000000" w:themeColor="text1"/>
                      <w14:textFill>
                        <w14:solidFill>
                          <w14:schemeClr w14:val="tx1"/>
                        </w14:solidFill>
                      </w14:textFill>
                    </w:rPr>
                  </w:pPr>
                  <w:r>
                    <w:rPr>
                      <w:rFonts w:hint="eastAsia" w:eastAsiaTheme="minorEastAsia"/>
                      <w:color w:val="000000" w:themeColor="text1"/>
                      <w14:textFill>
                        <w14:solidFill>
                          <w14:schemeClr w14:val="tx1"/>
                        </w14:solidFill>
                      </w14:textFill>
                    </w:rPr>
                    <w:t>噪声</w:t>
                  </w:r>
                </w:p>
              </w:tc>
              <w:tc>
                <w:tcPr>
                  <w:tcW w:w="3674" w:type="pct"/>
                  <w:gridSpan w:val="3"/>
                  <w:vAlign w:val="center"/>
                </w:tcPr>
                <w:p w14:paraId="555BFCCC">
                  <w:pPr>
                    <w:jc w:val="cente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设备减震、降噪</w:t>
                  </w:r>
                </w:p>
              </w:tc>
              <w:tc>
                <w:tcPr>
                  <w:tcW w:w="550" w:type="pct"/>
                  <w:vAlign w:val="center"/>
                </w:tcPr>
                <w:p w14:paraId="7F545BDC">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8.5</w:t>
                  </w:r>
                </w:p>
              </w:tc>
            </w:tr>
            <w:tr w14:paraId="4544C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continue"/>
                  <w:vAlign w:val="center"/>
                </w:tcPr>
                <w:p w14:paraId="0E65180C">
                  <w:pPr>
                    <w:pStyle w:val="65"/>
                    <w:rPr>
                      <w:rFonts w:ascii="Times New Roman" w:hAnsi="Times New Roman" w:eastAsiaTheme="minorEastAsia"/>
                      <w:b/>
                      <w:color w:val="000000" w:themeColor="text1"/>
                      <w:sz w:val="21"/>
                      <w:szCs w:val="21"/>
                      <w14:textFill>
                        <w14:solidFill>
                          <w14:schemeClr w14:val="tx1"/>
                        </w14:solidFill>
                      </w14:textFill>
                    </w:rPr>
                  </w:pPr>
                </w:p>
              </w:tc>
              <w:tc>
                <w:tcPr>
                  <w:tcW w:w="508" w:type="pct"/>
                  <w:vMerge w:val="restart"/>
                  <w:vAlign w:val="center"/>
                </w:tcPr>
                <w:p w14:paraId="08D3CFBE">
                  <w:pPr>
                    <w:pStyle w:val="65"/>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固废</w:t>
                  </w:r>
                </w:p>
              </w:tc>
              <w:tc>
                <w:tcPr>
                  <w:tcW w:w="2781" w:type="pct"/>
                  <w:gridSpan w:val="2"/>
                  <w:vAlign w:val="center"/>
                </w:tcPr>
                <w:p w14:paraId="1441CC5C">
                  <w:pPr>
                    <w:pStyle w:val="65"/>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垃圾桶</w:t>
                  </w:r>
                </w:p>
              </w:tc>
              <w:tc>
                <w:tcPr>
                  <w:tcW w:w="892" w:type="pct"/>
                  <w:vAlign w:val="center"/>
                </w:tcPr>
                <w:p w14:paraId="1D2249BC">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5</w:t>
                  </w:r>
                </w:p>
              </w:tc>
              <w:tc>
                <w:tcPr>
                  <w:tcW w:w="550" w:type="pct"/>
                  <w:vAlign w:val="center"/>
                </w:tcPr>
                <w:p w14:paraId="7DDD5930">
                  <w:pPr>
                    <w:pStyle w:val="65"/>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0.</w:t>
                  </w:r>
                  <w:r>
                    <w:rPr>
                      <w:rFonts w:hint="eastAsia" w:ascii="Times New Roman" w:hAnsi="Times New Roman" w:eastAsiaTheme="minorEastAsia"/>
                      <w:color w:val="000000" w:themeColor="text1"/>
                      <w:sz w:val="21"/>
                      <w:szCs w:val="21"/>
                      <w14:textFill>
                        <w14:solidFill>
                          <w14:schemeClr w14:val="tx1"/>
                        </w14:solidFill>
                      </w14:textFill>
                    </w:rPr>
                    <w:t>05</w:t>
                  </w:r>
                </w:p>
              </w:tc>
            </w:tr>
            <w:tr w14:paraId="14A66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continue"/>
                  <w:vAlign w:val="center"/>
                </w:tcPr>
                <w:p w14:paraId="263C85C0">
                  <w:pPr>
                    <w:pStyle w:val="65"/>
                    <w:rPr>
                      <w:rFonts w:ascii="Times New Roman" w:hAnsi="Times New Roman" w:eastAsiaTheme="minorEastAsia"/>
                      <w:b/>
                      <w:color w:val="000000" w:themeColor="text1"/>
                      <w:sz w:val="21"/>
                      <w:szCs w:val="21"/>
                      <w14:textFill>
                        <w14:solidFill>
                          <w14:schemeClr w14:val="tx1"/>
                        </w14:solidFill>
                      </w14:textFill>
                    </w:rPr>
                  </w:pPr>
                </w:p>
              </w:tc>
              <w:tc>
                <w:tcPr>
                  <w:tcW w:w="508" w:type="pct"/>
                  <w:vMerge w:val="continue"/>
                  <w:vAlign w:val="center"/>
                </w:tcPr>
                <w:p w14:paraId="416669C0">
                  <w:pPr>
                    <w:pStyle w:val="65"/>
                    <w:rPr>
                      <w:rFonts w:ascii="Times New Roman" w:hAnsi="Times New Roman" w:eastAsiaTheme="minorEastAsia"/>
                      <w:color w:val="000000" w:themeColor="text1"/>
                      <w:sz w:val="21"/>
                      <w:szCs w:val="21"/>
                      <w14:textFill>
                        <w14:solidFill>
                          <w14:schemeClr w14:val="tx1"/>
                        </w14:solidFill>
                      </w14:textFill>
                    </w:rPr>
                  </w:pPr>
                </w:p>
              </w:tc>
              <w:tc>
                <w:tcPr>
                  <w:tcW w:w="2781" w:type="pct"/>
                  <w:gridSpan w:val="2"/>
                  <w:vAlign w:val="center"/>
                </w:tcPr>
                <w:p w14:paraId="3EB707CE">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一般固废暂存库</w:t>
                  </w:r>
                </w:p>
              </w:tc>
              <w:tc>
                <w:tcPr>
                  <w:tcW w:w="892" w:type="pct"/>
                  <w:vAlign w:val="center"/>
                </w:tcPr>
                <w:p w14:paraId="15EFD8C9">
                  <w:pPr>
                    <w:pStyle w:val="65"/>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1间，</w:t>
                  </w:r>
                  <w:r>
                    <w:rPr>
                      <w:rFonts w:hint="eastAsia" w:ascii="Times New Roman" w:hAnsi="Times New Roman" w:eastAsiaTheme="minorEastAsia"/>
                      <w:color w:val="000000" w:themeColor="text1"/>
                      <w:sz w:val="21"/>
                      <w:szCs w:val="21"/>
                      <w14:textFill>
                        <w14:solidFill>
                          <w14:schemeClr w14:val="tx1"/>
                        </w14:solidFill>
                      </w14:textFill>
                    </w:rPr>
                    <w:t>5</w:t>
                  </w:r>
                  <w:r>
                    <w:rPr>
                      <w:rFonts w:ascii="Times New Roman" w:hAnsi="Times New Roman" w:eastAsiaTheme="minorEastAsia"/>
                      <w:color w:val="000000" w:themeColor="text1"/>
                      <w:sz w:val="21"/>
                      <w:szCs w:val="21"/>
                      <w14:textFill>
                        <w14:solidFill>
                          <w14:schemeClr w14:val="tx1"/>
                        </w14:solidFill>
                      </w14:textFill>
                    </w:rPr>
                    <w:t>m</w:t>
                  </w:r>
                  <w:r>
                    <w:rPr>
                      <w:rFonts w:ascii="Times New Roman" w:hAnsi="Times New Roman" w:eastAsiaTheme="minorEastAsia"/>
                      <w:color w:val="000000" w:themeColor="text1"/>
                      <w:sz w:val="21"/>
                      <w:szCs w:val="21"/>
                      <w:vertAlign w:val="superscript"/>
                      <w14:textFill>
                        <w14:solidFill>
                          <w14:schemeClr w14:val="tx1"/>
                        </w14:solidFill>
                      </w14:textFill>
                    </w:rPr>
                    <w:t>2</w:t>
                  </w:r>
                </w:p>
              </w:tc>
              <w:tc>
                <w:tcPr>
                  <w:tcW w:w="550" w:type="pct"/>
                  <w:vAlign w:val="center"/>
                </w:tcPr>
                <w:p w14:paraId="2E80EDC4">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1</w:t>
                  </w:r>
                </w:p>
              </w:tc>
            </w:tr>
            <w:tr w14:paraId="0891C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265" w:type="pct"/>
                  <w:vMerge w:val="continue"/>
                  <w:vAlign w:val="center"/>
                </w:tcPr>
                <w:p w14:paraId="3EAC3919">
                  <w:pPr>
                    <w:pStyle w:val="65"/>
                    <w:rPr>
                      <w:rFonts w:ascii="Times New Roman" w:hAnsi="Times New Roman" w:eastAsiaTheme="minorEastAsia"/>
                      <w:b/>
                      <w:color w:val="000000" w:themeColor="text1"/>
                      <w:sz w:val="21"/>
                      <w:szCs w:val="21"/>
                      <w14:textFill>
                        <w14:solidFill>
                          <w14:schemeClr w14:val="tx1"/>
                        </w14:solidFill>
                      </w14:textFill>
                    </w:rPr>
                  </w:pPr>
                </w:p>
              </w:tc>
              <w:tc>
                <w:tcPr>
                  <w:tcW w:w="508" w:type="pct"/>
                  <w:vMerge w:val="continue"/>
                  <w:vAlign w:val="center"/>
                </w:tcPr>
                <w:p w14:paraId="226A1438">
                  <w:pPr>
                    <w:pStyle w:val="65"/>
                    <w:rPr>
                      <w:rFonts w:ascii="Times New Roman" w:hAnsi="Times New Roman" w:eastAsiaTheme="minorEastAsia"/>
                      <w:color w:val="000000" w:themeColor="text1"/>
                      <w:sz w:val="21"/>
                      <w:szCs w:val="21"/>
                      <w14:textFill>
                        <w14:solidFill>
                          <w14:schemeClr w14:val="tx1"/>
                        </w14:solidFill>
                      </w14:textFill>
                    </w:rPr>
                  </w:pPr>
                </w:p>
              </w:tc>
              <w:tc>
                <w:tcPr>
                  <w:tcW w:w="2781" w:type="pct"/>
                  <w:gridSpan w:val="2"/>
                  <w:vAlign w:val="center"/>
                </w:tcPr>
                <w:p w14:paraId="3B2A1002">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危废暂存库</w:t>
                  </w:r>
                </w:p>
              </w:tc>
              <w:tc>
                <w:tcPr>
                  <w:tcW w:w="892" w:type="pct"/>
                  <w:vAlign w:val="center"/>
                </w:tcPr>
                <w:p w14:paraId="46046A2D">
                  <w:pPr>
                    <w:pStyle w:val="65"/>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1间，</w:t>
                  </w:r>
                  <w:r>
                    <w:rPr>
                      <w:rFonts w:hint="eastAsia" w:ascii="Times New Roman" w:hAnsi="Times New Roman" w:eastAsiaTheme="minorEastAsia"/>
                      <w:color w:val="000000" w:themeColor="text1"/>
                      <w:sz w:val="21"/>
                      <w:szCs w:val="21"/>
                      <w14:textFill>
                        <w14:solidFill>
                          <w14:schemeClr w14:val="tx1"/>
                        </w14:solidFill>
                      </w14:textFill>
                    </w:rPr>
                    <w:t>5</w:t>
                  </w:r>
                  <w:r>
                    <w:rPr>
                      <w:rFonts w:ascii="Times New Roman" w:hAnsi="Times New Roman" w:eastAsiaTheme="minorEastAsia"/>
                      <w:color w:val="000000" w:themeColor="text1"/>
                      <w:sz w:val="21"/>
                      <w:szCs w:val="21"/>
                      <w14:textFill>
                        <w14:solidFill>
                          <w14:schemeClr w14:val="tx1"/>
                        </w14:solidFill>
                      </w14:textFill>
                    </w:rPr>
                    <w:t>m</w:t>
                  </w:r>
                  <w:r>
                    <w:rPr>
                      <w:rFonts w:ascii="Times New Roman" w:hAnsi="Times New Roman" w:eastAsiaTheme="minorEastAsia"/>
                      <w:color w:val="000000" w:themeColor="text1"/>
                      <w:sz w:val="21"/>
                      <w:szCs w:val="21"/>
                      <w:vertAlign w:val="superscript"/>
                      <w14:textFill>
                        <w14:solidFill>
                          <w14:schemeClr w14:val="tx1"/>
                        </w14:solidFill>
                      </w14:textFill>
                    </w:rPr>
                    <w:t>2</w:t>
                  </w:r>
                </w:p>
              </w:tc>
              <w:tc>
                <w:tcPr>
                  <w:tcW w:w="550" w:type="pct"/>
                  <w:vAlign w:val="center"/>
                </w:tcPr>
                <w:p w14:paraId="5431A10C">
                  <w:pPr>
                    <w:pStyle w:val="65"/>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2</w:t>
                  </w:r>
                </w:p>
              </w:tc>
            </w:tr>
            <w:tr w14:paraId="13F053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5" w:hRule="atLeast"/>
                <w:jc w:val="center"/>
              </w:trPr>
              <w:tc>
                <w:tcPr>
                  <w:tcW w:w="265" w:type="pct"/>
                  <w:vMerge w:val="continue"/>
                  <w:vAlign w:val="center"/>
                </w:tcPr>
                <w:p w14:paraId="5C462566">
                  <w:pPr>
                    <w:pStyle w:val="10"/>
                    <w:tabs>
                      <w:tab w:val="left" w:pos="5220"/>
                    </w:tabs>
                    <w:jc w:val="center"/>
                    <w:outlineLvl w:val="1"/>
                    <w:rPr>
                      <w:rFonts w:eastAsiaTheme="minorEastAsia"/>
                      <w:color w:val="000000" w:themeColor="text1"/>
                      <w:szCs w:val="21"/>
                      <w14:textFill>
                        <w14:solidFill>
                          <w14:schemeClr w14:val="tx1"/>
                        </w14:solidFill>
                      </w14:textFill>
                    </w:rPr>
                  </w:pPr>
                </w:p>
              </w:tc>
              <w:tc>
                <w:tcPr>
                  <w:tcW w:w="508" w:type="pct"/>
                  <w:vAlign w:val="center"/>
                </w:tcPr>
                <w:p w14:paraId="5C284265">
                  <w:pPr>
                    <w:pStyle w:val="10"/>
                    <w:tabs>
                      <w:tab w:val="left" w:pos="5220"/>
                    </w:tabs>
                    <w:jc w:val="center"/>
                    <w:outlineLvl w:val="1"/>
                    <w:rPr>
                      <w:rFonts w:eastAsiaTheme="minorEastAsia"/>
                      <w:color w:val="000000" w:themeColor="text1"/>
                      <w:sz w:val="21"/>
                      <w:szCs w:val="21"/>
                      <w14:textFill>
                        <w14:solidFill>
                          <w14:schemeClr w14:val="tx1"/>
                        </w14:solidFill>
                      </w14:textFill>
                    </w:rPr>
                  </w:pPr>
                  <w:r>
                    <w:rPr>
                      <w:rFonts w:eastAsiaTheme="minorEastAsia"/>
                      <w:color w:val="000000" w:themeColor="text1"/>
                      <w:sz w:val="21"/>
                      <w:szCs w:val="21"/>
                      <w14:textFill>
                        <w14:solidFill>
                          <w14:schemeClr w14:val="tx1"/>
                        </w14:solidFill>
                      </w14:textFill>
                    </w:rPr>
                    <w:t>环境保护管理</w:t>
                  </w:r>
                </w:p>
              </w:tc>
              <w:tc>
                <w:tcPr>
                  <w:tcW w:w="3674" w:type="pct"/>
                  <w:gridSpan w:val="3"/>
                  <w:vAlign w:val="center"/>
                </w:tcPr>
                <w:p w14:paraId="5B95C760">
                  <w:pPr>
                    <w:pStyle w:val="10"/>
                    <w:tabs>
                      <w:tab w:val="left" w:pos="5220"/>
                    </w:tabs>
                    <w:jc w:val="center"/>
                    <w:outlineLvl w:val="1"/>
                    <w:rPr>
                      <w:rFonts w:eastAsiaTheme="minorEastAsia"/>
                      <w:color w:val="000000" w:themeColor="text1"/>
                      <w:sz w:val="21"/>
                      <w:szCs w:val="21"/>
                      <w14:textFill>
                        <w14:solidFill>
                          <w14:schemeClr w14:val="tx1"/>
                        </w14:solidFill>
                      </w14:textFill>
                    </w:rPr>
                  </w:pPr>
                  <w:r>
                    <w:rPr>
                      <w:rFonts w:eastAsiaTheme="minorEastAsia"/>
                      <w:color w:val="000000" w:themeColor="text1"/>
                      <w:sz w:val="21"/>
                      <w:szCs w:val="21"/>
                      <w14:textFill>
                        <w14:solidFill>
                          <w14:schemeClr w14:val="tx1"/>
                        </w14:solidFill>
                      </w14:textFill>
                    </w:rPr>
                    <w:t>运行维护和</w:t>
                  </w:r>
                  <w:r>
                    <w:rPr>
                      <w:rFonts w:hint="eastAsia" w:eastAsiaTheme="minorEastAsia"/>
                      <w:color w:val="000000" w:themeColor="text1"/>
                      <w:sz w:val="21"/>
                      <w:szCs w:val="21"/>
                      <w14:textFill>
                        <w14:solidFill>
                          <w14:schemeClr w14:val="tx1"/>
                        </w14:solidFill>
                      </w14:textFill>
                    </w:rPr>
                    <w:t>监测</w:t>
                  </w:r>
                  <w:r>
                    <w:rPr>
                      <w:rFonts w:eastAsiaTheme="minorEastAsia"/>
                      <w:color w:val="000000" w:themeColor="text1"/>
                      <w:sz w:val="21"/>
                      <w:szCs w:val="21"/>
                      <w14:textFill>
                        <w14:solidFill>
                          <w14:schemeClr w14:val="tx1"/>
                        </w14:solidFill>
                      </w14:textFill>
                    </w:rPr>
                    <w:t>等费用</w:t>
                  </w:r>
                </w:p>
              </w:tc>
              <w:tc>
                <w:tcPr>
                  <w:tcW w:w="550" w:type="pct"/>
                  <w:vAlign w:val="center"/>
                </w:tcPr>
                <w:p w14:paraId="7285403F">
                  <w:pPr>
                    <w:widowControl/>
                    <w:jc w:val="center"/>
                    <w:textAlignment w:val="center"/>
                    <w:rPr>
                      <w:rFonts w:eastAsiaTheme="minorEastAsia"/>
                      <w:color w:val="000000" w:themeColor="text1"/>
                      <w:kern w:val="0"/>
                      <w:szCs w:val="21"/>
                      <w14:textFill>
                        <w14:solidFill>
                          <w14:schemeClr w14:val="tx1"/>
                        </w14:solidFill>
                      </w14:textFill>
                    </w:rPr>
                  </w:pPr>
                  <w:r>
                    <w:rPr>
                      <w:rFonts w:eastAsiaTheme="minorEastAsia"/>
                      <w:color w:val="000000" w:themeColor="text1"/>
                      <w:kern w:val="0"/>
                      <w:szCs w:val="21"/>
                      <w14:textFill>
                        <w14:solidFill>
                          <w14:schemeClr w14:val="tx1"/>
                        </w14:solidFill>
                      </w14:textFill>
                    </w:rPr>
                    <w:t>4</w:t>
                  </w:r>
                </w:p>
              </w:tc>
            </w:tr>
            <w:tr w14:paraId="498E4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4449" w:type="pct"/>
                  <w:gridSpan w:val="5"/>
                  <w:vAlign w:val="center"/>
                </w:tcPr>
                <w:p w14:paraId="0DD9FDBD">
                  <w:pPr>
                    <w:pStyle w:val="65"/>
                    <w:rPr>
                      <w:rFonts w:ascii="Times New Roman" w:hAnsi="Times New Roman" w:eastAsiaTheme="minorEastAsia"/>
                      <w:b/>
                      <w:color w:val="000000" w:themeColor="text1"/>
                      <w:sz w:val="21"/>
                      <w:szCs w:val="21"/>
                      <w14:textFill>
                        <w14:solidFill>
                          <w14:schemeClr w14:val="tx1"/>
                        </w14:solidFill>
                      </w14:textFill>
                    </w:rPr>
                  </w:pPr>
                  <w:r>
                    <w:rPr>
                      <w:rFonts w:ascii="Times New Roman" w:hAnsi="Times New Roman" w:eastAsiaTheme="minorEastAsia"/>
                      <w:color w:val="000000" w:themeColor="text1"/>
                      <w14:textFill>
                        <w14:solidFill>
                          <w14:schemeClr w14:val="tx1"/>
                        </w14:solidFill>
                      </w14:textFill>
                    </w:rPr>
                    <w:t>合计</w:t>
                  </w:r>
                </w:p>
              </w:tc>
              <w:tc>
                <w:tcPr>
                  <w:tcW w:w="550" w:type="pct"/>
                  <w:vAlign w:val="center"/>
                </w:tcPr>
                <w:p w14:paraId="3EDD1019">
                  <w:pPr>
                    <w:pStyle w:val="66"/>
                    <w:rPr>
                      <w:rFonts w:ascii="Times New Roman" w:hAnsi="Times New Roman" w:eastAsiaTheme="minorEastAsia"/>
                      <w:color w:val="000000" w:themeColor="text1"/>
                      <w14:textFill>
                        <w14:solidFill>
                          <w14:schemeClr w14:val="tx1"/>
                        </w14:solidFill>
                      </w14:textFill>
                    </w:rPr>
                  </w:pPr>
                  <w:r>
                    <w:rPr>
                      <w:rFonts w:hint="eastAsia" w:ascii="Times New Roman" w:hAnsi="Times New Roman" w:eastAsiaTheme="minorEastAsia"/>
                      <w:color w:val="000000" w:themeColor="text1"/>
                      <w14:textFill>
                        <w14:solidFill>
                          <w14:schemeClr w14:val="tx1"/>
                        </w14:solidFill>
                      </w14:textFill>
                    </w:rPr>
                    <w:t>50.05</w:t>
                  </w:r>
                </w:p>
              </w:tc>
            </w:tr>
          </w:tbl>
          <w:p w14:paraId="4D6F576D">
            <w:pPr>
              <w:jc w:val="center"/>
              <w:rPr>
                <w:bCs/>
                <w:color w:val="000000" w:themeColor="text1"/>
                <w:szCs w:val="21"/>
                <w14:textFill>
                  <w14:solidFill>
                    <w14:schemeClr w14:val="tx1"/>
                  </w14:solidFill>
                </w14:textFill>
              </w:rPr>
            </w:pPr>
          </w:p>
        </w:tc>
      </w:tr>
      <w:tr w14:paraId="4EB7AA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823" w:type="dxa"/>
            <w:vAlign w:val="center"/>
          </w:tcPr>
          <w:p w14:paraId="314797CA">
            <w:pPr>
              <w:pStyle w:val="21"/>
              <w:adjustRightInd w:val="0"/>
              <w:snapToGri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Cs w:val="24"/>
                <w14:textFill>
                  <w14:solidFill>
                    <w14:schemeClr w14:val="tx1"/>
                  </w14:solidFill>
                </w14:textFill>
              </w:rPr>
              <w:t>工艺流程和产排污环节</w:t>
            </w:r>
          </w:p>
        </w:tc>
        <w:tc>
          <w:tcPr>
            <w:tcW w:w="8161" w:type="dxa"/>
          </w:tcPr>
          <w:p w14:paraId="30505602">
            <w:pPr>
              <w:numPr>
                <w:ilvl w:val="0"/>
                <w:numId w:val="2"/>
              </w:numPr>
              <w:adjustRightInd w:val="0"/>
              <w:snapToGrid w:val="0"/>
              <w:spacing w:line="360" w:lineRule="auto"/>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施工期</w:t>
            </w:r>
          </w:p>
          <w:p w14:paraId="0FB98203">
            <w:pPr>
              <w:spacing w:line="360" w:lineRule="auto"/>
              <w:ind w:firstLine="480" w:firstLineChars="200"/>
              <w:jc w:val="left"/>
              <w:rPr>
                <w:rFonts w:eastAsiaTheme="minor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根据现场踏勘，项目租用云南建工云岭水泥有限公司已建厂房进行建设，施工期主要对现有厂房进行改造，并配套安装生产设备和环保设施等，</w:t>
            </w:r>
            <w:r>
              <w:rPr>
                <w:rFonts w:eastAsiaTheme="minorEastAsia"/>
                <w:color w:val="000000" w:themeColor="text1"/>
                <w:sz w:val="24"/>
                <w14:textFill>
                  <w14:solidFill>
                    <w14:schemeClr w14:val="tx1"/>
                  </w14:solidFill>
                </w14:textFill>
              </w:rPr>
              <w:t>施工期工艺流程及产污节点见图</w:t>
            </w:r>
            <w:r>
              <w:rPr>
                <w:rFonts w:hint="eastAsia" w:eastAsiaTheme="minorEastAsia"/>
                <w:color w:val="000000" w:themeColor="text1"/>
                <w:sz w:val="24"/>
                <w14:textFill>
                  <w14:solidFill>
                    <w14:schemeClr w14:val="tx1"/>
                  </w14:solidFill>
                </w14:textFill>
              </w:rPr>
              <w:t>2-4</w:t>
            </w:r>
            <w:r>
              <w:rPr>
                <w:rFonts w:eastAsiaTheme="minorEastAsia"/>
                <w:color w:val="000000" w:themeColor="text1"/>
                <w:sz w:val="24"/>
                <w14:textFill>
                  <w14:solidFill>
                    <w14:schemeClr w14:val="tx1"/>
                  </w14:solidFill>
                </w14:textFill>
              </w:rPr>
              <w:t>。</w:t>
            </w:r>
          </w:p>
          <w:p w14:paraId="1C0EC162">
            <w:pPr>
              <w:pStyle w:val="4"/>
              <w:spacing w:before="0" w:after="0" w:line="360" w:lineRule="auto"/>
              <w:ind w:left="1928" w:hanging="1928" w:hangingChars="600"/>
              <w:rPr>
                <w:rFonts w:eastAsiaTheme="minorEastAsia"/>
                <w:color w:val="000000" w:themeColor="text1"/>
                <w:sz w:val="21"/>
                <w:szCs w:val="21"/>
                <w14:textFill>
                  <w14:solidFill>
                    <w14:schemeClr w14:val="tx1"/>
                  </w14:solidFill>
                </w14:textFill>
              </w:rPr>
            </w:pPr>
            <w:r>
              <w:rPr>
                <w:color w:val="000000" w:themeColor="text1"/>
                <w14:textFill>
                  <w14:solidFill>
                    <w14:schemeClr w14:val="tx1"/>
                  </w14:solidFill>
                </w14:textFill>
              </w:rPr>
              <w:object>
                <v:shape id="_x0000_i1029" o:spt="75" type="#_x0000_t75" style="height:93pt;width:396.75pt;" o:ole="t" filled="f" o:preferrelative="t" stroked="f" coordsize="21600,21600">
                  <v:path/>
                  <v:fill on="f" focussize="0,0"/>
                  <v:stroke on="f" joinstyle="miter"/>
                  <v:imagedata r:id="rId18" o:title=""/>
                  <o:lock v:ext="edit" aspectratio="f"/>
                  <w10:wrap type="none"/>
                  <w10:anchorlock/>
                </v:shape>
                <o:OLEObject Type="Embed" ProgID="Visio.Drawing.11" ShapeID="_x0000_i1029" DrawAspect="Content" ObjectID="_1468075729" r:id="rId17">
                  <o:LockedField>false</o:LockedField>
                </o:OLEObject>
              </w:object>
            </w:r>
            <w:r>
              <w:rPr>
                <w:rFonts w:hint="eastAsia"/>
                <w:color w:val="000000" w:themeColor="text1"/>
                <w14:textFill>
                  <w14:solidFill>
                    <w14:schemeClr w14:val="tx1"/>
                  </w14:solidFill>
                </w14:textFill>
              </w:rPr>
              <w:t xml:space="preserve"> </w:t>
            </w:r>
            <w:r>
              <w:rPr>
                <w:rFonts w:eastAsiaTheme="minorEastAsia"/>
                <w:color w:val="000000" w:themeColor="text1"/>
                <w:sz w:val="18"/>
                <w:szCs w:val="21"/>
                <w14:textFill>
                  <w14:solidFill>
                    <w14:schemeClr w14:val="tx1"/>
                  </w14:solidFill>
                </w14:textFill>
              </w:rPr>
              <w:t>图</w:t>
            </w:r>
            <w:r>
              <w:rPr>
                <w:rFonts w:hint="eastAsia" w:eastAsiaTheme="minorEastAsia"/>
                <w:color w:val="000000" w:themeColor="text1"/>
                <w:sz w:val="21"/>
                <w:szCs w:val="21"/>
                <w14:textFill>
                  <w14:solidFill>
                    <w14:schemeClr w14:val="tx1"/>
                  </w14:solidFill>
                </w14:textFill>
              </w:rPr>
              <w:t xml:space="preserve">2-4 </w:t>
            </w:r>
            <w:r>
              <w:rPr>
                <w:rFonts w:eastAsiaTheme="minorEastAsia"/>
                <w:color w:val="000000" w:themeColor="text1"/>
                <w:sz w:val="21"/>
                <w:szCs w:val="21"/>
                <w14:textFill>
                  <w14:solidFill>
                    <w14:schemeClr w14:val="tx1"/>
                  </w14:solidFill>
                </w14:textFill>
              </w:rPr>
              <w:t xml:space="preserve"> 施工期工艺流程及产污环节图  </w:t>
            </w:r>
          </w:p>
          <w:p w14:paraId="08C1D44E">
            <w:pPr>
              <w:adjustRightInd w:val="0"/>
              <w:snapToGrid w:val="0"/>
              <w:spacing w:line="360" w:lineRule="auto"/>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施工期污染因素分析：</w:t>
            </w:r>
          </w:p>
          <w:p w14:paraId="79789B43">
            <w:pPr>
              <w:spacing w:line="360" w:lineRule="auto"/>
              <w:ind w:firstLine="480" w:firstLineChars="200"/>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（1）废气</w:t>
            </w:r>
          </w:p>
          <w:p w14:paraId="2B0691E3">
            <w:pPr>
              <w:spacing w:line="360" w:lineRule="auto"/>
              <w:ind w:firstLine="480" w:firstLineChars="200"/>
              <w:jc w:val="left"/>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项目施工期废气包括施工扬尘、运输扬尘和汽车尾气及机械废气。</w:t>
            </w:r>
          </w:p>
          <w:p w14:paraId="61B8A449">
            <w:pPr>
              <w:spacing w:line="360" w:lineRule="auto"/>
              <w:ind w:firstLine="480" w:firstLineChars="200"/>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（2）废水</w:t>
            </w:r>
          </w:p>
          <w:p w14:paraId="17C9C9BC">
            <w:pPr>
              <w:spacing w:line="360" w:lineRule="auto"/>
              <w:ind w:firstLine="480" w:firstLineChars="200"/>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项目施工期废水主要为施工废水、施工人员生活废水。</w:t>
            </w:r>
          </w:p>
          <w:p w14:paraId="33BB5712">
            <w:pPr>
              <w:spacing w:line="360" w:lineRule="auto"/>
              <w:ind w:firstLine="480" w:firstLineChars="200"/>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（3）噪声</w:t>
            </w:r>
          </w:p>
          <w:p w14:paraId="2E4B1B22">
            <w:pPr>
              <w:spacing w:line="360" w:lineRule="auto"/>
              <w:ind w:firstLine="480" w:firstLineChars="200"/>
              <w:rPr>
                <w:rFonts w:eastAsiaTheme="minorEastAsia"/>
                <w:bCs/>
                <w:color w:val="000000" w:themeColor="text1"/>
                <w:sz w:val="24"/>
                <w14:textFill>
                  <w14:solidFill>
                    <w14:schemeClr w14:val="tx1"/>
                  </w14:solidFill>
                </w14:textFill>
              </w:rPr>
            </w:pPr>
            <w:r>
              <w:rPr>
                <w:rFonts w:eastAsiaTheme="minorEastAsia"/>
                <w:bCs/>
                <w:color w:val="000000" w:themeColor="text1"/>
                <w:sz w:val="24"/>
                <w:szCs w:val="22"/>
                <w14:textFill>
                  <w14:solidFill>
                    <w14:schemeClr w14:val="tx1"/>
                  </w14:solidFill>
                </w14:textFill>
              </w:rPr>
              <w:t>项目施工期的噪声主要为机械噪声、施工作业噪声和施工车辆噪声。</w:t>
            </w:r>
          </w:p>
          <w:p w14:paraId="5F36D37D">
            <w:pPr>
              <w:spacing w:line="360" w:lineRule="auto"/>
              <w:ind w:firstLine="480" w:firstLineChars="200"/>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 xml:space="preserve">（4）固废  </w:t>
            </w:r>
          </w:p>
          <w:p w14:paraId="1C7C3090">
            <w:pPr>
              <w:pStyle w:val="21"/>
              <w:autoSpaceDE w:val="0"/>
              <w:autoSpaceDN w:val="0"/>
              <w:adjustRightInd w:val="0"/>
              <w:snapToGrid w:val="0"/>
              <w:spacing w:before="0" w:beforeAutospacing="0" w:after="0" w:afterAutospacing="0" w:line="360" w:lineRule="auto"/>
              <w:ind w:firstLine="480" w:firstLineChars="200"/>
              <w:jc w:val="both"/>
              <w:rPr>
                <w:rFonts w:ascii="Times New Roman" w:hAnsi="Times New Roman"/>
                <w:color w:val="000000" w:themeColor="text1"/>
                <w:szCs w:val="24"/>
                <w:lang w:bidi="ar"/>
                <w14:textFill>
                  <w14:solidFill>
                    <w14:schemeClr w14:val="tx1"/>
                  </w14:solidFill>
                </w14:textFill>
              </w:rPr>
            </w:pPr>
            <w:r>
              <w:rPr>
                <w:rFonts w:eastAsiaTheme="minorEastAsia"/>
                <w:color w:val="000000" w:themeColor="text1"/>
                <w:szCs w:val="22"/>
                <w14:textFill>
                  <w14:solidFill>
                    <w14:schemeClr w14:val="tx1"/>
                  </w14:solidFill>
                </w14:textFill>
              </w:rPr>
              <w:t>施工期固废主要为建筑垃圾、施工人员生活垃圾。</w:t>
            </w:r>
          </w:p>
          <w:p w14:paraId="04A84BFF">
            <w:pPr>
              <w:numPr>
                <w:ilvl w:val="0"/>
                <w:numId w:val="2"/>
              </w:numPr>
              <w:adjustRightInd w:val="0"/>
              <w:snapToGrid w:val="0"/>
              <w:spacing w:line="360" w:lineRule="auto"/>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运营期</w:t>
            </w:r>
          </w:p>
          <w:p w14:paraId="78A4718F">
            <w:pPr>
              <w:adjustRightInd w:val="0"/>
              <w:snapToGrid w:val="0"/>
              <w:spacing w:line="360" w:lineRule="auto"/>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（一）</w:t>
            </w:r>
            <w:r>
              <w:rPr>
                <w:b/>
                <w:bCs/>
                <w:color w:val="000000" w:themeColor="text1"/>
                <w:sz w:val="24"/>
                <w14:textFill>
                  <w14:solidFill>
                    <w14:schemeClr w14:val="tx1"/>
                  </w14:solidFill>
                </w14:textFill>
              </w:rPr>
              <w:t>工艺流程</w:t>
            </w:r>
          </w:p>
          <w:p w14:paraId="5F6B34FC">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本项目建设 </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条生产线，</w:t>
            </w:r>
            <w:r>
              <w:rPr>
                <w:rFonts w:hint="eastAsia"/>
                <w:color w:val="000000" w:themeColor="text1"/>
                <w:sz w:val="24"/>
                <w14:textFill>
                  <w14:solidFill>
                    <w14:schemeClr w14:val="tx1"/>
                  </w14:solidFill>
                </w14:textFill>
              </w:rPr>
              <w:t>低变质褐煤、锯木屑、尿素添加发酵菌剂进行发酵后产品为有机肥，直接包装入库待售。</w:t>
            </w:r>
            <w:r>
              <w:rPr>
                <w:rFonts w:hint="eastAsia"/>
                <w:b/>
                <w:color w:val="000000" w:themeColor="text1"/>
                <w:sz w:val="24"/>
                <w14:textFill>
                  <w14:solidFill>
                    <w14:schemeClr w14:val="tx1"/>
                  </w14:solidFill>
                </w14:textFill>
              </w:rPr>
              <w:t xml:space="preserve"> </w:t>
            </w:r>
            <w:r>
              <w:rPr>
                <w:rFonts w:hint="eastAsia"/>
                <w:bCs/>
                <w:color w:val="000000" w:themeColor="text1"/>
                <w:sz w:val="24"/>
                <w14:textFill>
                  <w14:solidFill>
                    <w14:schemeClr w14:val="tx1"/>
                  </w14:solidFill>
                </w14:textFill>
              </w:rPr>
              <w:t>本项目采购的原料锯木屑粒径为3-10mm，低变质褐煤粒径为6-25mm，购买时已要求供应方提供满足生产要求的原料，本项目购买后可满足生产需求，不需要进行破碎、烘干、造粒等环节，有机肥执行</w:t>
            </w:r>
            <w:r>
              <w:rPr>
                <w:bCs/>
                <w:color w:val="000000" w:themeColor="text1"/>
                <w:sz w:val="24"/>
                <w14:textFill>
                  <w14:solidFill>
                    <w14:schemeClr w14:val="tx1"/>
                  </w14:solidFill>
                </w14:textFill>
              </w:rPr>
              <w:t>《有机肥料》（NY/T525-</w:t>
            </w:r>
            <w:r>
              <w:rPr>
                <w:rFonts w:hint="eastAsia"/>
                <w:bCs/>
                <w:color w:val="000000" w:themeColor="text1"/>
                <w:sz w:val="24"/>
                <w14:textFill>
                  <w14:solidFill>
                    <w14:schemeClr w14:val="tx1"/>
                  </w14:solidFill>
                </w14:textFill>
              </w:rPr>
              <w:t>2026</w:t>
            </w:r>
            <w:r>
              <w:rPr>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，且产品中具有一定含水率，不需要进行造粒，发酵后不需要进行破碎，直接采用包装袋承装</w:t>
            </w:r>
            <w:r>
              <w:rPr>
                <w:rFonts w:hint="eastAsia"/>
                <w:color w:val="000000" w:themeColor="text1"/>
                <w:sz w:val="24"/>
                <w14:textFill>
                  <w14:solidFill>
                    <w14:schemeClr w14:val="tx1"/>
                  </w14:solidFill>
                </w14:textFill>
              </w:rPr>
              <w:t>入库待售</w:t>
            </w:r>
            <w:r>
              <w:rPr>
                <w:rFonts w:hint="eastAsia"/>
                <w:bCs/>
                <w:color w:val="000000" w:themeColor="text1"/>
                <w:sz w:val="24"/>
                <w14:textFill>
                  <w14:solidFill>
                    <w14:schemeClr w14:val="tx1"/>
                  </w14:solidFill>
                </w14:textFill>
              </w:rPr>
              <w:t>；产品的质量检测每批次定期委托相应的检测机构进行，项目区不设置实验室和检测仪器。</w:t>
            </w:r>
            <w:r>
              <w:rPr>
                <w:color w:val="000000" w:themeColor="text1"/>
                <w:sz w:val="24"/>
                <w14:textFill>
                  <w14:solidFill>
                    <w14:schemeClr w14:val="tx1"/>
                  </w14:solidFill>
                </w14:textFill>
              </w:rPr>
              <w:t>生产工艺及产污节点图详见下图。</w:t>
            </w:r>
          </w:p>
          <w:p w14:paraId="3D4D62C7">
            <w:pPr>
              <w:pStyle w:val="16"/>
              <w:adjustRightInd w:val="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object>
                <v:shape id="_x0000_i1030" o:spt="75" type="#_x0000_t75" style="height:334.5pt;width:354.75pt;" o:ole="t" filled="f" o:preferrelative="t" stroked="f" coordsize="21600,21600">
                  <v:path/>
                  <v:fill on="f" focussize="0,0"/>
                  <v:stroke on="f" joinstyle="miter"/>
                  <v:imagedata r:id="rId20" o:title=""/>
                  <o:lock v:ext="edit" aspectratio="f"/>
                  <w10:wrap type="none"/>
                  <w10:anchorlock/>
                </v:shape>
                <o:OLEObject Type="Embed" ProgID="Visio.Drawing.11" ShapeID="_x0000_i1030" DrawAspect="Content" ObjectID="_1468075730" r:id="rId19">
                  <o:LockedField>false</o:LockedField>
                </o:OLEObject>
              </w:object>
            </w:r>
          </w:p>
          <w:p w14:paraId="7996A703">
            <w:pPr>
              <w:pStyle w:val="16"/>
              <w:adjustRightInd w:val="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图2-</w:t>
            </w:r>
            <w:r>
              <w:rPr>
                <w:rFonts w:hint="eastAsia"/>
                <w:b/>
                <w:bCs/>
                <w:color w:val="000000" w:themeColor="text1"/>
                <w:sz w:val="21"/>
                <w:szCs w:val="21"/>
                <w14:textFill>
                  <w14:solidFill>
                    <w14:schemeClr w14:val="tx1"/>
                  </w14:solidFill>
                </w14:textFill>
              </w:rPr>
              <w:t>5</w:t>
            </w:r>
            <w:r>
              <w:rPr>
                <w:b/>
                <w:bCs/>
                <w:color w:val="000000" w:themeColor="text1"/>
                <w:sz w:val="21"/>
                <w:szCs w:val="21"/>
                <w14:textFill>
                  <w14:solidFill>
                    <w14:schemeClr w14:val="tx1"/>
                  </w14:solidFill>
                </w14:textFill>
              </w:rPr>
              <w:t xml:space="preserve">  生产工艺流程及产污节点图</w:t>
            </w:r>
          </w:p>
          <w:p w14:paraId="1843A030">
            <w:pPr>
              <w:pStyle w:val="16"/>
              <w:adjustRightInd w:val="0"/>
              <w:jc w:val="center"/>
              <w:rPr>
                <w:b/>
                <w:bCs/>
                <w:color w:val="000000" w:themeColor="text1"/>
                <w:sz w:val="21"/>
                <w:szCs w:val="21"/>
                <w14:textFill>
                  <w14:solidFill>
                    <w14:schemeClr w14:val="tx1"/>
                  </w14:solidFill>
                </w14:textFill>
              </w:rPr>
            </w:pPr>
          </w:p>
          <w:p w14:paraId="26A59D95">
            <w:pPr>
              <w:pStyle w:val="16"/>
              <w:adjustRightInd w:val="0"/>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生产工序简述：</w:t>
            </w:r>
          </w:p>
          <w:p w14:paraId="41FE1731">
            <w:pPr>
              <w:pStyle w:val="16"/>
              <w:adjustRightInd w:val="0"/>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本项目生产工艺主要分为</w:t>
            </w:r>
            <w:r>
              <w:rPr>
                <w:rFonts w:hint="eastAsia"/>
                <w:color w:val="000000" w:themeColor="text1"/>
                <w:sz w:val="24"/>
                <w:szCs w:val="24"/>
                <w14:textFill>
                  <w14:solidFill>
                    <w14:schemeClr w14:val="tx1"/>
                  </w14:solidFill>
                </w14:textFill>
              </w:rPr>
              <w:t>原料混合</w:t>
            </w:r>
            <w:r>
              <w:rPr>
                <w:color w:val="000000" w:themeColor="text1"/>
                <w:sz w:val="24"/>
                <w:szCs w:val="24"/>
                <w14:textFill>
                  <w14:solidFill>
                    <w14:schemeClr w14:val="tx1"/>
                  </w14:solidFill>
                </w14:textFill>
              </w:rPr>
              <w:t>、堆肥发酵、</w:t>
            </w:r>
            <w:r>
              <w:rPr>
                <w:rFonts w:hint="eastAsia"/>
                <w:color w:val="000000" w:themeColor="text1"/>
                <w:sz w:val="24"/>
                <w:szCs w:val="24"/>
                <w14:textFill>
                  <w14:solidFill>
                    <w14:schemeClr w14:val="tx1"/>
                  </w14:solidFill>
                </w14:textFill>
              </w:rPr>
              <w:t>配料、</w:t>
            </w:r>
            <w:r>
              <w:rPr>
                <w:color w:val="000000" w:themeColor="text1"/>
                <w:sz w:val="24"/>
                <w:szCs w:val="24"/>
                <w14:textFill>
                  <w14:solidFill>
                    <w14:schemeClr w14:val="tx1"/>
                  </w14:solidFill>
                </w14:textFill>
              </w:rPr>
              <w:t>计量包装。</w:t>
            </w:r>
          </w:p>
          <w:p w14:paraId="2124E55F">
            <w:pPr>
              <w:pStyle w:val="16"/>
              <w:adjustRightInd w:val="0"/>
              <w:spacing w:line="360" w:lineRule="auto"/>
              <w:ind w:firstLine="482" w:firstLineChars="200"/>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1、原料混合</w:t>
            </w:r>
          </w:p>
          <w:p w14:paraId="267CDD55">
            <w:pPr>
              <w:pStyle w:val="16"/>
              <w:adjustRightInd w:val="0"/>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项目采购的原料均为经过分选、破碎、筛分后的原料，不需在厂内进行单独的分选、破碎、筛分。</w:t>
            </w:r>
          </w:p>
          <w:p w14:paraId="2F5ADF02">
            <w:pPr>
              <w:pStyle w:val="16"/>
              <w:adjustRightInd w:val="0"/>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根据生产产品对应的配比外购原料，</w:t>
            </w:r>
            <w:r>
              <w:rPr>
                <w:rFonts w:hint="eastAsia"/>
                <w:color w:val="000000" w:themeColor="text1"/>
                <w:sz w:val="24"/>
                <w:szCs w:val="24"/>
                <w14:textFill>
                  <w14:solidFill>
                    <w14:schemeClr w14:val="tx1"/>
                  </w14:solidFill>
                </w14:textFill>
              </w:rPr>
              <w:t>每批次生产时由供应方</w:t>
            </w:r>
            <w:r>
              <w:rPr>
                <w:color w:val="000000" w:themeColor="text1"/>
                <w:sz w:val="24"/>
                <w:szCs w:val="24"/>
                <w14:textFill>
                  <w14:solidFill>
                    <w14:schemeClr w14:val="tx1"/>
                  </w14:solidFill>
                </w14:textFill>
              </w:rPr>
              <w:t>采用车辆把项目所需的袋装原料（</w:t>
            </w:r>
            <w:r>
              <w:rPr>
                <w:rFonts w:hint="eastAsia"/>
                <w:color w:val="000000" w:themeColor="text1"/>
                <w:sz w:val="24"/>
                <w:szCs w:val="24"/>
                <w14:textFill>
                  <w14:solidFill>
                    <w14:schemeClr w14:val="tx1"/>
                  </w14:solidFill>
                </w14:textFill>
              </w:rPr>
              <w:t>低变质褐煤</w:t>
            </w: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直接运至拌合</w:t>
            </w:r>
            <w:r>
              <w:rPr>
                <w:color w:val="000000" w:themeColor="text1"/>
                <w:sz w:val="24"/>
                <w:szCs w:val="24"/>
                <w14:textFill>
                  <w14:solidFill>
                    <w14:schemeClr w14:val="tx1"/>
                  </w14:solidFill>
                </w14:textFill>
              </w:rPr>
              <w:t>区进行拆袋，使用装载机将</w:t>
            </w:r>
            <w:r>
              <w:rPr>
                <w:rFonts w:hint="eastAsia"/>
                <w:color w:val="000000" w:themeColor="text1"/>
                <w:sz w:val="24"/>
                <w:szCs w:val="24"/>
                <w14:textFill>
                  <w14:solidFill>
                    <w14:schemeClr w14:val="tx1"/>
                  </w14:solidFill>
                </w14:textFill>
              </w:rPr>
              <w:t>锯木屑和低变质褐煤</w:t>
            </w:r>
            <w:r>
              <w:rPr>
                <w:color w:val="000000" w:themeColor="text1"/>
                <w:sz w:val="24"/>
                <w:szCs w:val="24"/>
                <w14:textFill>
                  <w14:solidFill>
                    <w14:schemeClr w14:val="tx1"/>
                  </w14:solidFill>
                </w14:textFill>
              </w:rPr>
              <w:t>在</w:t>
            </w:r>
            <w:r>
              <w:rPr>
                <w:rFonts w:hint="eastAsia"/>
                <w:color w:val="000000" w:themeColor="text1"/>
                <w:sz w:val="24"/>
                <w:szCs w:val="24"/>
                <w14:textFill>
                  <w14:solidFill>
                    <w14:schemeClr w14:val="tx1"/>
                  </w14:solidFill>
                </w14:textFill>
              </w:rPr>
              <w:t>拌合</w:t>
            </w:r>
            <w:r>
              <w:rPr>
                <w:color w:val="000000" w:themeColor="text1"/>
                <w:sz w:val="24"/>
                <w:szCs w:val="24"/>
                <w14:textFill>
                  <w14:solidFill>
                    <w14:schemeClr w14:val="tx1"/>
                  </w14:solidFill>
                </w14:textFill>
              </w:rPr>
              <w:t>区防渗处理的地面上充分混合均匀，</w:t>
            </w:r>
            <w:r>
              <w:rPr>
                <w:rFonts w:hint="eastAsia"/>
                <w:color w:val="000000" w:themeColor="text1"/>
                <w:sz w:val="24"/>
                <w:szCs w:val="24"/>
                <w14:textFill>
                  <w14:solidFill>
                    <w14:schemeClr w14:val="tx1"/>
                  </w14:solidFill>
                </w14:textFill>
              </w:rPr>
              <w:t>拌合过程中会</w:t>
            </w:r>
            <w:r>
              <w:rPr>
                <w:color w:val="000000" w:themeColor="text1"/>
                <w:sz w:val="24"/>
                <w:szCs w:val="24"/>
                <w14:textFill>
                  <w14:solidFill>
                    <w14:schemeClr w14:val="tx1"/>
                  </w14:solidFill>
                </w14:textFill>
              </w:rPr>
              <w:t>产生粉尘</w:t>
            </w:r>
            <w:r>
              <w:rPr>
                <w:rFonts w:hint="eastAsia"/>
                <w:color w:val="000000" w:themeColor="text1"/>
                <w:sz w:val="24"/>
                <w:szCs w:val="24"/>
                <w14:textFill>
                  <w14:solidFill>
                    <w14:schemeClr w14:val="tx1"/>
                  </w14:solidFill>
                </w14:textFill>
              </w:rPr>
              <w:t>，通过车间密闭，并设置1台雾炮机进行喷雾降尘</w:t>
            </w:r>
            <w:r>
              <w:rPr>
                <w:color w:val="000000" w:themeColor="text1"/>
                <w:sz w:val="24"/>
                <w:szCs w:val="24"/>
                <w14:textFill>
                  <w14:solidFill>
                    <w14:schemeClr w14:val="tx1"/>
                  </w14:solidFill>
                </w14:textFill>
              </w:rPr>
              <w:t>。此外项目使用的原辅料不含畜禽粪便，发酵前无明显异味产生。物料混合环节产生噪声、</w:t>
            </w:r>
            <w:r>
              <w:rPr>
                <w:rFonts w:hint="eastAsia"/>
                <w:color w:val="000000" w:themeColor="text1"/>
                <w:sz w:val="24"/>
                <w:szCs w:val="24"/>
                <w14:textFill>
                  <w14:solidFill>
                    <w14:schemeClr w14:val="tx1"/>
                  </w14:solidFill>
                </w14:textFill>
              </w:rPr>
              <w:t>粉尘、</w:t>
            </w:r>
            <w:r>
              <w:rPr>
                <w:color w:val="000000" w:themeColor="text1"/>
                <w:sz w:val="24"/>
                <w:szCs w:val="24"/>
                <w14:textFill>
                  <w14:solidFill>
                    <w14:schemeClr w14:val="tx1"/>
                  </w14:solidFill>
                </w14:textFill>
              </w:rPr>
              <w:t>废编织袋 。</w:t>
            </w:r>
          </w:p>
          <w:p w14:paraId="3469F337">
            <w:pPr>
              <w:pStyle w:val="16"/>
              <w:adjustRightInd w:val="0"/>
              <w:spacing w:line="360" w:lineRule="auto"/>
              <w:ind w:firstLine="482" w:firstLineChars="200"/>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2、</w:t>
            </w:r>
            <w:r>
              <w:rPr>
                <w:b/>
                <w:bCs/>
                <w:color w:val="000000" w:themeColor="text1"/>
                <w:sz w:val="24"/>
                <w:szCs w:val="24"/>
                <w14:textFill>
                  <w14:solidFill>
                    <w14:schemeClr w14:val="tx1"/>
                  </w14:solidFill>
                </w14:textFill>
              </w:rPr>
              <w:t>堆肥发酵</w:t>
            </w:r>
          </w:p>
          <w:p w14:paraId="714BC154">
            <w:pPr>
              <w:pStyle w:val="16"/>
              <w:adjustRightInd w:val="0"/>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混合搅拌后的物料由装载机送至发酵区</w:t>
            </w:r>
            <w:r>
              <w:rPr>
                <w:color w:val="000000" w:themeColor="text1"/>
                <w:sz w:val="24"/>
                <w:szCs w:val="24"/>
                <w14:textFill>
                  <w14:solidFill>
                    <w14:schemeClr w14:val="tx1"/>
                  </w14:solidFill>
                </w14:textFill>
              </w:rPr>
              <w:t>进行好氧-条垛式发酵。物料混合后以条垛状堆置，可以排列成多条平行的条垛，条垛的断面形状通常为三角形或梯形，高度2.0m</w:t>
            </w:r>
            <w:r>
              <w:rPr>
                <w:rFonts w:hint="eastAsia"/>
                <w:color w:val="000000" w:themeColor="text1"/>
                <w:sz w:val="24"/>
                <w:szCs w:val="24"/>
                <w14:textFill>
                  <w14:solidFill>
                    <w14:schemeClr w14:val="tx1"/>
                  </w14:solidFill>
                </w14:textFill>
              </w:rPr>
              <w:t>左右</w:t>
            </w:r>
            <w:r>
              <w:rPr>
                <w:color w:val="000000" w:themeColor="text1"/>
                <w:sz w:val="24"/>
                <w:szCs w:val="24"/>
                <w14:textFill>
                  <w14:solidFill>
                    <w14:schemeClr w14:val="tx1"/>
                  </w14:solidFill>
                </w14:textFill>
              </w:rPr>
              <w:t>，宽4-6m。混合后</w:t>
            </w:r>
            <w:r>
              <w:rPr>
                <w:rFonts w:hint="eastAsia"/>
                <w:color w:val="000000" w:themeColor="text1"/>
                <w:sz w:val="24"/>
                <w:szCs w:val="24"/>
                <w14:textFill>
                  <w14:solidFill>
                    <w14:schemeClr w14:val="tx1"/>
                  </w14:solidFill>
                </w14:textFill>
              </w:rPr>
              <w:t>的物料添加尿素水溶液、发酵菌剂，并喷洒水使发酵时</w:t>
            </w:r>
            <w:r>
              <w:rPr>
                <w:color w:val="000000" w:themeColor="text1"/>
                <w:sz w:val="24"/>
                <w:szCs w:val="24"/>
                <w14:textFill>
                  <w14:solidFill>
                    <w14:schemeClr w14:val="tx1"/>
                  </w14:solidFill>
                </w14:textFill>
              </w:rPr>
              <w:t>堆料的含水率</w:t>
            </w:r>
            <w:r>
              <w:rPr>
                <w:rFonts w:hint="eastAsia"/>
                <w:color w:val="000000" w:themeColor="text1"/>
                <w:sz w:val="24"/>
                <w:szCs w:val="24"/>
                <w14:textFill>
                  <w14:solidFill>
                    <w14:schemeClr w14:val="tx1"/>
                  </w14:solidFill>
                </w14:textFill>
              </w:rPr>
              <w:t>控制在50</w:t>
            </w:r>
            <w:r>
              <w:rPr>
                <w:color w:val="000000" w:themeColor="text1"/>
                <w:sz w:val="24"/>
                <w:szCs w:val="24"/>
                <w14:textFill>
                  <w14:solidFill>
                    <w14:schemeClr w14:val="tx1"/>
                  </w14:solidFill>
                </w14:textFill>
              </w:rPr>
              <w:t>%。</w:t>
            </w:r>
          </w:p>
          <w:p w14:paraId="7D39381F">
            <w:pPr>
              <w:pStyle w:val="16"/>
              <w:adjustRightInd w:val="0"/>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堆肥发酵</w:t>
            </w:r>
            <w:r>
              <w:rPr>
                <w:color w:val="000000" w:themeColor="text1"/>
                <w:sz w:val="24"/>
                <w:szCs w:val="24"/>
                <w14:textFill>
                  <w14:solidFill>
                    <w14:schemeClr w14:val="tx1"/>
                  </w14:solidFill>
                </w14:textFill>
              </w:rPr>
              <w:t>要想达到满意的发酵效果，须满足包括含水率、碳氮比、氧气浓度、颗粒直径和酸碱度等在内的发酵条件，其中原料含水率和碳氮比尤为关键。</w:t>
            </w:r>
          </w:p>
          <w:p w14:paraId="065817E2">
            <w:pPr>
              <w:pStyle w:val="16"/>
              <w:adjustRightInd w:val="0"/>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含水率：</w:t>
            </w:r>
            <w:r>
              <w:rPr>
                <w:color w:val="000000" w:themeColor="text1"/>
                <w:sz w:val="24"/>
                <w:szCs w:val="24"/>
                <w14:textFill>
                  <w14:solidFill>
                    <w14:schemeClr w14:val="tx1"/>
                  </w14:solidFill>
                </w14:textFill>
              </w:rPr>
              <w:t>堆肥过程中保持适宜的水分含量，是堆肥制作成功的首要条件。堆肥发酵合理的含水率为40~60%，以50~60%为好，若含水率过高，有碍于通风，温度</w:t>
            </w:r>
            <w:r>
              <w:rPr>
                <w:rFonts w:hint="eastAsia"/>
                <w:color w:val="000000" w:themeColor="text1"/>
                <w:sz w:val="24"/>
                <w:szCs w:val="24"/>
                <w:lang w:eastAsia="zh-CN"/>
                <w14:textFill>
                  <w14:solidFill>
                    <w14:schemeClr w14:val="tx1"/>
                  </w14:solidFill>
                </w14:textFill>
              </w:rPr>
              <w:t>难以</w:t>
            </w:r>
            <w:r>
              <w:rPr>
                <w:color w:val="000000" w:themeColor="text1"/>
                <w:sz w:val="24"/>
                <w:szCs w:val="24"/>
                <w14:textFill>
                  <w14:solidFill>
                    <w14:schemeClr w14:val="tx1"/>
                  </w14:solidFill>
                </w14:textFill>
              </w:rPr>
              <w:t>上升。分解速度明显降低，造成厌氧状态后不利于好氧微生物生长并易产生恶臭气体。含水率过低不能满足微生物生长需要，有机物难于分解。</w:t>
            </w:r>
            <w:r>
              <w:rPr>
                <w:rFonts w:hint="eastAsia"/>
                <w:b/>
                <w:bCs/>
                <w:color w:val="000000" w:themeColor="text1"/>
                <w:sz w:val="24"/>
                <w:szCs w:val="24"/>
                <w14:textFill>
                  <w14:solidFill>
                    <w14:schemeClr w14:val="tx1"/>
                  </w14:solidFill>
                </w14:textFill>
              </w:rPr>
              <w:t>项目在发酵前，为保持含水率的要求，将发酵菌剂、尿素按照比例溶解在水中，溶解后的溶液一次性喷洒在发酵物料上，同时进行翻抛，使发酵物料之间均匀</w:t>
            </w:r>
            <w:r>
              <w:rPr>
                <w:rFonts w:hint="eastAsia"/>
                <w:b/>
                <w:bCs/>
                <w:color w:val="000000" w:themeColor="text1"/>
                <w:sz w:val="24"/>
                <w:szCs w:val="24"/>
                <w:lang w:eastAsia="zh-CN"/>
                <w14:textFill>
                  <w14:solidFill>
                    <w14:schemeClr w14:val="tx1"/>
                  </w14:solidFill>
                </w14:textFill>
              </w:rPr>
              <w:t>地</w:t>
            </w:r>
            <w:r>
              <w:rPr>
                <w:rFonts w:hint="eastAsia"/>
                <w:b/>
                <w:bCs/>
                <w:color w:val="000000" w:themeColor="text1"/>
                <w:sz w:val="24"/>
                <w:szCs w:val="24"/>
                <w14:textFill>
                  <w14:solidFill>
                    <w14:schemeClr w14:val="tx1"/>
                  </w14:solidFill>
                </w14:textFill>
              </w:rPr>
              <w:t>混合，保持发酵堆体的含水率控制在理想的范围之内。发酵过程中定期需要对物料进行翻抛，每次堆肥发酵期间需进行约6次翻抛，翻抛时喷洒水分以保证物料的含水率控制在理想的范围之内。</w:t>
            </w:r>
          </w:p>
          <w:p w14:paraId="3A5AA453">
            <w:pPr>
              <w:pStyle w:val="16"/>
              <w:adjustRightInd w:val="0"/>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碳氮比：</w:t>
            </w:r>
            <w:r>
              <w:rPr>
                <w:color w:val="000000" w:themeColor="text1"/>
                <w:sz w:val="24"/>
                <w:szCs w:val="24"/>
                <w14:textFill>
                  <w14:solidFill>
                    <w14:schemeClr w14:val="tx1"/>
                  </w14:solidFill>
                </w14:textFill>
              </w:rPr>
              <w:t>合理调节堆肥原料中的碳氮比，是加快堆肥腐熟、提高腐殖化系数的有效途径。一般情况下碳氮比(C/N)的范围为25：1~30:1，合理的范围为20:1~40:1，若C/N过高，微生物生长繁殖所需要的氮元素来源受到限制，微生物繁殖速度低，有机物分解速度慢，发酵时间长</w:t>
            </w:r>
            <w:r>
              <w:rPr>
                <w:rFonts w:hint="eastAsia"/>
                <w:color w:val="000000" w:themeColor="text1"/>
                <w:sz w:val="24"/>
                <w:szCs w:val="24"/>
                <w14:textFill>
                  <w14:solidFill>
                    <w14:schemeClr w14:val="tx1"/>
                  </w14:solidFill>
                </w14:textFill>
              </w:rPr>
              <w:t>；</w:t>
            </w:r>
            <w:r>
              <w:rPr>
                <w:color w:val="000000" w:themeColor="text1"/>
                <w:sz w:val="24"/>
                <w:szCs w:val="24"/>
                <w14:textFill>
                  <w14:solidFill>
                    <w14:schemeClr w14:val="tx1"/>
                  </w14:solidFill>
                </w14:textFill>
              </w:rPr>
              <w:t>若C/N过低，微生物生长繁殖所需的能量来源受到限制，发酵温度上升缓慢，氮过量并以氨气的</w:t>
            </w:r>
            <w:r>
              <w:rPr>
                <w:rFonts w:hint="eastAsia"/>
                <w:color w:val="000000" w:themeColor="text1"/>
                <w:sz w:val="24"/>
                <w:szCs w:val="24"/>
                <w:lang w:eastAsia="zh-CN"/>
                <w14:textFill>
                  <w14:solidFill>
                    <w14:schemeClr w14:val="tx1"/>
                  </w14:solidFill>
                </w14:textFill>
              </w:rPr>
              <w:t>形式</w:t>
            </w:r>
            <w:r>
              <w:rPr>
                <w:color w:val="000000" w:themeColor="text1"/>
                <w:sz w:val="24"/>
                <w:szCs w:val="24"/>
                <w14:textFill>
                  <w14:solidFill>
                    <w14:schemeClr w14:val="tx1"/>
                  </w14:solidFill>
                </w14:textFill>
              </w:rPr>
              <w:t>释放，有机氮损失大，还会散发难闻的气味。</w:t>
            </w:r>
            <w:r>
              <w:rPr>
                <w:rFonts w:hint="eastAsia"/>
                <w:color w:val="000000" w:themeColor="text1"/>
                <w:sz w:val="24"/>
                <w:szCs w:val="24"/>
                <w14:textFill>
                  <w14:solidFill>
                    <w14:schemeClr w14:val="tx1"/>
                  </w14:solidFill>
                </w14:textFill>
              </w:rPr>
              <w:t>本项目低变质褐煤和锯木屑提供C源，尿素溶解液提供N源，通过合理配比控制发酵物料的</w:t>
            </w:r>
            <w:r>
              <w:rPr>
                <w:color w:val="000000" w:themeColor="text1"/>
                <w:sz w:val="24"/>
                <w:szCs w:val="24"/>
                <w14:textFill>
                  <w14:solidFill>
                    <w14:schemeClr w14:val="tx1"/>
                  </w14:solidFill>
                </w14:textFill>
              </w:rPr>
              <w:t>C/N</w:t>
            </w:r>
            <w:r>
              <w:rPr>
                <w:rFonts w:hint="eastAsia"/>
                <w:color w:val="000000" w:themeColor="text1"/>
                <w:sz w:val="24"/>
                <w:szCs w:val="24"/>
                <w14:textFill>
                  <w14:solidFill>
                    <w14:schemeClr w14:val="tx1"/>
                  </w14:solidFill>
                </w14:textFill>
              </w:rPr>
              <w:t>。</w:t>
            </w:r>
          </w:p>
          <w:p w14:paraId="365DBF7C">
            <w:pPr>
              <w:pStyle w:val="16"/>
              <w:adjustRightInd w:val="0"/>
              <w:spacing w:line="360" w:lineRule="auto"/>
              <w:ind w:firstLine="482" w:firstLineChars="200"/>
              <w:rPr>
                <w:color w:val="000000" w:themeColor="text1"/>
                <w:sz w:val="24"/>
                <w:szCs w:val="24"/>
                <w14:textFill>
                  <w14:solidFill>
                    <w14:schemeClr w14:val="tx1"/>
                  </w14:solidFill>
                </w14:textFill>
              </w:rPr>
            </w:pPr>
            <w:r>
              <w:rPr>
                <w:b/>
                <w:bCs/>
                <w:color w:val="000000" w:themeColor="text1"/>
                <w:sz w:val="24"/>
                <w:szCs w:val="24"/>
                <w14:textFill>
                  <w14:solidFill>
                    <w14:schemeClr w14:val="tx1"/>
                  </w14:solidFill>
                </w14:textFill>
              </w:rPr>
              <w:t>发酵原理：</w:t>
            </w:r>
            <w:r>
              <w:rPr>
                <w:color w:val="000000" w:themeColor="text1"/>
                <w:sz w:val="24"/>
                <w:szCs w:val="24"/>
                <w14:textFill>
                  <w14:solidFill>
                    <w14:schemeClr w14:val="tx1"/>
                  </w14:solidFill>
                </w14:textFill>
              </w:rPr>
              <w:t>在好氧条件下，好氧细菌对有机物进行吸收、氧化、分解。微生物通过自身的生命活动，把一部分被吸收的有机物氧化成简单的无机物，同时释放出可供微生物生长活动所需的能量，而另一部分有机物则被合成新的细胞质，使微生物不断生长</w:t>
            </w:r>
            <w:r>
              <w:rPr>
                <w:rFonts w:hint="eastAsia"/>
                <w:color w:val="000000" w:themeColor="text1"/>
                <w:sz w:val="24"/>
                <w:szCs w:val="24"/>
                <w14:textFill>
                  <w14:solidFill>
                    <w14:schemeClr w14:val="tx1"/>
                  </w14:solidFill>
                </w14:textFill>
              </w:rPr>
              <w:t>繁殖</w:t>
            </w:r>
            <w:r>
              <w:rPr>
                <w:color w:val="000000" w:themeColor="text1"/>
                <w:sz w:val="24"/>
                <w:szCs w:val="24"/>
                <w14:textFill>
                  <w14:solidFill>
                    <w14:schemeClr w14:val="tx1"/>
                  </w14:solidFill>
                </w14:textFill>
              </w:rPr>
              <w:t>，产生更多的生物体的过程。在有机物生化降解的同时，伴有热量产生，因堆肥工艺中该热能不会全部散发到环境中，就必然造成堆肥物料的温度升高，这样，就会使一些不耐高温的微生物死亡，耐高温的细菌快速繁殖。整个好氧堆肥过程伴随着两次发酵：</w:t>
            </w:r>
          </w:p>
          <w:p w14:paraId="53A44B43">
            <w:pPr>
              <w:pStyle w:val="16"/>
              <w:adjustRightInd w:val="0"/>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第一次发酵（1</w:t>
            </w:r>
            <w:r>
              <w:rPr>
                <w:rFonts w:hint="eastAsia"/>
                <w:color w:val="000000" w:themeColor="text1"/>
                <w:sz w:val="24"/>
                <w:szCs w:val="24"/>
                <w14:textFill>
                  <w14:solidFill>
                    <w14:schemeClr w14:val="tx1"/>
                  </w14:solidFill>
                </w14:textFill>
              </w:rPr>
              <w:t>0</w:t>
            </w:r>
            <w:r>
              <w:rPr>
                <w:color w:val="000000" w:themeColor="text1"/>
                <w:sz w:val="24"/>
                <w:szCs w:val="24"/>
                <w14:textFill>
                  <w14:solidFill>
                    <w14:schemeClr w14:val="tx1"/>
                  </w14:solidFill>
                </w14:textFill>
              </w:rPr>
              <w:t xml:space="preserve"> 天）：</w:t>
            </w:r>
          </w:p>
          <w:p w14:paraId="37829E0B">
            <w:pPr>
              <w:pStyle w:val="16"/>
              <w:adjustRightInd w:val="0"/>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①第 1-3 天（升温阶段）</w:t>
            </w:r>
          </w:p>
          <w:p w14:paraId="0A305053">
            <w:pPr>
              <w:pStyle w:val="16"/>
              <w:adjustRightInd w:val="0"/>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发酵持续几小时后微生物活动能力开始增强， 产热量逐渐增加，此阶段微生物以中温、需氧型为主，种类较多，其中最主要的有细菌、真菌和放线菌，它们利用好氧发酵中可溶性有机物进行微生物繁殖，在转换和利用化学能的过程中，有一部分变成热能，使温度不断上升。当温度处于 25-45℃时，中温菌微生物比较活跃，堆温上升非常迅速，温度可达 45℃。</w:t>
            </w:r>
          </w:p>
          <w:p w14:paraId="6E81C8A1">
            <w:pPr>
              <w:pStyle w:val="16"/>
              <w:adjustRightInd w:val="0"/>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②第 4-1</w:t>
            </w:r>
            <w:r>
              <w:rPr>
                <w:rFonts w:hint="eastAsia"/>
                <w:color w:val="000000" w:themeColor="text1"/>
                <w:sz w:val="24"/>
                <w:szCs w:val="24"/>
                <w14:textFill>
                  <w14:solidFill>
                    <w14:schemeClr w14:val="tx1"/>
                  </w14:solidFill>
                </w14:textFill>
              </w:rPr>
              <w:t>0</w:t>
            </w:r>
            <w:r>
              <w:rPr>
                <w:color w:val="000000" w:themeColor="text1"/>
                <w:sz w:val="24"/>
                <w:szCs w:val="24"/>
                <w14:textFill>
                  <w14:solidFill>
                    <w14:schemeClr w14:val="tx1"/>
                  </w14:solidFill>
                </w14:textFill>
              </w:rPr>
              <w:t xml:space="preserve"> 天（高温阶段）</w:t>
            </w:r>
          </w:p>
          <w:p w14:paraId="7B494A08">
            <w:pPr>
              <w:pStyle w:val="16"/>
              <w:adjustRightInd w:val="0"/>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随着堆体热量的积累，温度逐渐上升到 50℃以上，即进入了高温阶段。耐高温细菌迅速</w:t>
            </w:r>
            <w:r>
              <w:rPr>
                <w:rFonts w:hint="eastAsia"/>
                <w:color w:val="000000" w:themeColor="text1"/>
                <w:sz w:val="24"/>
                <w:szCs w:val="24"/>
                <w14:textFill>
                  <w14:solidFill>
                    <w14:schemeClr w14:val="tx1"/>
                  </w14:solidFill>
                </w14:textFill>
              </w:rPr>
              <w:t>繁殖</w:t>
            </w:r>
            <w:r>
              <w:rPr>
                <w:color w:val="000000" w:themeColor="text1"/>
                <w:sz w:val="24"/>
                <w:szCs w:val="24"/>
                <w14:textFill>
                  <w14:solidFill>
                    <w14:schemeClr w14:val="tx1"/>
                  </w14:solidFill>
                </w14:textFill>
              </w:rPr>
              <w:t>，在有氧条件下，大部分难降解的蛋白质、纤维等继续被氧化分解，同时放出大量热能，使温度上升至 60-70℃，此时，好热性的微生物如纤维素分解氧化菌逐渐代替了中温微生物的活动，堆体中残留的有机物继续被分解氧化，一些复杂的有机物如纤维素等也开始得到分解，病原菌、寄生虫卵与病毒被杀灭。堆肥温度上升到 60℃度以上，保持 48 小时后开始翻抛（但当温度超过 70℃时，须立即翻堆，堆爬温度不宜超过 70℃，否则就会造成有益微生物菌的休眠甚或死亡)，翻堆时务必均匀彻底，将</w:t>
            </w:r>
            <w:r>
              <w:rPr>
                <w:rFonts w:hint="eastAsia"/>
                <w:color w:val="000000" w:themeColor="text1"/>
                <w:sz w:val="24"/>
                <w:szCs w:val="24"/>
                <w14:textFill>
                  <w14:solidFill>
                    <w14:schemeClr w14:val="tx1"/>
                  </w14:solidFill>
                </w14:textFill>
              </w:rPr>
              <w:t>底层</w:t>
            </w:r>
            <w:r>
              <w:rPr>
                <w:color w:val="000000" w:themeColor="text1"/>
                <w:sz w:val="24"/>
                <w:szCs w:val="24"/>
                <w14:textFill>
                  <w14:solidFill>
                    <w14:schemeClr w14:val="tx1"/>
                  </w14:solidFill>
                </w14:textFill>
              </w:rPr>
              <w:t>物料尽量翻入堆中上部，以便充分腐熟，视物料腐熟过程确定翻堆次数。翻抛的目的主要为：①排出水分：在温度作用下，水会变成水蒸气，温度越高汽化量越大，通过翻抛，将水分带出，减少堆肥物料中的含水率。否则，水蒸气会变成液态水存在物料中，含水率高，密度增加，透气性就差，氧气含量减少，使处理过程变为厌氧状态；② 通风供氧：物料越疏松空隙越大，含气体的量越大，相应的氧含量也越大，通过翻抛，加大置换面积，减少置换阻力，可有效的排除</w:t>
            </w:r>
            <w:r>
              <w:rPr>
                <w:rFonts w:hint="eastAsia"/>
                <w:color w:val="000000" w:themeColor="text1"/>
                <w:sz w:val="24"/>
                <w:szCs w:val="24"/>
                <w14:textFill>
                  <w14:solidFill>
                    <w14:schemeClr w14:val="tx1"/>
                  </w14:solidFill>
                </w14:textFill>
              </w:rPr>
              <w:t>恶臭</w:t>
            </w:r>
            <w:r>
              <w:rPr>
                <w:color w:val="000000" w:themeColor="text1"/>
                <w:sz w:val="24"/>
                <w:szCs w:val="24"/>
                <w14:textFill>
                  <w14:solidFill>
                    <w14:schemeClr w14:val="tx1"/>
                  </w14:solidFill>
                </w14:textFill>
              </w:rPr>
              <w:t>气体，并补入新鲜空气。</w:t>
            </w:r>
          </w:p>
          <w:p w14:paraId="51E77216">
            <w:pPr>
              <w:pStyle w:val="16"/>
              <w:adjustRightInd w:val="0"/>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第二次发酵（陈化阶段，1</w:t>
            </w:r>
            <w:r>
              <w:rPr>
                <w:rFonts w:hint="eastAsia"/>
                <w:color w:val="000000" w:themeColor="text1"/>
                <w:sz w:val="24"/>
                <w:szCs w:val="24"/>
                <w14:textFill>
                  <w14:solidFill>
                    <w14:schemeClr w14:val="tx1"/>
                  </w14:solidFill>
                </w14:textFill>
              </w:rPr>
              <w:t>1</w:t>
            </w:r>
            <w:r>
              <w:rPr>
                <w:color w:val="000000" w:themeColor="text1"/>
                <w:sz w:val="24"/>
                <w:szCs w:val="24"/>
                <w14:textFill>
                  <w14:solidFill>
                    <w14:schemeClr w14:val="tx1"/>
                  </w14:solidFill>
                </w14:textFill>
              </w:rPr>
              <w:t>-1</w:t>
            </w:r>
            <w:r>
              <w:rPr>
                <w:rFonts w:hint="eastAsia"/>
                <w:color w:val="000000" w:themeColor="text1"/>
                <w:sz w:val="24"/>
                <w:szCs w:val="24"/>
                <w14:textFill>
                  <w14:solidFill>
                    <w14:schemeClr w14:val="tx1"/>
                  </w14:solidFill>
                </w14:textFill>
              </w:rPr>
              <w:t>5</w:t>
            </w:r>
            <w:r>
              <w:rPr>
                <w:color w:val="000000" w:themeColor="text1"/>
                <w:sz w:val="24"/>
                <w:szCs w:val="24"/>
                <w14:textFill>
                  <w14:solidFill>
                    <w14:schemeClr w14:val="tx1"/>
                  </w14:solidFill>
                </w14:textFill>
              </w:rPr>
              <w:t xml:space="preserve"> 天）：</w:t>
            </w:r>
          </w:p>
          <w:p w14:paraId="3A737212">
            <w:pPr>
              <w:pStyle w:val="16"/>
              <w:adjustRightInd w:val="0"/>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当有机物基本降解</w:t>
            </w:r>
            <w:r>
              <w:rPr>
                <w:rFonts w:hint="eastAsia"/>
                <w:color w:val="000000" w:themeColor="text1"/>
                <w:sz w:val="24"/>
                <w:szCs w:val="24"/>
                <w14:textFill>
                  <w14:solidFill>
                    <w14:schemeClr w14:val="tx1"/>
                  </w14:solidFill>
                </w14:textFill>
              </w:rPr>
              <w:t>完成</w:t>
            </w:r>
            <w:r>
              <w:rPr>
                <w:color w:val="000000" w:themeColor="text1"/>
                <w:sz w:val="24"/>
                <w:szCs w:val="24"/>
                <w14:textFill>
                  <w14:solidFill>
                    <w14:schemeClr w14:val="tx1"/>
                  </w14:solidFill>
                </w14:textFill>
              </w:rPr>
              <w:t>，噬热菌因缺乏养料而停止生长，产热随之停止。堆体的温度逐渐下降，当温度稳定在 40℃，堆肥基本达到稳定，形成</w:t>
            </w:r>
            <w:r>
              <w:rPr>
                <w:rFonts w:hint="eastAsia"/>
                <w:color w:val="000000" w:themeColor="text1"/>
                <w:sz w:val="24"/>
                <w:szCs w:val="24"/>
                <w14:textFill>
                  <w14:solidFill>
                    <w14:schemeClr w14:val="tx1"/>
                  </w14:solidFill>
                </w14:textFill>
              </w:rPr>
              <w:t>腐殖质</w:t>
            </w:r>
            <w:r>
              <w:rPr>
                <w:color w:val="000000" w:themeColor="text1"/>
                <w:sz w:val="24"/>
                <w:szCs w:val="24"/>
                <w14:textFill>
                  <w14:solidFill>
                    <w14:schemeClr w14:val="tx1"/>
                  </w14:solidFill>
                </w14:textFill>
              </w:rPr>
              <w:t>。持续1</w:t>
            </w:r>
            <w:r>
              <w:rPr>
                <w:rFonts w:hint="eastAsia"/>
                <w:color w:val="000000" w:themeColor="text1"/>
                <w:sz w:val="24"/>
                <w:szCs w:val="24"/>
                <w14:textFill>
                  <w14:solidFill>
                    <w14:schemeClr w14:val="tx1"/>
                  </w14:solidFill>
                </w14:textFill>
              </w:rPr>
              <w:t>1</w:t>
            </w:r>
            <w:r>
              <w:rPr>
                <w:color w:val="000000" w:themeColor="text1"/>
                <w:sz w:val="24"/>
                <w:szCs w:val="24"/>
                <w14:textFill>
                  <w14:solidFill>
                    <w14:schemeClr w14:val="tx1"/>
                  </w14:solidFill>
                </w14:textFill>
              </w:rPr>
              <w:t>-1</w:t>
            </w:r>
            <w:r>
              <w:rPr>
                <w:rFonts w:hint="eastAsia"/>
                <w:color w:val="000000" w:themeColor="text1"/>
                <w:sz w:val="24"/>
                <w:szCs w:val="24"/>
                <w14:textFill>
                  <w14:solidFill>
                    <w14:schemeClr w14:val="tx1"/>
                  </w14:solidFill>
                </w14:textFill>
              </w:rPr>
              <w:t>2</w:t>
            </w:r>
            <w:r>
              <w:rPr>
                <w:color w:val="000000" w:themeColor="text1"/>
                <w:sz w:val="24"/>
                <w:szCs w:val="24"/>
                <w14:textFill>
                  <w14:solidFill>
                    <w14:schemeClr w14:val="tx1"/>
                  </w14:solidFill>
                </w14:textFill>
              </w:rPr>
              <w:t xml:space="preserve"> 天。也叫二次堆肥，在内源呼吸后期，只剩下部分较难分解及难分解的有机物和新形成的</w:t>
            </w:r>
            <w:r>
              <w:rPr>
                <w:rFonts w:hint="eastAsia"/>
                <w:color w:val="000000" w:themeColor="text1"/>
                <w:sz w:val="24"/>
                <w:szCs w:val="24"/>
                <w14:textFill>
                  <w14:solidFill>
                    <w14:schemeClr w14:val="tx1"/>
                  </w14:solidFill>
                </w14:textFill>
              </w:rPr>
              <w:t>腐殖质</w:t>
            </w:r>
            <w:r>
              <w:rPr>
                <w:color w:val="000000" w:themeColor="text1"/>
                <w:sz w:val="24"/>
                <w:szCs w:val="24"/>
                <w14:textFill>
                  <w14:solidFill>
                    <w14:schemeClr w14:val="tx1"/>
                  </w14:solidFill>
                </w14:textFill>
              </w:rPr>
              <w:t>，此时，微生物活性下降，产热量减少，温度下降，在此阶段嗜温微生物又占优势，残余较难分解的有机物可进一步分解，</w:t>
            </w:r>
            <w:r>
              <w:rPr>
                <w:rFonts w:hint="eastAsia"/>
                <w:color w:val="000000" w:themeColor="text1"/>
                <w:sz w:val="24"/>
                <w:szCs w:val="24"/>
                <w14:textFill>
                  <w14:solidFill>
                    <w14:schemeClr w14:val="tx1"/>
                  </w14:solidFill>
                </w14:textFill>
              </w:rPr>
              <w:t>腐殖质</w:t>
            </w:r>
            <w:r>
              <w:rPr>
                <w:color w:val="000000" w:themeColor="text1"/>
                <w:sz w:val="24"/>
                <w:szCs w:val="24"/>
                <w14:textFill>
                  <w14:solidFill>
                    <w14:schemeClr w14:val="tx1"/>
                  </w14:solidFill>
                </w14:textFill>
              </w:rPr>
              <w:t>不断增多且趋于稳定，发酵物孔隙增大，二次堆肥 1</w:t>
            </w:r>
            <w:r>
              <w:rPr>
                <w:rFonts w:hint="eastAsia"/>
                <w:color w:val="000000" w:themeColor="text1"/>
                <w:sz w:val="24"/>
                <w:szCs w:val="24"/>
                <w14:textFill>
                  <w14:solidFill>
                    <w14:schemeClr w14:val="tx1"/>
                  </w14:solidFill>
                </w14:textFill>
              </w:rPr>
              <w:t>2</w:t>
            </w:r>
            <w:r>
              <w:rPr>
                <w:color w:val="000000" w:themeColor="text1"/>
                <w:sz w:val="24"/>
                <w:szCs w:val="24"/>
                <w14:textFill>
                  <w14:solidFill>
                    <w14:schemeClr w14:val="tx1"/>
                  </w14:solidFill>
                </w14:textFill>
              </w:rPr>
              <w:t>-1</w:t>
            </w:r>
            <w:r>
              <w:rPr>
                <w:rFonts w:hint="eastAsia"/>
                <w:color w:val="000000" w:themeColor="text1"/>
                <w:sz w:val="24"/>
                <w:szCs w:val="24"/>
                <w14:textFill>
                  <w14:solidFill>
                    <w14:schemeClr w14:val="tx1"/>
                  </w14:solidFill>
                </w14:textFill>
              </w:rPr>
              <w:t>5</w:t>
            </w:r>
            <w:r>
              <w:rPr>
                <w:color w:val="000000" w:themeColor="text1"/>
                <w:sz w:val="24"/>
                <w:szCs w:val="24"/>
                <w14:textFill>
                  <w14:solidFill>
                    <w14:schemeClr w14:val="tx1"/>
                  </w14:solidFill>
                </w14:textFill>
              </w:rPr>
              <w:t>天后，完成有机物完全降解工作，转变为稳定的</w:t>
            </w:r>
            <w:r>
              <w:rPr>
                <w:rFonts w:hint="eastAsia"/>
                <w:color w:val="000000" w:themeColor="text1"/>
                <w:sz w:val="24"/>
                <w:szCs w:val="24"/>
                <w14:textFill>
                  <w14:solidFill>
                    <w14:schemeClr w14:val="tx1"/>
                  </w14:solidFill>
                </w14:textFill>
              </w:rPr>
              <w:t>腐殖质</w:t>
            </w:r>
            <w:r>
              <w:rPr>
                <w:color w:val="000000" w:themeColor="text1"/>
                <w:sz w:val="24"/>
                <w:szCs w:val="24"/>
                <w14:textFill>
                  <w14:solidFill>
                    <w14:schemeClr w14:val="tx1"/>
                  </w14:solidFill>
                </w14:textFill>
              </w:rPr>
              <w:t>，异味消失，含水率降为 30%，好氧发酵已完全腐熟，形成腐殖质。发酵后的半成品转移至半成品堆放区待用。</w:t>
            </w:r>
          </w:p>
          <w:p w14:paraId="120B4170">
            <w:pPr>
              <w:pStyle w:val="16"/>
              <w:adjustRightInd w:val="0"/>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腐熟的有机堆肥的表现特征为：堆肥后期温度天然下降，不再招引苍蝇，无臭味，质地松软，体积缩小，呈深褐色或黑褐色，虫卵死亡；以粪大肠菌群为评价指标，粪大肠菌值为 0.1-0.01 时病原菌存在的可能性也很小，含水率 40%以下。</w:t>
            </w:r>
          </w:p>
          <w:p w14:paraId="3397DDD4">
            <w:pPr>
              <w:pStyle w:val="16"/>
              <w:adjustRightInd w:val="0"/>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项目发酵在车间内进行，非露天发酵，</w:t>
            </w:r>
            <w:r>
              <w:rPr>
                <w:rFonts w:hint="eastAsia"/>
                <w:color w:val="000000" w:themeColor="text1"/>
                <w:sz w:val="24"/>
                <w:szCs w:val="24"/>
                <w14:textFill>
                  <w14:solidFill>
                    <w14:schemeClr w14:val="tx1"/>
                  </w14:solidFill>
                </w14:textFill>
              </w:rPr>
              <w:t>发酵期</w:t>
            </w:r>
            <w:r>
              <w:rPr>
                <w:color w:val="000000" w:themeColor="text1"/>
                <w:sz w:val="24"/>
                <w:szCs w:val="24"/>
                <w14:textFill>
                  <w14:solidFill>
                    <w14:schemeClr w14:val="tx1"/>
                  </w14:solidFill>
                </w14:textFill>
              </w:rPr>
              <w:t>物料</w:t>
            </w:r>
            <w:r>
              <w:rPr>
                <w:rFonts w:hint="eastAsia"/>
                <w:color w:val="000000" w:themeColor="text1"/>
                <w:sz w:val="24"/>
                <w:szCs w:val="24"/>
                <w14:textFill>
                  <w14:solidFill>
                    <w14:schemeClr w14:val="tx1"/>
                  </w14:solidFill>
                </w14:textFill>
              </w:rPr>
              <w:t>最高</w:t>
            </w:r>
            <w:r>
              <w:rPr>
                <w:color w:val="000000" w:themeColor="text1"/>
                <w:sz w:val="24"/>
                <w:szCs w:val="24"/>
                <w14:textFill>
                  <w14:solidFill>
                    <w14:schemeClr w14:val="tx1"/>
                  </w14:solidFill>
                </w14:textFill>
              </w:rPr>
              <w:t>含水率约 50%，不使用含水率</w:t>
            </w:r>
            <w:r>
              <w:rPr>
                <w:rFonts w:hint="eastAsia"/>
                <w:color w:val="000000" w:themeColor="text1"/>
                <w:sz w:val="24"/>
                <w:szCs w:val="24"/>
                <w14:textFill>
                  <w14:solidFill>
                    <w14:schemeClr w14:val="tx1"/>
                  </w14:solidFill>
                </w14:textFill>
              </w:rPr>
              <w:t>更</w:t>
            </w:r>
            <w:r>
              <w:rPr>
                <w:color w:val="000000" w:themeColor="text1"/>
                <w:sz w:val="24"/>
                <w:szCs w:val="24"/>
                <w14:textFill>
                  <w14:solidFill>
                    <w14:schemeClr w14:val="tx1"/>
                  </w14:solidFill>
                </w14:textFill>
              </w:rPr>
              <w:t>高的禽畜粪便，渗滤液</w:t>
            </w:r>
            <w:r>
              <w:rPr>
                <w:rFonts w:hint="eastAsia"/>
                <w:color w:val="000000" w:themeColor="text1"/>
                <w:sz w:val="24"/>
                <w:szCs w:val="24"/>
                <w14:textFill>
                  <w14:solidFill>
                    <w14:schemeClr w14:val="tx1"/>
                  </w14:solidFill>
                </w14:textFill>
              </w:rPr>
              <w:t>产生量较少，经收集后回用于生产</w:t>
            </w: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低变质褐煤中主要成分为有机质和腐殖酸，根据查阅相关资料，腐殖酸大分子的基本结构是芳环和脂环组成，环上连有羟基、羧基、羰基、甲氧基等官能团，并含有一定量的自由基，具有生理活性，和锯木屑在堆肥发酵过程中会产生少量的异味，通过严格控制每次发酵时尿素的用量、车间密闭和发酵期间喷洒生物除臭剂措施进行控制，此外</w:t>
            </w:r>
            <w:r>
              <w:rPr>
                <w:color w:val="000000" w:themeColor="text1"/>
                <w:sz w:val="24"/>
                <w:szCs w:val="24"/>
                <w14:textFill>
                  <w14:solidFill>
                    <w14:schemeClr w14:val="tx1"/>
                  </w14:solidFill>
                </w14:textFill>
              </w:rPr>
              <w:t>发酵过程中产生除臭剂废包装容器</w:t>
            </w:r>
            <w:r>
              <w:rPr>
                <w:rFonts w:hint="eastAsia"/>
                <w:color w:val="000000" w:themeColor="text1"/>
                <w:sz w:val="24"/>
                <w:szCs w:val="24"/>
                <w14:textFill>
                  <w14:solidFill>
                    <w14:schemeClr w14:val="tx1"/>
                  </w14:solidFill>
                </w14:textFill>
              </w:rPr>
              <w:t>和噪声</w:t>
            </w:r>
            <w:r>
              <w:rPr>
                <w:color w:val="000000" w:themeColor="text1"/>
                <w:sz w:val="24"/>
                <w:szCs w:val="24"/>
                <w14:textFill>
                  <w14:solidFill>
                    <w14:schemeClr w14:val="tx1"/>
                  </w14:solidFill>
                </w14:textFill>
              </w:rPr>
              <w:t>。</w:t>
            </w:r>
          </w:p>
          <w:p w14:paraId="26BE8673">
            <w:pPr>
              <w:pStyle w:val="16"/>
              <w:adjustRightInd w:val="0"/>
              <w:spacing w:line="360" w:lineRule="auto"/>
              <w:ind w:firstLine="482" w:firstLineChars="200"/>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3、</w:t>
            </w:r>
            <w:r>
              <w:rPr>
                <w:b/>
                <w:bCs/>
                <w:color w:val="000000" w:themeColor="text1"/>
                <w:sz w:val="24"/>
                <w:szCs w:val="24"/>
                <w14:textFill>
                  <w14:solidFill>
                    <w14:schemeClr w14:val="tx1"/>
                  </w14:solidFill>
                </w14:textFill>
              </w:rPr>
              <w:t>计量包装</w:t>
            </w:r>
          </w:p>
          <w:p w14:paraId="5A1F2B0B">
            <w:pPr>
              <w:pStyle w:val="16"/>
              <w:adjustRightInd w:val="0"/>
              <w:spacing w:line="360" w:lineRule="auto"/>
              <w:ind w:left="-840" w:leftChars="-400" w:firstLine="480" w:firstLineChars="200"/>
              <w:rPr>
                <w:color w:val="000000" w:themeColor="text1"/>
                <w14:textFill>
                  <w14:solidFill>
                    <w14:schemeClr w14:val="tx1"/>
                  </w14:solidFill>
                </w14:textFill>
              </w:rPr>
            </w:pPr>
            <w:r>
              <w:rPr>
                <w:rFonts w:hint="eastAsia"/>
                <w:color w:val="000000" w:themeColor="text1"/>
                <w:sz w:val="24"/>
                <w:szCs w:val="24"/>
                <w14:textFill>
                  <w14:solidFill>
                    <w14:schemeClr w14:val="tx1"/>
                  </w14:solidFill>
                </w14:textFill>
              </w:rPr>
              <w:t>造    陈化后的物料由密闭</w:t>
            </w:r>
            <w:r>
              <w:rPr>
                <w:color w:val="000000" w:themeColor="text1"/>
                <w:sz w:val="24"/>
                <w:szCs w:val="24"/>
                <w14:textFill>
                  <w14:solidFill>
                    <w14:schemeClr w14:val="tx1"/>
                  </w14:solidFill>
                </w14:textFill>
              </w:rPr>
              <w:t>皮带输送至全自动计量包装机，封装后送入成品库。</w:t>
            </w:r>
            <w:r>
              <w:rPr>
                <w:rFonts w:hint="eastAsia"/>
                <w:color w:val="000000" w:themeColor="text1"/>
                <w:sz w:val="24"/>
                <w:szCs w:val="24"/>
                <w14:textFill>
                  <w14:solidFill>
                    <w14:schemeClr w14:val="tx1"/>
                  </w14:solidFill>
                </w14:textFill>
              </w:rPr>
              <w:t>该过程产生噪声、粉尘和废编织袋。</w:t>
            </w:r>
          </w:p>
        </w:tc>
      </w:tr>
      <w:tr w14:paraId="2A8D81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823" w:type="dxa"/>
            <w:vAlign w:val="center"/>
          </w:tcPr>
          <w:p w14:paraId="38E9CB6E">
            <w:pPr>
              <w:pStyle w:val="21"/>
              <w:adjustRightInd w:val="0"/>
              <w:snapToGrid w:val="0"/>
              <w:spacing w:before="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bCs/>
                <w:color w:val="000000" w:themeColor="text1"/>
                <w:kern w:val="2"/>
                <w:szCs w:val="24"/>
                <w14:textFill>
                  <w14:solidFill>
                    <w14:schemeClr w14:val="tx1"/>
                  </w14:solidFill>
                </w14:textFill>
              </w:rPr>
              <w:t>与项目有关的原有环境污染问题</w:t>
            </w:r>
          </w:p>
        </w:tc>
        <w:tc>
          <w:tcPr>
            <w:tcW w:w="8161" w:type="dxa"/>
          </w:tcPr>
          <w:p w14:paraId="785ABA9A">
            <w:pPr>
              <w:adjustRightInd w:val="0"/>
              <w:snapToGrid w:val="0"/>
              <w:spacing w:line="360" w:lineRule="auto"/>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一、云南建工云岭水泥有限公司环保手续</w:t>
            </w:r>
            <w:r>
              <w:rPr>
                <w:rFonts w:hint="eastAsia"/>
                <w:b/>
                <w:bCs/>
                <w:color w:val="000000" w:themeColor="text1"/>
                <w:sz w:val="24"/>
                <w14:textFill>
                  <w14:solidFill>
                    <w14:schemeClr w14:val="tx1"/>
                  </w14:solidFill>
                </w14:textFill>
              </w:rPr>
              <w:t>办理</w:t>
            </w:r>
            <w:r>
              <w:rPr>
                <w:b/>
                <w:bCs/>
                <w:color w:val="000000" w:themeColor="text1"/>
                <w:sz w:val="24"/>
                <w14:textFill>
                  <w14:solidFill>
                    <w14:schemeClr w14:val="tx1"/>
                  </w14:solidFill>
                </w14:textFill>
              </w:rPr>
              <w:t>情况</w:t>
            </w:r>
          </w:p>
          <w:p w14:paraId="48125961">
            <w:pPr>
              <w:adjustRightInd w:val="0"/>
              <w:snapToGrid w:val="0"/>
              <w:spacing w:line="360" w:lineRule="auto"/>
              <w:ind w:firstLine="42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本项目租用云南建工云岭水泥有限公司已建厂房进行建设。</w:t>
            </w:r>
          </w:p>
          <w:p w14:paraId="3A90E05F">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云南建工云岭水泥有限公司始建于2006年，前身是云南南磷集团云岭建材有限公司。2008年1月，省环科院编制了《2000吨/天综合利用电石渣新型干法水泥熟料生产线环境影响报告书》；2008年5月7日，云南省环境保护局以云环许准〔2008〕135号文同意建设；2010年10月30日，省环保厅以云环验〔2010〕60号文同意项目环保竣工验收。 2016年12月22日取得寻甸县环境保护局出具的烟气脱硝设施（SNCR）技术改造项目环境影响评价报告表批复，脱硝设施验收于2017年6月23日由寻甸县环保局组织开展竣工验收，于2017年10月20日取得寻甸县环保局出具的烟气脱硝技术改造工程项目竣工环保验收批复；2020年12月1日取得昆明市环境保护局核发的云南省污染物排放许可证（91530129676551443E001P），有效期至2020年12月27日至2025年12月26日止。2021年11月28日因水泥市场环境不景气等原因一直停产至今未进行生产，根据2023年10月30日云南建工云岭水泥有限公司出具的情况说明，公司以后将不组织生产，计划将产能、设备等依法进行处置，不再生产。</w:t>
            </w:r>
          </w:p>
          <w:p w14:paraId="4E6AB223">
            <w:pPr>
              <w:adjustRightInd w:val="0"/>
              <w:snapToGrid w:val="0"/>
              <w:spacing w:line="360" w:lineRule="auto"/>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二、</w:t>
            </w:r>
            <w:r>
              <w:rPr>
                <w:b/>
                <w:bCs/>
                <w:color w:val="000000" w:themeColor="text1"/>
                <w:sz w:val="24"/>
                <w14:textFill>
                  <w14:solidFill>
                    <w14:schemeClr w14:val="tx1"/>
                  </w14:solidFill>
                </w14:textFill>
              </w:rPr>
              <w:t>云南建工云岭水泥有限公司</w:t>
            </w:r>
            <w:r>
              <w:rPr>
                <w:rFonts w:hint="eastAsia"/>
                <w:b/>
                <w:bCs/>
                <w:color w:val="000000" w:themeColor="text1"/>
                <w:sz w:val="24"/>
                <w14:textFill>
                  <w14:solidFill>
                    <w14:schemeClr w14:val="tx1"/>
                  </w14:solidFill>
                </w14:textFill>
              </w:rPr>
              <w:t>现状</w:t>
            </w:r>
          </w:p>
          <w:p w14:paraId="6747090E">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现场踏勘，云南建工云岭水泥有限公司2000吨/天综合利用电石渣新型干法水泥熟料生产线自2021年11月28日开始至今未进行生产。本项目租贷的西面厂房原为粘土-铜渣棚，东面厂房原为煤堆棚，生产期间厂房建设为四周密闭，上有顶棚，地面经过硬化防渗处理，满足物料堆存需求。现状已为空置的厂房，地面硬化无裂缝，无原有项目的污染痕迹。</w:t>
            </w:r>
          </w:p>
          <w:p w14:paraId="6E976025">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云南建工云岭水泥有限公司目前有员工办公，为非生产性员工，宿舍、食堂和办公楼正常使用，生活污水总产生量约为11m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/d，经5m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的隔油池和60m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化粪池预处理后排入污水处理站（处理规模为120m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/d）处理，达标后排至200m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的蓄水池储存，用于厂区的绿化和洒水降尘。</w:t>
            </w:r>
          </w:p>
          <w:p w14:paraId="3406A33F">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根据云南建工云岭水泥有限公司2021年10月自行监测数据，污水处理站出水水质满足《城市污水再生利用 城市杂用水水质》（GB/T 18920-2020）中绿化、道路清扫标准值，监测结果见下表所示，监测报告见附件12。</w:t>
            </w:r>
          </w:p>
          <w:p w14:paraId="6C86FE4A">
            <w:pPr>
              <w:pStyle w:val="58"/>
              <w:rPr>
                <w:color w:val="000000" w:themeColor="text1"/>
                <w14:textFill>
                  <w14:solidFill>
                    <w14:schemeClr w14:val="tx1"/>
                  </w14:solidFill>
                </w14:textFill>
              </w:rPr>
            </w:pPr>
            <w:r>
              <w:rPr>
                <w:rFonts w:hint="eastAsia"/>
                <w:color w:val="000000" w:themeColor="text1"/>
                <w14:textFill>
                  <w14:solidFill>
                    <w14:schemeClr w14:val="tx1"/>
                  </w14:solidFill>
                </w14:textFill>
              </w:rPr>
              <w:t>表2-12 污水处理站排放口监测结果      单位：mg/L</w:t>
            </w:r>
          </w:p>
          <w:tbl>
            <w:tblPr>
              <w:tblStyle w:val="25"/>
              <w:tblW w:w="49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1010"/>
              <w:gridCol w:w="1537"/>
              <w:gridCol w:w="1282"/>
              <w:gridCol w:w="1308"/>
              <w:gridCol w:w="1219"/>
              <w:gridCol w:w="882"/>
              <w:gridCol w:w="605"/>
            </w:tblGrid>
            <w:tr w14:paraId="61B4B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63" w:hRule="atLeast"/>
                <w:tblHeader/>
                <w:jc w:val="center"/>
              </w:trPr>
              <w:tc>
                <w:tcPr>
                  <w:tcW w:w="643" w:type="pct"/>
                  <w:vMerge w:val="restart"/>
                  <w:vAlign w:val="center"/>
                </w:tcPr>
                <w:p w14:paraId="1909C741">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监测</w:t>
                  </w:r>
                  <w:r>
                    <w:rPr>
                      <w:rFonts w:hint="eastAsia"/>
                      <w:b w:val="0"/>
                      <w:color w:val="000000" w:themeColor="text1"/>
                      <w14:textFill>
                        <w14:solidFill>
                          <w14:schemeClr w14:val="tx1"/>
                        </w14:solidFill>
                      </w14:textFill>
                    </w:rPr>
                    <w:t>点位</w:t>
                  </w:r>
                </w:p>
              </w:tc>
              <w:tc>
                <w:tcPr>
                  <w:tcW w:w="979" w:type="pct"/>
                  <w:vMerge w:val="restart"/>
                  <w:vAlign w:val="center"/>
                </w:tcPr>
                <w:p w14:paraId="751552C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监测指标</w:t>
                  </w:r>
                </w:p>
              </w:tc>
              <w:tc>
                <w:tcPr>
                  <w:tcW w:w="2427" w:type="pct"/>
                  <w:gridSpan w:val="3"/>
                  <w:vAlign w:val="center"/>
                </w:tcPr>
                <w:p w14:paraId="61A05129">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采样编号</w:t>
                  </w:r>
                </w:p>
              </w:tc>
              <w:tc>
                <w:tcPr>
                  <w:tcW w:w="562" w:type="pct"/>
                  <w:vMerge w:val="restart"/>
                  <w:vAlign w:val="center"/>
                </w:tcPr>
                <w:p w14:paraId="003D48A3">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标准</w:t>
                  </w:r>
                  <w:r>
                    <w:rPr>
                      <w:rFonts w:hint="eastAsia"/>
                      <w:b w:val="0"/>
                      <w:color w:val="000000" w:themeColor="text1"/>
                      <w14:textFill>
                        <w14:solidFill>
                          <w14:schemeClr w14:val="tx1"/>
                        </w14:solidFill>
                      </w14:textFill>
                    </w:rPr>
                    <w:t>值</w:t>
                  </w:r>
                </w:p>
              </w:tc>
              <w:tc>
                <w:tcPr>
                  <w:tcW w:w="386" w:type="pct"/>
                  <w:vMerge w:val="restart"/>
                  <w:vAlign w:val="center"/>
                </w:tcPr>
                <w:p w14:paraId="2C7EAEC1">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评价结果</w:t>
                  </w:r>
                </w:p>
              </w:tc>
            </w:tr>
            <w:tr w14:paraId="5D4A7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91" w:hRule="atLeast"/>
                <w:tblHeader/>
                <w:jc w:val="center"/>
              </w:trPr>
              <w:tc>
                <w:tcPr>
                  <w:tcW w:w="643" w:type="pct"/>
                  <w:vMerge w:val="continue"/>
                  <w:vAlign w:val="center"/>
                </w:tcPr>
                <w:p w14:paraId="0D5A40EB">
                  <w:pPr>
                    <w:pStyle w:val="74"/>
                    <w:rPr>
                      <w:b w:val="0"/>
                      <w:color w:val="000000" w:themeColor="text1"/>
                      <w14:textFill>
                        <w14:solidFill>
                          <w14:schemeClr w14:val="tx1"/>
                        </w14:solidFill>
                      </w14:textFill>
                    </w:rPr>
                  </w:pPr>
                </w:p>
              </w:tc>
              <w:tc>
                <w:tcPr>
                  <w:tcW w:w="979" w:type="pct"/>
                  <w:vMerge w:val="continue"/>
                  <w:vAlign w:val="center"/>
                </w:tcPr>
                <w:p w14:paraId="250E0631">
                  <w:pPr>
                    <w:pStyle w:val="74"/>
                    <w:rPr>
                      <w:b w:val="0"/>
                      <w:color w:val="000000" w:themeColor="text1"/>
                      <w14:textFill>
                        <w14:solidFill>
                          <w14:schemeClr w14:val="tx1"/>
                        </w14:solidFill>
                      </w14:textFill>
                    </w:rPr>
                  </w:pPr>
                </w:p>
              </w:tc>
              <w:tc>
                <w:tcPr>
                  <w:tcW w:w="817" w:type="pct"/>
                  <w:vAlign w:val="center"/>
                </w:tcPr>
                <w:p w14:paraId="7BBE799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FS21385-1-101</w:t>
                  </w:r>
                </w:p>
              </w:tc>
              <w:tc>
                <w:tcPr>
                  <w:tcW w:w="833" w:type="pct"/>
                  <w:vAlign w:val="center"/>
                </w:tcPr>
                <w:p w14:paraId="005C28F8">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FS21385-1-102</w:t>
                  </w:r>
                </w:p>
              </w:tc>
              <w:tc>
                <w:tcPr>
                  <w:tcW w:w="776" w:type="pct"/>
                  <w:vAlign w:val="center"/>
                </w:tcPr>
                <w:p w14:paraId="0B6590CC">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FS21385-1-103</w:t>
                  </w:r>
                </w:p>
              </w:tc>
              <w:tc>
                <w:tcPr>
                  <w:tcW w:w="562" w:type="pct"/>
                  <w:vMerge w:val="continue"/>
                  <w:vAlign w:val="center"/>
                </w:tcPr>
                <w:p w14:paraId="27B1DDC3">
                  <w:pPr>
                    <w:pStyle w:val="74"/>
                    <w:rPr>
                      <w:b w:val="0"/>
                      <w:color w:val="000000" w:themeColor="text1"/>
                      <w14:textFill>
                        <w14:solidFill>
                          <w14:schemeClr w14:val="tx1"/>
                        </w14:solidFill>
                      </w14:textFill>
                    </w:rPr>
                  </w:pPr>
                </w:p>
              </w:tc>
              <w:tc>
                <w:tcPr>
                  <w:tcW w:w="386" w:type="pct"/>
                  <w:vMerge w:val="continue"/>
                  <w:vAlign w:val="center"/>
                </w:tcPr>
                <w:p w14:paraId="0974F19D">
                  <w:pPr>
                    <w:pStyle w:val="74"/>
                    <w:rPr>
                      <w:b w:val="0"/>
                      <w:color w:val="000000" w:themeColor="text1"/>
                      <w14:textFill>
                        <w14:solidFill>
                          <w14:schemeClr w14:val="tx1"/>
                        </w14:solidFill>
                      </w14:textFill>
                    </w:rPr>
                  </w:pPr>
                </w:p>
              </w:tc>
            </w:tr>
            <w:tr w14:paraId="40044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643" w:type="pct"/>
                  <w:vMerge w:val="restart"/>
                  <w:vAlign w:val="center"/>
                </w:tcPr>
                <w:p w14:paraId="15A0B04C">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废水排放口</w:t>
                  </w:r>
                </w:p>
              </w:tc>
              <w:tc>
                <w:tcPr>
                  <w:tcW w:w="979" w:type="pct"/>
                  <w:shd w:val="clear" w:color="auto" w:fill="auto"/>
                  <w:vAlign w:val="center"/>
                </w:tcPr>
                <w:p w14:paraId="1A7BE24E">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悬浮物</w:t>
                  </w:r>
                </w:p>
              </w:tc>
              <w:tc>
                <w:tcPr>
                  <w:tcW w:w="817" w:type="pct"/>
                  <w:shd w:val="clear" w:color="auto" w:fill="auto"/>
                  <w:vAlign w:val="center"/>
                </w:tcPr>
                <w:p w14:paraId="02DE392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26</w:t>
                  </w:r>
                </w:p>
              </w:tc>
              <w:tc>
                <w:tcPr>
                  <w:tcW w:w="833" w:type="pct"/>
                  <w:shd w:val="clear" w:color="auto" w:fill="auto"/>
                  <w:vAlign w:val="center"/>
                </w:tcPr>
                <w:p w14:paraId="5E6B636D">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20</w:t>
                  </w:r>
                </w:p>
              </w:tc>
              <w:tc>
                <w:tcPr>
                  <w:tcW w:w="776" w:type="pct"/>
                  <w:shd w:val="clear" w:color="auto" w:fill="auto"/>
                  <w:vAlign w:val="center"/>
                </w:tcPr>
                <w:p w14:paraId="52CF4AAC">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22</w:t>
                  </w:r>
                </w:p>
              </w:tc>
              <w:tc>
                <w:tcPr>
                  <w:tcW w:w="562" w:type="pct"/>
                  <w:vAlign w:val="center"/>
                </w:tcPr>
                <w:p w14:paraId="72E84AE1">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w:t>
                  </w:r>
                </w:p>
              </w:tc>
              <w:tc>
                <w:tcPr>
                  <w:tcW w:w="386" w:type="pct"/>
                  <w:vAlign w:val="center"/>
                </w:tcPr>
                <w:p w14:paraId="0EC87BF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3525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643" w:type="pct"/>
                  <w:vMerge w:val="continue"/>
                  <w:vAlign w:val="center"/>
                </w:tcPr>
                <w:p w14:paraId="37420991">
                  <w:pPr>
                    <w:pStyle w:val="74"/>
                    <w:rPr>
                      <w:b w:val="0"/>
                      <w:color w:val="000000" w:themeColor="text1"/>
                      <w14:textFill>
                        <w14:solidFill>
                          <w14:schemeClr w14:val="tx1"/>
                        </w14:solidFill>
                      </w14:textFill>
                    </w:rPr>
                  </w:pPr>
                </w:p>
              </w:tc>
              <w:tc>
                <w:tcPr>
                  <w:tcW w:w="979" w:type="pct"/>
                  <w:shd w:val="clear" w:color="auto" w:fill="auto"/>
                  <w:vAlign w:val="center"/>
                </w:tcPr>
                <w:p w14:paraId="3670994D">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动植物油</w:t>
                  </w:r>
                </w:p>
              </w:tc>
              <w:tc>
                <w:tcPr>
                  <w:tcW w:w="817" w:type="pct"/>
                  <w:shd w:val="clear" w:color="auto" w:fill="auto"/>
                  <w:vAlign w:val="center"/>
                </w:tcPr>
                <w:p w14:paraId="2A15EC21">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0.06L</w:t>
                  </w:r>
                </w:p>
              </w:tc>
              <w:tc>
                <w:tcPr>
                  <w:tcW w:w="833" w:type="pct"/>
                  <w:shd w:val="clear" w:color="auto" w:fill="auto"/>
                  <w:vAlign w:val="center"/>
                </w:tcPr>
                <w:p w14:paraId="5D4FEF81">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0.06L</w:t>
                  </w:r>
                </w:p>
              </w:tc>
              <w:tc>
                <w:tcPr>
                  <w:tcW w:w="776" w:type="pct"/>
                  <w:shd w:val="clear" w:color="auto" w:fill="auto"/>
                  <w:vAlign w:val="center"/>
                </w:tcPr>
                <w:p w14:paraId="57125AF2">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0.06L</w:t>
                  </w:r>
                </w:p>
              </w:tc>
              <w:tc>
                <w:tcPr>
                  <w:tcW w:w="562" w:type="pct"/>
                  <w:vAlign w:val="center"/>
                </w:tcPr>
                <w:p w14:paraId="2BC9762B">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w:t>
                  </w:r>
                </w:p>
              </w:tc>
              <w:tc>
                <w:tcPr>
                  <w:tcW w:w="386" w:type="pct"/>
                  <w:vAlign w:val="center"/>
                </w:tcPr>
                <w:p w14:paraId="024A1B5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55B7C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643" w:type="pct"/>
                  <w:vMerge w:val="continue"/>
                  <w:vAlign w:val="center"/>
                </w:tcPr>
                <w:p w14:paraId="7A344CCE">
                  <w:pPr>
                    <w:pStyle w:val="74"/>
                    <w:rPr>
                      <w:b w:val="0"/>
                      <w:color w:val="000000" w:themeColor="text1"/>
                      <w14:textFill>
                        <w14:solidFill>
                          <w14:schemeClr w14:val="tx1"/>
                        </w14:solidFill>
                      </w14:textFill>
                    </w:rPr>
                  </w:pPr>
                </w:p>
              </w:tc>
              <w:tc>
                <w:tcPr>
                  <w:tcW w:w="979" w:type="pct"/>
                  <w:shd w:val="clear" w:color="auto" w:fill="auto"/>
                  <w:vAlign w:val="center"/>
                </w:tcPr>
                <w:p w14:paraId="0B3A3D67">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化学需氧量</w:t>
                  </w:r>
                </w:p>
              </w:tc>
              <w:tc>
                <w:tcPr>
                  <w:tcW w:w="817" w:type="pct"/>
                  <w:shd w:val="clear" w:color="auto" w:fill="auto"/>
                  <w:vAlign w:val="center"/>
                </w:tcPr>
                <w:p w14:paraId="4AAB81B4">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8</w:t>
                  </w:r>
                </w:p>
              </w:tc>
              <w:tc>
                <w:tcPr>
                  <w:tcW w:w="833" w:type="pct"/>
                  <w:shd w:val="clear" w:color="auto" w:fill="auto"/>
                  <w:vAlign w:val="center"/>
                </w:tcPr>
                <w:p w14:paraId="1162794B">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10</w:t>
                  </w:r>
                </w:p>
              </w:tc>
              <w:tc>
                <w:tcPr>
                  <w:tcW w:w="776" w:type="pct"/>
                  <w:shd w:val="clear" w:color="auto" w:fill="auto"/>
                  <w:vAlign w:val="center"/>
                </w:tcPr>
                <w:p w14:paraId="6212ABEF">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9</w:t>
                  </w:r>
                </w:p>
              </w:tc>
              <w:tc>
                <w:tcPr>
                  <w:tcW w:w="562" w:type="pct"/>
                  <w:shd w:val="clear" w:color="auto" w:fill="auto"/>
                  <w:vAlign w:val="center"/>
                </w:tcPr>
                <w:p w14:paraId="74F8CD8E">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w:t>
                  </w:r>
                </w:p>
              </w:tc>
              <w:tc>
                <w:tcPr>
                  <w:tcW w:w="386" w:type="pct"/>
                  <w:shd w:val="clear" w:color="auto" w:fill="auto"/>
                  <w:vAlign w:val="center"/>
                </w:tcPr>
                <w:p w14:paraId="2BF4201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r>
            <w:tr w14:paraId="00F97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643" w:type="pct"/>
                  <w:vMerge w:val="continue"/>
                  <w:vAlign w:val="center"/>
                </w:tcPr>
                <w:p w14:paraId="76E545B1">
                  <w:pPr>
                    <w:pStyle w:val="74"/>
                    <w:rPr>
                      <w:b w:val="0"/>
                      <w:color w:val="000000" w:themeColor="text1"/>
                      <w14:textFill>
                        <w14:solidFill>
                          <w14:schemeClr w14:val="tx1"/>
                        </w14:solidFill>
                      </w14:textFill>
                    </w:rPr>
                  </w:pPr>
                </w:p>
              </w:tc>
              <w:tc>
                <w:tcPr>
                  <w:tcW w:w="979" w:type="pct"/>
                  <w:shd w:val="clear" w:color="auto" w:fill="auto"/>
                  <w:vAlign w:val="center"/>
                </w:tcPr>
                <w:p w14:paraId="57938C2A">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氨氮</w:t>
                  </w:r>
                </w:p>
              </w:tc>
              <w:tc>
                <w:tcPr>
                  <w:tcW w:w="817" w:type="pct"/>
                  <w:shd w:val="clear" w:color="auto" w:fill="auto"/>
                  <w:vAlign w:val="center"/>
                </w:tcPr>
                <w:p w14:paraId="369F4D6D">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1.25</w:t>
                  </w:r>
                </w:p>
              </w:tc>
              <w:tc>
                <w:tcPr>
                  <w:tcW w:w="833" w:type="pct"/>
                  <w:shd w:val="clear" w:color="auto" w:fill="auto"/>
                  <w:vAlign w:val="center"/>
                </w:tcPr>
                <w:p w14:paraId="595293A4">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1.22</w:t>
                  </w:r>
                </w:p>
              </w:tc>
              <w:tc>
                <w:tcPr>
                  <w:tcW w:w="776" w:type="pct"/>
                  <w:shd w:val="clear" w:color="auto" w:fill="auto"/>
                  <w:vAlign w:val="center"/>
                </w:tcPr>
                <w:p w14:paraId="67583DAF">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1.29</w:t>
                  </w:r>
                </w:p>
              </w:tc>
              <w:tc>
                <w:tcPr>
                  <w:tcW w:w="562" w:type="pct"/>
                  <w:shd w:val="clear" w:color="auto" w:fill="auto"/>
                  <w:vAlign w:val="center"/>
                </w:tcPr>
                <w:p w14:paraId="7C4C8324">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≤8</w:t>
                  </w:r>
                </w:p>
              </w:tc>
              <w:tc>
                <w:tcPr>
                  <w:tcW w:w="386" w:type="pct"/>
                  <w:shd w:val="clear" w:color="auto" w:fill="auto"/>
                  <w:vAlign w:val="center"/>
                </w:tcPr>
                <w:p w14:paraId="537D43AE">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w:t>
                  </w:r>
                </w:p>
              </w:tc>
            </w:tr>
            <w:tr w14:paraId="6854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643" w:type="pct"/>
                  <w:vMerge w:val="continue"/>
                  <w:vAlign w:val="center"/>
                </w:tcPr>
                <w:p w14:paraId="20699A69">
                  <w:pPr>
                    <w:pStyle w:val="74"/>
                    <w:rPr>
                      <w:b w:val="0"/>
                      <w:color w:val="000000" w:themeColor="text1"/>
                      <w14:textFill>
                        <w14:solidFill>
                          <w14:schemeClr w14:val="tx1"/>
                        </w14:solidFill>
                      </w14:textFill>
                    </w:rPr>
                  </w:pPr>
                </w:p>
              </w:tc>
              <w:tc>
                <w:tcPr>
                  <w:tcW w:w="979" w:type="pct"/>
                  <w:shd w:val="clear" w:color="auto" w:fill="auto"/>
                  <w:vAlign w:val="center"/>
                </w:tcPr>
                <w:p w14:paraId="7D1E3DCA">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总磷</w:t>
                  </w:r>
                </w:p>
              </w:tc>
              <w:tc>
                <w:tcPr>
                  <w:tcW w:w="817" w:type="pct"/>
                  <w:shd w:val="clear" w:color="auto" w:fill="auto"/>
                  <w:vAlign w:val="center"/>
                </w:tcPr>
                <w:p w14:paraId="61159F28">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0.51</w:t>
                  </w:r>
                </w:p>
              </w:tc>
              <w:tc>
                <w:tcPr>
                  <w:tcW w:w="833" w:type="pct"/>
                  <w:shd w:val="clear" w:color="auto" w:fill="auto"/>
                  <w:vAlign w:val="center"/>
                </w:tcPr>
                <w:p w14:paraId="49F1C9C3">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0.53</w:t>
                  </w:r>
                </w:p>
              </w:tc>
              <w:tc>
                <w:tcPr>
                  <w:tcW w:w="776" w:type="pct"/>
                  <w:shd w:val="clear" w:color="auto" w:fill="auto"/>
                  <w:vAlign w:val="center"/>
                </w:tcPr>
                <w:p w14:paraId="448ACF5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0.48</w:t>
                  </w:r>
                </w:p>
              </w:tc>
              <w:tc>
                <w:tcPr>
                  <w:tcW w:w="562" w:type="pct"/>
                  <w:shd w:val="clear" w:color="auto" w:fill="auto"/>
                  <w:vAlign w:val="center"/>
                </w:tcPr>
                <w:p w14:paraId="4175936D">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w:t>
                  </w:r>
                </w:p>
              </w:tc>
              <w:tc>
                <w:tcPr>
                  <w:tcW w:w="386" w:type="pct"/>
                  <w:shd w:val="clear" w:color="auto" w:fill="auto"/>
                  <w:vAlign w:val="center"/>
                </w:tcPr>
                <w:p w14:paraId="4B860387">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w:t>
                  </w:r>
                </w:p>
              </w:tc>
            </w:tr>
            <w:tr w14:paraId="09E8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18" w:hRule="atLeast"/>
                <w:jc w:val="center"/>
              </w:trPr>
              <w:tc>
                <w:tcPr>
                  <w:tcW w:w="643" w:type="pct"/>
                  <w:vMerge w:val="continue"/>
                  <w:vAlign w:val="center"/>
                </w:tcPr>
                <w:p w14:paraId="38C061B1">
                  <w:pPr>
                    <w:pStyle w:val="74"/>
                    <w:rPr>
                      <w:b w:val="0"/>
                      <w:color w:val="000000" w:themeColor="text1"/>
                      <w14:textFill>
                        <w14:solidFill>
                          <w14:schemeClr w14:val="tx1"/>
                        </w14:solidFill>
                      </w14:textFill>
                    </w:rPr>
                  </w:pPr>
                </w:p>
              </w:tc>
              <w:tc>
                <w:tcPr>
                  <w:tcW w:w="979" w:type="pct"/>
                  <w:shd w:val="clear" w:color="auto" w:fill="auto"/>
                  <w:vAlign w:val="center"/>
                </w:tcPr>
                <w:p w14:paraId="55DD46EC">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BOD</w:t>
                  </w:r>
                  <w:r>
                    <w:rPr>
                      <w:rFonts w:hint="eastAsia"/>
                      <w:b w:val="0"/>
                      <w:color w:val="000000" w:themeColor="text1"/>
                      <w:vertAlign w:val="subscript"/>
                      <w14:textFill>
                        <w14:solidFill>
                          <w14:schemeClr w14:val="tx1"/>
                        </w14:solidFill>
                      </w14:textFill>
                    </w:rPr>
                    <w:t>5</w:t>
                  </w:r>
                </w:p>
              </w:tc>
              <w:tc>
                <w:tcPr>
                  <w:tcW w:w="817" w:type="pct"/>
                  <w:shd w:val="clear" w:color="auto" w:fill="auto"/>
                  <w:vAlign w:val="center"/>
                </w:tcPr>
                <w:p w14:paraId="799AA4B8">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2.4</w:t>
                  </w:r>
                </w:p>
              </w:tc>
              <w:tc>
                <w:tcPr>
                  <w:tcW w:w="833" w:type="pct"/>
                  <w:shd w:val="clear" w:color="auto" w:fill="auto"/>
                  <w:vAlign w:val="center"/>
                </w:tcPr>
                <w:p w14:paraId="798B3E1A">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2.2</w:t>
                  </w:r>
                </w:p>
              </w:tc>
              <w:tc>
                <w:tcPr>
                  <w:tcW w:w="776" w:type="pct"/>
                  <w:shd w:val="clear" w:color="auto" w:fill="auto"/>
                  <w:vAlign w:val="center"/>
                </w:tcPr>
                <w:p w14:paraId="7354CD0A">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2.6</w:t>
                  </w:r>
                </w:p>
              </w:tc>
              <w:tc>
                <w:tcPr>
                  <w:tcW w:w="562" w:type="pct"/>
                  <w:shd w:val="clear" w:color="auto" w:fill="auto"/>
                  <w:vAlign w:val="center"/>
                </w:tcPr>
                <w:p w14:paraId="72677E2A">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≤10</w:t>
                  </w:r>
                </w:p>
              </w:tc>
              <w:tc>
                <w:tcPr>
                  <w:tcW w:w="386" w:type="pct"/>
                  <w:shd w:val="clear" w:color="auto" w:fill="auto"/>
                  <w:vAlign w:val="center"/>
                </w:tcPr>
                <w:p w14:paraId="01A4CAD6">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w:t>
                  </w:r>
                </w:p>
              </w:tc>
            </w:tr>
            <w:tr w14:paraId="3E97C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18" w:hRule="atLeast"/>
                <w:jc w:val="center"/>
              </w:trPr>
              <w:tc>
                <w:tcPr>
                  <w:tcW w:w="643" w:type="pct"/>
                  <w:vMerge w:val="continue"/>
                  <w:vAlign w:val="center"/>
                </w:tcPr>
                <w:p w14:paraId="726CB921">
                  <w:pPr>
                    <w:pStyle w:val="74"/>
                    <w:rPr>
                      <w:b w:val="0"/>
                      <w:color w:val="000000" w:themeColor="text1"/>
                      <w14:textFill>
                        <w14:solidFill>
                          <w14:schemeClr w14:val="tx1"/>
                        </w14:solidFill>
                      </w14:textFill>
                    </w:rPr>
                  </w:pPr>
                </w:p>
              </w:tc>
              <w:tc>
                <w:tcPr>
                  <w:tcW w:w="979" w:type="pct"/>
                  <w:shd w:val="clear" w:color="auto" w:fill="auto"/>
                  <w:vAlign w:val="center"/>
                </w:tcPr>
                <w:p w14:paraId="169F14C9">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pH（无量纲）</w:t>
                  </w:r>
                </w:p>
              </w:tc>
              <w:tc>
                <w:tcPr>
                  <w:tcW w:w="817" w:type="pct"/>
                  <w:shd w:val="clear" w:color="auto" w:fill="auto"/>
                  <w:vAlign w:val="center"/>
                </w:tcPr>
                <w:p w14:paraId="6674E2C1">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8.3</w:t>
                  </w:r>
                </w:p>
              </w:tc>
              <w:tc>
                <w:tcPr>
                  <w:tcW w:w="833" w:type="pct"/>
                  <w:shd w:val="clear" w:color="auto" w:fill="auto"/>
                  <w:vAlign w:val="center"/>
                </w:tcPr>
                <w:p w14:paraId="4B23003A">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8.4</w:t>
                  </w:r>
                </w:p>
              </w:tc>
              <w:tc>
                <w:tcPr>
                  <w:tcW w:w="776" w:type="pct"/>
                  <w:shd w:val="clear" w:color="auto" w:fill="auto"/>
                  <w:vAlign w:val="center"/>
                </w:tcPr>
                <w:p w14:paraId="3E6A2D10">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8.2</w:t>
                  </w:r>
                </w:p>
              </w:tc>
              <w:tc>
                <w:tcPr>
                  <w:tcW w:w="562" w:type="pct"/>
                  <w:shd w:val="clear" w:color="auto" w:fill="auto"/>
                  <w:vAlign w:val="center"/>
                </w:tcPr>
                <w:p w14:paraId="5FC41EB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6-9</w:t>
                  </w:r>
                </w:p>
              </w:tc>
              <w:tc>
                <w:tcPr>
                  <w:tcW w:w="386" w:type="pct"/>
                  <w:shd w:val="clear" w:color="auto" w:fill="auto"/>
                  <w:vAlign w:val="center"/>
                </w:tcPr>
                <w:p w14:paraId="622B11A3">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w:t>
                  </w:r>
                </w:p>
              </w:tc>
            </w:tr>
          </w:tbl>
          <w:p w14:paraId="304A205A">
            <w:pPr>
              <w:pStyle w:val="16"/>
              <w:adjustRightInd w:val="0"/>
              <w:spacing w:line="360" w:lineRule="auto"/>
              <w:rPr>
                <w:b/>
                <w:bCs/>
                <w:color w:val="000000" w:themeColor="text1"/>
                <w:sz w:val="24"/>
                <w:szCs w:val="28"/>
                <w14:textFill>
                  <w14:solidFill>
                    <w14:schemeClr w14:val="tx1"/>
                  </w14:solidFill>
                </w14:textFill>
              </w:rPr>
            </w:pPr>
            <w:r>
              <w:rPr>
                <w:rFonts w:hint="eastAsia"/>
                <w:b/>
                <w:bCs/>
                <w:color w:val="000000" w:themeColor="text1"/>
                <w:sz w:val="24"/>
                <w:szCs w:val="28"/>
                <w14:textFill>
                  <w14:solidFill>
                    <w14:schemeClr w14:val="tx1"/>
                  </w14:solidFill>
                </w14:textFill>
              </w:rPr>
              <w:t>三</w:t>
            </w:r>
            <w:r>
              <w:rPr>
                <w:b/>
                <w:bCs/>
                <w:color w:val="000000" w:themeColor="text1"/>
                <w:sz w:val="24"/>
                <w:szCs w:val="28"/>
                <w14:textFill>
                  <w14:solidFill>
                    <w14:schemeClr w14:val="tx1"/>
                  </w14:solidFill>
                </w14:textFill>
              </w:rPr>
              <w:t>、</w:t>
            </w:r>
            <w:r>
              <w:rPr>
                <w:rFonts w:hint="eastAsia"/>
                <w:b/>
                <w:bCs/>
                <w:color w:val="000000" w:themeColor="text1"/>
                <w:sz w:val="24"/>
                <w:szCs w:val="28"/>
                <w14:textFill>
                  <w14:solidFill>
                    <w14:schemeClr w14:val="tx1"/>
                  </w14:solidFill>
                </w14:textFill>
              </w:rPr>
              <w:t>与项目有关的原有问题</w:t>
            </w:r>
          </w:p>
          <w:p w14:paraId="26363162">
            <w:pPr>
              <w:pStyle w:val="16"/>
              <w:adjustRightInd w:val="0"/>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本项目为新建项目，租贷的已建厂房目前为空置状态，地面均进行了硬化处理，未发现现场遗漏的环境问题，无与项目有关的原有问题存在。</w:t>
            </w:r>
          </w:p>
          <w:p w14:paraId="50486BC8">
            <w:pPr>
              <w:pStyle w:val="16"/>
              <w:adjustRightInd w:val="0"/>
              <w:spacing w:line="360" w:lineRule="auto"/>
              <w:ind w:firstLine="480" w:firstLineChars="200"/>
              <w:rPr>
                <w:color w:val="000000" w:themeColor="text1"/>
                <w:sz w:val="24"/>
                <w:szCs w:val="24"/>
                <w14:textFill>
                  <w14:solidFill>
                    <w14:schemeClr w14:val="tx1"/>
                  </w14:solidFill>
                </w14:textFill>
              </w:rPr>
            </w:pPr>
          </w:p>
          <w:p w14:paraId="572857E7">
            <w:pPr>
              <w:pStyle w:val="16"/>
              <w:rPr>
                <w:color w:val="000000" w:themeColor="text1"/>
                <w14:textFill>
                  <w14:solidFill>
                    <w14:schemeClr w14:val="tx1"/>
                  </w14:solidFill>
                </w14:textFill>
              </w:rPr>
            </w:pPr>
          </w:p>
          <w:p w14:paraId="4FE8786C">
            <w:pPr>
              <w:pStyle w:val="16"/>
              <w:rPr>
                <w:color w:val="000000" w:themeColor="text1"/>
                <w14:textFill>
                  <w14:solidFill>
                    <w14:schemeClr w14:val="tx1"/>
                  </w14:solidFill>
                </w14:textFill>
              </w:rPr>
            </w:pPr>
          </w:p>
          <w:p w14:paraId="350B1125">
            <w:pPr>
              <w:pStyle w:val="16"/>
              <w:rPr>
                <w:color w:val="000000" w:themeColor="text1"/>
                <w14:textFill>
                  <w14:solidFill>
                    <w14:schemeClr w14:val="tx1"/>
                  </w14:solidFill>
                </w14:textFill>
              </w:rPr>
            </w:pPr>
          </w:p>
          <w:p w14:paraId="293E07EF">
            <w:pPr>
              <w:pStyle w:val="16"/>
              <w:rPr>
                <w:color w:val="000000" w:themeColor="text1"/>
                <w14:textFill>
                  <w14:solidFill>
                    <w14:schemeClr w14:val="tx1"/>
                  </w14:solidFill>
                </w14:textFill>
              </w:rPr>
            </w:pPr>
          </w:p>
          <w:p w14:paraId="31431E43">
            <w:pPr>
              <w:pStyle w:val="16"/>
              <w:rPr>
                <w:color w:val="000000" w:themeColor="text1"/>
                <w14:textFill>
                  <w14:solidFill>
                    <w14:schemeClr w14:val="tx1"/>
                  </w14:solidFill>
                </w14:textFill>
              </w:rPr>
            </w:pPr>
          </w:p>
          <w:p w14:paraId="0070B9A3">
            <w:pPr>
              <w:pStyle w:val="16"/>
              <w:rPr>
                <w:color w:val="000000" w:themeColor="text1"/>
                <w14:textFill>
                  <w14:solidFill>
                    <w14:schemeClr w14:val="tx1"/>
                  </w14:solidFill>
                </w14:textFill>
              </w:rPr>
            </w:pPr>
          </w:p>
          <w:p w14:paraId="5CC3378F">
            <w:pPr>
              <w:pStyle w:val="16"/>
              <w:rPr>
                <w:color w:val="000000" w:themeColor="text1"/>
                <w14:textFill>
                  <w14:solidFill>
                    <w14:schemeClr w14:val="tx1"/>
                  </w14:solidFill>
                </w14:textFill>
              </w:rPr>
            </w:pPr>
          </w:p>
          <w:p w14:paraId="56A85B36">
            <w:pPr>
              <w:pStyle w:val="16"/>
              <w:rPr>
                <w:color w:val="000000" w:themeColor="text1"/>
                <w14:textFill>
                  <w14:solidFill>
                    <w14:schemeClr w14:val="tx1"/>
                  </w14:solidFill>
                </w14:textFill>
              </w:rPr>
            </w:pPr>
          </w:p>
          <w:p w14:paraId="0FE8D1F1">
            <w:pPr>
              <w:pStyle w:val="16"/>
              <w:rPr>
                <w:color w:val="000000" w:themeColor="text1"/>
                <w14:textFill>
                  <w14:solidFill>
                    <w14:schemeClr w14:val="tx1"/>
                  </w14:solidFill>
                </w14:textFill>
              </w:rPr>
            </w:pPr>
          </w:p>
          <w:p w14:paraId="48F8F106">
            <w:pPr>
              <w:pStyle w:val="16"/>
              <w:rPr>
                <w:color w:val="000000" w:themeColor="text1"/>
                <w14:textFill>
                  <w14:solidFill>
                    <w14:schemeClr w14:val="tx1"/>
                  </w14:solidFill>
                </w14:textFill>
              </w:rPr>
            </w:pPr>
          </w:p>
          <w:p w14:paraId="16B99ECC">
            <w:pPr>
              <w:pStyle w:val="16"/>
              <w:rPr>
                <w:color w:val="000000" w:themeColor="text1"/>
                <w14:textFill>
                  <w14:solidFill>
                    <w14:schemeClr w14:val="tx1"/>
                  </w14:solidFill>
                </w14:textFill>
              </w:rPr>
            </w:pPr>
          </w:p>
          <w:p w14:paraId="178CFAC4">
            <w:pPr>
              <w:pStyle w:val="16"/>
              <w:rPr>
                <w:color w:val="000000" w:themeColor="text1"/>
                <w14:textFill>
                  <w14:solidFill>
                    <w14:schemeClr w14:val="tx1"/>
                  </w14:solidFill>
                </w14:textFill>
              </w:rPr>
            </w:pPr>
          </w:p>
          <w:p w14:paraId="4C0C9369">
            <w:pPr>
              <w:pStyle w:val="16"/>
              <w:rPr>
                <w:color w:val="000000" w:themeColor="text1"/>
                <w14:textFill>
                  <w14:solidFill>
                    <w14:schemeClr w14:val="tx1"/>
                  </w14:solidFill>
                </w14:textFill>
              </w:rPr>
            </w:pPr>
          </w:p>
          <w:p w14:paraId="1E58AF4A">
            <w:pPr>
              <w:pStyle w:val="16"/>
              <w:rPr>
                <w:color w:val="000000" w:themeColor="text1"/>
                <w14:textFill>
                  <w14:solidFill>
                    <w14:schemeClr w14:val="tx1"/>
                  </w14:solidFill>
                </w14:textFill>
              </w:rPr>
            </w:pPr>
          </w:p>
          <w:p w14:paraId="158E64F8">
            <w:pPr>
              <w:pStyle w:val="16"/>
              <w:rPr>
                <w:color w:val="000000" w:themeColor="text1"/>
                <w14:textFill>
                  <w14:solidFill>
                    <w14:schemeClr w14:val="tx1"/>
                  </w14:solidFill>
                </w14:textFill>
              </w:rPr>
            </w:pPr>
          </w:p>
          <w:p w14:paraId="11A787F9">
            <w:pPr>
              <w:pStyle w:val="16"/>
              <w:rPr>
                <w:color w:val="000000" w:themeColor="text1"/>
                <w14:textFill>
                  <w14:solidFill>
                    <w14:schemeClr w14:val="tx1"/>
                  </w14:solidFill>
                </w14:textFill>
              </w:rPr>
            </w:pPr>
          </w:p>
          <w:p w14:paraId="3F81BB11">
            <w:pPr>
              <w:pStyle w:val="16"/>
              <w:rPr>
                <w:color w:val="000000" w:themeColor="text1"/>
                <w14:textFill>
                  <w14:solidFill>
                    <w14:schemeClr w14:val="tx1"/>
                  </w14:solidFill>
                </w14:textFill>
              </w:rPr>
            </w:pPr>
          </w:p>
          <w:p w14:paraId="06CFBF24">
            <w:pPr>
              <w:pStyle w:val="16"/>
              <w:rPr>
                <w:color w:val="000000" w:themeColor="text1"/>
                <w14:textFill>
                  <w14:solidFill>
                    <w14:schemeClr w14:val="tx1"/>
                  </w14:solidFill>
                </w14:textFill>
              </w:rPr>
            </w:pPr>
          </w:p>
          <w:p w14:paraId="4C99A982">
            <w:pPr>
              <w:pStyle w:val="16"/>
              <w:rPr>
                <w:color w:val="000000" w:themeColor="text1"/>
                <w14:textFill>
                  <w14:solidFill>
                    <w14:schemeClr w14:val="tx1"/>
                  </w14:solidFill>
                </w14:textFill>
              </w:rPr>
            </w:pPr>
          </w:p>
          <w:p w14:paraId="0A45F9EC">
            <w:pPr>
              <w:pStyle w:val="16"/>
              <w:rPr>
                <w:color w:val="000000" w:themeColor="text1"/>
                <w14:textFill>
                  <w14:solidFill>
                    <w14:schemeClr w14:val="tx1"/>
                  </w14:solidFill>
                </w14:textFill>
              </w:rPr>
            </w:pPr>
          </w:p>
          <w:p w14:paraId="54C74D5E">
            <w:pPr>
              <w:pStyle w:val="16"/>
              <w:rPr>
                <w:color w:val="000000" w:themeColor="text1"/>
                <w14:textFill>
                  <w14:solidFill>
                    <w14:schemeClr w14:val="tx1"/>
                  </w14:solidFill>
                </w14:textFill>
              </w:rPr>
            </w:pPr>
          </w:p>
          <w:p w14:paraId="7FFA5C4E">
            <w:pPr>
              <w:pStyle w:val="16"/>
              <w:rPr>
                <w:color w:val="000000" w:themeColor="text1"/>
                <w14:textFill>
                  <w14:solidFill>
                    <w14:schemeClr w14:val="tx1"/>
                  </w14:solidFill>
                </w14:textFill>
              </w:rPr>
            </w:pPr>
          </w:p>
          <w:p w14:paraId="6F77F0B1">
            <w:pPr>
              <w:pStyle w:val="16"/>
              <w:rPr>
                <w:color w:val="000000" w:themeColor="text1"/>
                <w14:textFill>
                  <w14:solidFill>
                    <w14:schemeClr w14:val="tx1"/>
                  </w14:solidFill>
                </w14:textFill>
              </w:rPr>
            </w:pPr>
          </w:p>
          <w:p w14:paraId="6916A7FC">
            <w:pPr>
              <w:pStyle w:val="16"/>
              <w:rPr>
                <w:rFonts w:hint="eastAsia"/>
                <w:color w:val="000000" w:themeColor="text1"/>
                <w14:textFill>
                  <w14:solidFill>
                    <w14:schemeClr w14:val="tx1"/>
                  </w14:solidFill>
                </w14:textFill>
              </w:rPr>
            </w:pPr>
          </w:p>
          <w:p w14:paraId="255BE328">
            <w:pPr>
              <w:pStyle w:val="16"/>
              <w:rPr>
                <w:rFonts w:hint="eastAsia"/>
                <w:color w:val="000000" w:themeColor="text1"/>
                <w14:textFill>
                  <w14:solidFill>
                    <w14:schemeClr w14:val="tx1"/>
                  </w14:solidFill>
                </w14:textFill>
              </w:rPr>
            </w:pPr>
          </w:p>
          <w:p w14:paraId="789CAF22">
            <w:pPr>
              <w:pStyle w:val="16"/>
              <w:rPr>
                <w:rFonts w:hint="eastAsia"/>
                <w:color w:val="000000" w:themeColor="text1"/>
                <w14:textFill>
                  <w14:solidFill>
                    <w14:schemeClr w14:val="tx1"/>
                  </w14:solidFill>
                </w14:textFill>
              </w:rPr>
            </w:pPr>
          </w:p>
          <w:p w14:paraId="6A9FB0D1">
            <w:pPr>
              <w:pStyle w:val="16"/>
              <w:rPr>
                <w:rFonts w:hint="eastAsia"/>
                <w:color w:val="000000" w:themeColor="text1"/>
                <w14:textFill>
                  <w14:solidFill>
                    <w14:schemeClr w14:val="tx1"/>
                  </w14:solidFill>
                </w14:textFill>
              </w:rPr>
            </w:pPr>
          </w:p>
          <w:p w14:paraId="690C7396">
            <w:pPr>
              <w:pStyle w:val="16"/>
              <w:rPr>
                <w:rFonts w:hint="eastAsia"/>
                <w:color w:val="000000" w:themeColor="text1"/>
                <w14:textFill>
                  <w14:solidFill>
                    <w14:schemeClr w14:val="tx1"/>
                  </w14:solidFill>
                </w14:textFill>
              </w:rPr>
            </w:pPr>
          </w:p>
          <w:p w14:paraId="77C09D89">
            <w:pPr>
              <w:pStyle w:val="16"/>
              <w:rPr>
                <w:rFonts w:hint="eastAsia"/>
                <w:color w:val="000000" w:themeColor="text1"/>
                <w14:textFill>
                  <w14:solidFill>
                    <w14:schemeClr w14:val="tx1"/>
                  </w14:solidFill>
                </w14:textFill>
              </w:rPr>
            </w:pPr>
          </w:p>
          <w:p w14:paraId="0FBAE4D9">
            <w:pPr>
              <w:pStyle w:val="16"/>
              <w:rPr>
                <w:rFonts w:hint="eastAsia"/>
                <w:color w:val="000000" w:themeColor="text1"/>
                <w14:textFill>
                  <w14:solidFill>
                    <w14:schemeClr w14:val="tx1"/>
                  </w14:solidFill>
                </w14:textFill>
              </w:rPr>
            </w:pPr>
          </w:p>
          <w:p w14:paraId="0710BC43">
            <w:pPr>
              <w:pStyle w:val="16"/>
              <w:rPr>
                <w:rFonts w:hint="eastAsia"/>
                <w:color w:val="000000" w:themeColor="text1"/>
                <w14:textFill>
                  <w14:solidFill>
                    <w14:schemeClr w14:val="tx1"/>
                  </w14:solidFill>
                </w14:textFill>
              </w:rPr>
            </w:pPr>
          </w:p>
          <w:p w14:paraId="31497E94">
            <w:pPr>
              <w:pStyle w:val="16"/>
              <w:rPr>
                <w:rFonts w:hint="eastAsia"/>
                <w:color w:val="000000" w:themeColor="text1"/>
                <w14:textFill>
                  <w14:solidFill>
                    <w14:schemeClr w14:val="tx1"/>
                  </w14:solidFill>
                </w14:textFill>
              </w:rPr>
            </w:pPr>
          </w:p>
          <w:p w14:paraId="519789F8">
            <w:pPr>
              <w:pStyle w:val="16"/>
              <w:rPr>
                <w:rFonts w:hint="eastAsia"/>
                <w:color w:val="000000" w:themeColor="text1"/>
                <w14:textFill>
                  <w14:solidFill>
                    <w14:schemeClr w14:val="tx1"/>
                  </w14:solidFill>
                </w14:textFill>
              </w:rPr>
            </w:pPr>
          </w:p>
          <w:p w14:paraId="55925A3D">
            <w:pPr>
              <w:pStyle w:val="16"/>
              <w:rPr>
                <w:rFonts w:hint="eastAsia"/>
                <w:color w:val="000000" w:themeColor="text1"/>
                <w14:textFill>
                  <w14:solidFill>
                    <w14:schemeClr w14:val="tx1"/>
                  </w14:solidFill>
                </w14:textFill>
              </w:rPr>
            </w:pPr>
          </w:p>
          <w:p w14:paraId="0C0CDBFD">
            <w:pPr>
              <w:pStyle w:val="16"/>
              <w:rPr>
                <w:rFonts w:hint="eastAsia"/>
                <w:color w:val="000000" w:themeColor="text1"/>
                <w14:textFill>
                  <w14:solidFill>
                    <w14:schemeClr w14:val="tx1"/>
                  </w14:solidFill>
                </w14:textFill>
              </w:rPr>
            </w:pPr>
          </w:p>
          <w:p w14:paraId="31333303">
            <w:pPr>
              <w:pStyle w:val="16"/>
              <w:rPr>
                <w:rFonts w:hint="eastAsia"/>
                <w:color w:val="000000" w:themeColor="text1"/>
                <w14:textFill>
                  <w14:solidFill>
                    <w14:schemeClr w14:val="tx1"/>
                  </w14:solidFill>
                </w14:textFill>
              </w:rPr>
            </w:pPr>
          </w:p>
          <w:p w14:paraId="2CEC8621">
            <w:pPr>
              <w:pStyle w:val="16"/>
              <w:rPr>
                <w:rFonts w:hint="eastAsia"/>
                <w:color w:val="000000" w:themeColor="text1"/>
                <w14:textFill>
                  <w14:solidFill>
                    <w14:schemeClr w14:val="tx1"/>
                  </w14:solidFill>
                </w14:textFill>
              </w:rPr>
            </w:pPr>
          </w:p>
          <w:p w14:paraId="0AEA1C28">
            <w:pPr>
              <w:pStyle w:val="16"/>
              <w:rPr>
                <w:rFonts w:hint="eastAsia"/>
                <w:color w:val="000000" w:themeColor="text1"/>
                <w14:textFill>
                  <w14:solidFill>
                    <w14:schemeClr w14:val="tx1"/>
                  </w14:solidFill>
                </w14:textFill>
              </w:rPr>
            </w:pPr>
          </w:p>
          <w:p w14:paraId="0403D4C7">
            <w:pPr>
              <w:pStyle w:val="16"/>
              <w:rPr>
                <w:rFonts w:hint="eastAsia"/>
                <w:color w:val="000000" w:themeColor="text1"/>
                <w14:textFill>
                  <w14:solidFill>
                    <w14:schemeClr w14:val="tx1"/>
                  </w14:solidFill>
                </w14:textFill>
              </w:rPr>
            </w:pPr>
          </w:p>
          <w:p w14:paraId="14C637DD">
            <w:pPr>
              <w:pStyle w:val="16"/>
              <w:rPr>
                <w:rFonts w:hint="eastAsia"/>
                <w:color w:val="000000" w:themeColor="text1"/>
                <w14:textFill>
                  <w14:solidFill>
                    <w14:schemeClr w14:val="tx1"/>
                  </w14:solidFill>
                </w14:textFill>
              </w:rPr>
            </w:pPr>
          </w:p>
          <w:p w14:paraId="01730FFC">
            <w:pPr>
              <w:pStyle w:val="16"/>
              <w:rPr>
                <w:rFonts w:hint="eastAsia"/>
                <w:color w:val="000000" w:themeColor="text1"/>
                <w14:textFill>
                  <w14:solidFill>
                    <w14:schemeClr w14:val="tx1"/>
                  </w14:solidFill>
                </w14:textFill>
              </w:rPr>
            </w:pPr>
          </w:p>
          <w:p w14:paraId="681C3D4F">
            <w:pPr>
              <w:pStyle w:val="16"/>
              <w:rPr>
                <w:rFonts w:hint="eastAsia"/>
                <w:color w:val="000000" w:themeColor="text1"/>
                <w14:textFill>
                  <w14:solidFill>
                    <w14:schemeClr w14:val="tx1"/>
                  </w14:solidFill>
                </w14:textFill>
              </w:rPr>
            </w:pPr>
          </w:p>
          <w:p w14:paraId="00D335C6">
            <w:pPr>
              <w:pStyle w:val="16"/>
              <w:rPr>
                <w:rFonts w:hint="eastAsia"/>
                <w:color w:val="000000" w:themeColor="text1"/>
                <w14:textFill>
                  <w14:solidFill>
                    <w14:schemeClr w14:val="tx1"/>
                  </w14:solidFill>
                </w14:textFill>
              </w:rPr>
            </w:pPr>
          </w:p>
          <w:p w14:paraId="5FD7E08B">
            <w:pPr>
              <w:pStyle w:val="16"/>
              <w:rPr>
                <w:rFonts w:hint="eastAsia"/>
                <w:color w:val="000000" w:themeColor="text1"/>
                <w14:textFill>
                  <w14:solidFill>
                    <w14:schemeClr w14:val="tx1"/>
                  </w14:solidFill>
                </w14:textFill>
              </w:rPr>
            </w:pPr>
          </w:p>
          <w:p w14:paraId="4A16E449">
            <w:pPr>
              <w:pStyle w:val="16"/>
              <w:rPr>
                <w:rFonts w:hint="eastAsia"/>
                <w:color w:val="000000" w:themeColor="text1"/>
                <w14:textFill>
                  <w14:solidFill>
                    <w14:schemeClr w14:val="tx1"/>
                  </w14:solidFill>
                </w14:textFill>
              </w:rPr>
            </w:pPr>
          </w:p>
          <w:p w14:paraId="26B6D09A">
            <w:pPr>
              <w:pStyle w:val="16"/>
              <w:rPr>
                <w:rFonts w:hint="eastAsia"/>
                <w:color w:val="000000" w:themeColor="text1"/>
                <w14:textFill>
                  <w14:solidFill>
                    <w14:schemeClr w14:val="tx1"/>
                  </w14:solidFill>
                </w14:textFill>
              </w:rPr>
            </w:pPr>
          </w:p>
          <w:p w14:paraId="6A8F8B93">
            <w:pPr>
              <w:pStyle w:val="16"/>
              <w:rPr>
                <w:rFonts w:hint="eastAsia"/>
                <w:color w:val="000000" w:themeColor="text1"/>
                <w14:textFill>
                  <w14:solidFill>
                    <w14:schemeClr w14:val="tx1"/>
                  </w14:solidFill>
                </w14:textFill>
              </w:rPr>
            </w:pPr>
          </w:p>
          <w:p w14:paraId="4B14DAD1">
            <w:pPr>
              <w:pStyle w:val="16"/>
              <w:rPr>
                <w:rFonts w:hint="eastAsia"/>
                <w:color w:val="000000" w:themeColor="text1"/>
                <w14:textFill>
                  <w14:solidFill>
                    <w14:schemeClr w14:val="tx1"/>
                  </w14:solidFill>
                </w14:textFill>
              </w:rPr>
            </w:pPr>
          </w:p>
          <w:p w14:paraId="464C06B6">
            <w:pPr>
              <w:pStyle w:val="16"/>
              <w:rPr>
                <w:rFonts w:hint="eastAsia"/>
                <w:color w:val="000000" w:themeColor="text1"/>
                <w14:textFill>
                  <w14:solidFill>
                    <w14:schemeClr w14:val="tx1"/>
                  </w14:solidFill>
                </w14:textFill>
              </w:rPr>
            </w:pPr>
          </w:p>
          <w:p w14:paraId="6B8BF5E6">
            <w:pPr>
              <w:pStyle w:val="16"/>
              <w:rPr>
                <w:color w:val="000000" w:themeColor="text1"/>
                <w14:textFill>
                  <w14:solidFill>
                    <w14:schemeClr w14:val="tx1"/>
                  </w14:solidFill>
                </w14:textFill>
              </w:rPr>
            </w:pPr>
          </w:p>
          <w:p w14:paraId="7BF80FF6">
            <w:pPr>
              <w:pStyle w:val="16"/>
              <w:rPr>
                <w:color w:val="000000" w:themeColor="text1"/>
                <w14:textFill>
                  <w14:solidFill>
                    <w14:schemeClr w14:val="tx1"/>
                  </w14:solidFill>
                </w14:textFill>
              </w:rPr>
            </w:pPr>
          </w:p>
          <w:p w14:paraId="3F8CC5B6">
            <w:pPr>
              <w:pStyle w:val="16"/>
              <w:rPr>
                <w:color w:val="000000" w:themeColor="text1"/>
                <w14:textFill>
                  <w14:solidFill>
                    <w14:schemeClr w14:val="tx1"/>
                  </w14:solidFill>
                </w14:textFill>
              </w:rPr>
            </w:pPr>
          </w:p>
        </w:tc>
      </w:tr>
    </w:tbl>
    <w:p w14:paraId="68F93443">
      <w:pPr>
        <w:pStyle w:val="21"/>
        <w:jc w:val="center"/>
        <w:rPr>
          <w:rFonts w:ascii="Times New Roman" w:hAnsi="Times New Roman" w:eastAsia="黑体"/>
          <w:snapToGrid w:val="0"/>
          <w:color w:val="000000" w:themeColor="text1"/>
          <w:sz w:val="36"/>
          <w:szCs w:val="36"/>
          <w14:textFill>
            <w14:solidFill>
              <w14:schemeClr w14:val="tx1"/>
            </w14:solidFill>
          </w14:textFill>
        </w:rPr>
        <w:sectPr>
          <w:pgSz w:w="11906" w:h="16838"/>
          <w:pgMar w:top="1701" w:right="1531" w:bottom="1701" w:left="1531" w:header="851" w:footer="851" w:gutter="0"/>
          <w:cols w:space="720" w:num="1"/>
          <w:docGrid w:linePitch="312" w:charSpace="0"/>
        </w:sectPr>
      </w:pPr>
    </w:p>
    <w:p w14:paraId="623F2CA4">
      <w:pPr>
        <w:pStyle w:val="21"/>
        <w:adjustRightInd w:val="0"/>
        <w:snapToGrid w:val="0"/>
        <w:spacing w:before="0" w:beforeAutospacing="0" w:after="0" w:afterAutospacing="0" w:line="14" w:lineRule="auto"/>
        <w:jc w:val="center"/>
        <w:rPr>
          <w:rFonts w:ascii="Times New Roman" w:hAnsi="Times New Roman" w:eastAsia="黑体"/>
          <w:snapToGrid w:val="0"/>
          <w:color w:val="000000" w:themeColor="text1"/>
          <w:sz w:val="30"/>
          <w:szCs w:val="30"/>
          <w14:textFill>
            <w14:solidFill>
              <w14:schemeClr w14:val="tx1"/>
            </w14:solidFill>
          </w14:textFill>
        </w:rPr>
      </w:pPr>
    </w:p>
    <w:p w14:paraId="1B32D4F2">
      <w:pPr>
        <w:pStyle w:val="21"/>
        <w:spacing w:before="120" w:beforeLines="50" w:beforeAutospacing="0" w:after="120" w:afterLines="50" w:afterAutospacing="0"/>
        <w:jc w:val="center"/>
        <w:outlineLvl w:val="0"/>
        <w:rPr>
          <w:rFonts w:ascii="Times New Roman" w:hAnsi="Times New Roman" w:eastAsia="黑体"/>
          <w:snapToGrid w:val="0"/>
          <w:color w:val="000000" w:themeColor="text1"/>
          <w:sz w:val="30"/>
          <w:szCs w:val="30"/>
          <w14:textFill>
            <w14:solidFill>
              <w14:schemeClr w14:val="tx1"/>
            </w14:solidFill>
          </w14:textFill>
        </w:rPr>
      </w:pPr>
      <w:bookmarkStart w:id="25" w:name="_Toc24964"/>
      <w:r>
        <w:rPr>
          <w:rFonts w:ascii="Times New Roman" w:hAnsi="Times New Roman" w:eastAsia="黑体"/>
          <w:snapToGrid w:val="0"/>
          <w:color w:val="000000" w:themeColor="text1"/>
          <w:sz w:val="30"/>
          <w:szCs w:val="30"/>
          <w14:textFill>
            <w14:solidFill>
              <w14:schemeClr w14:val="tx1"/>
            </w14:solidFill>
          </w14:textFill>
        </w:rPr>
        <w:t>三、区域环境质量现状、环境保护目标及评价标准</w:t>
      </w:r>
      <w:bookmarkEnd w:id="25"/>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190"/>
      </w:tblGrid>
      <w:tr w14:paraId="2980B7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00" w:type="dxa"/>
            <w:vAlign w:val="center"/>
          </w:tcPr>
          <w:p w14:paraId="35F29E4A">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区域</w:t>
            </w:r>
          </w:p>
          <w:p w14:paraId="51FB68A3">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环境</w:t>
            </w:r>
          </w:p>
          <w:p w14:paraId="0E461E15">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质量</w:t>
            </w:r>
          </w:p>
          <w:p w14:paraId="4061802E">
            <w:pPr>
              <w:adjustRightInd w:val="0"/>
              <w:snapToGrid w:val="0"/>
              <w:jc w:val="center"/>
              <w:rPr>
                <w:color w:val="000000" w:themeColor="text1"/>
                <w:kern w:val="0"/>
                <w:szCs w:val="21"/>
                <w14:textFill>
                  <w14:solidFill>
                    <w14:schemeClr w14:val="tx1"/>
                  </w14:solidFill>
                </w14:textFill>
              </w:rPr>
            </w:pPr>
            <w:r>
              <w:rPr>
                <w:color w:val="000000" w:themeColor="text1"/>
                <w:kern w:val="0"/>
                <w:sz w:val="24"/>
                <w14:textFill>
                  <w14:solidFill>
                    <w14:schemeClr w14:val="tx1"/>
                  </w14:solidFill>
                </w14:textFill>
              </w:rPr>
              <w:t>现状</w:t>
            </w:r>
          </w:p>
        </w:tc>
        <w:tc>
          <w:tcPr>
            <w:tcW w:w="8190" w:type="dxa"/>
            <w:vAlign w:val="center"/>
          </w:tcPr>
          <w:p w14:paraId="50B50C77">
            <w:pPr>
              <w:spacing w:line="360" w:lineRule="auto"/>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1、环境空气质量现状</w:t>
            </w:r>
          </w:p>
          <w:p w14:paraId="76CD40F6">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本项目位于云南寻甸产业园区金所片区金所组团内，该区域环境空气质量功能区划为二类区，执行《环境空气质量标准》（GB3095-2026）二级标准。</w:t>
            </w:r>
          </w:p>
          <w:p w14:paraId="2523CBF9">
            <w:pPr>
              <w:spacing w:line="360" w:lineRule="auto"/>
              <w:ind w:firstLine="240" w:firstLine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（1）区域基本污染物环境质量现状</w:t>
            </w:r>
          </w:p>
          <w:p w14:paraId="6EDC8861">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根据《2024年度昆明市生态环境状况公报》可知，2024年昆明市主城区外所辖的8个县（市）、区环境空气质量总体保持良好，各项污染物平均浓度均达到二级标准。因此，项目所在区域为环境空气质量达标区。</w:t>
            </w:r>
          </w:p>
          <w:p w14:paraId="50BD86CC">
            <w:pPr>
              <w:spacing w:line="360" w:lineRule="auto"/>
              <w:ind w:firstLine="240" w:firstLineChars="1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（2）特征因子环境质量现状</w:t>
            </w:r>
          </w:p>
          <w:p w14:paraId="5A02646B">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涉及的特征因子为TSP、臭气浓度。根据《建设项目环境影响报告表内容、格式及编制技术指南常见问题解答》：“排放国家、地方环境空气质量标准中有标准限值要求的特征污染物”，其中环境空气质量标准指《环境空气质量标准》（GB3095）和地方的环境空气质量标准，不包括《环境影响评价技术导则 大气环境》（HJ2.2-2018）附录D、《工业企业设计卫生标准》（TJ36-97）、《前苏联居住区标准》（CH245-71）、《环境影响评价技术导则 制药建设项目》（HJ611-2011）、《大气污染物综合排放标准详解》等导则或参考资料。排放的特征污染物需要在国家、地方环境空气质量标准中有限值要求才涉及现状监测，且优先引用现有监测数据。</w:t>
            </w:r>
          </w:p>
          <w:p w14:paraId="2A5CABE4">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故项目区TSP引用现有的监测数据，臭气浓度在国家、地方环境空气质量标准中无限值要求，不进行现状环境质量评价。</w:t>
            </w:r>
          </w:p>
          <w:p w14:paraId="5FB7DB00">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TSP环境空气质量现状评价引用云南鼎祺检测有限公司于2023年11月30日至12月06日对《云南南磷集团电化有限公司30万吨/年聚氯乙烯及配套原料烧碱项目（二期）及2×25MW综合利用自备电厂环境影响后评价》中公司办公区监测点位（G2）的空气质量现状监测数据，引用监测点位（公司办公区）位于项目区西南侧700m。本项目引用的现状监测点具备类比条件，数据在技术指南要求的“近三年”时限内，且监测至今区域环境未发生较大变化，属于有效数据，故本项目空气质量现状评价引用的数据具有时效性和代表性引用项目监测点位布设见表3-1，本项目与引用监测点位位置关系如下图3-1。</w:t>
            </w:r>
          </w:p>
          <w:p w14:paraId="754231E8">
            <w:pPr>
              <w:pStyle w:val="58"/>
              <w:rPr>
                <w:color w:val="000000" w:themeColor="text1"/>
                <w14:textFill>
                  <w14:solidFill>
                    <w14:schemeClr w14:val="tx1"/>
                  </w14:solidFill>
                </w14:textFill>
              </w:rPr>
            </w:pPr>
            <w:r>
              <w:rPr>
                <w:rFonts w:hint="eastAsia"/>
                <w:color w:val="000000" w:themeColor="text1"/>
                <w14:textFill>
                  <w14:solidFill>
                    <w14:schemeClr w14:val="tx1"/>
                  </w14:solidFill>
                </w14:textFill>
              </w:rPr>
              <w:t>表3-1 监测点位基本信息</w:t>
            </w:r>
          </w:p>
          <w:tbl>
            <w:tblPr>
              <w:tblStyle w:val="25"/>
              <w:tblW w:w="7835"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57" w:type="dxa"/>
                <w:bottom w:w="0" w:type="dxa"/>
                <w:right w:w="57" w:type="dxa"/>
              </w:tblCellMar>
            </w:tblPr>
            <w:tblGrid>
              <w:gridCol w:w="1007"/>
              <w:gridCol w:w="1059"/>
              <w:gridCol w:w="1126"/>
              <w:gridCol w:w="1266"/>
              <w:gridCol w:w="1119"/>
              <w:gridCol w:w="1155"/>
              <w:gridCol w:w="1103"/>
            </w:tblGrid>
            <w:tr w14:paraId="5AFAA4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23" w:hRule="atLeast"/>
              </w:trPr>
              <w:tc>
                <w:tcPr>
                  <w:tcW w:w="642" w:type="pct"/>
                  <w:vMerge w:val="restart"/>
                  <w:tcBorders>
                    <w:tl2br w:val="nil"/>
                    <w:tr2bl w:val="nil"/>
                  </w:tcBorders>
                  <w:vAlign w:val="center"/>
                </w:tcPr>
                <w:p w14:paraId="38D73E04">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监测点名称</w:t>
                  </w:r>
                </w:p>
              </w:tc>
              <w:tc>
                <w:tcPr>
                  <w:tcW w:w="1393" w:type="pct"/>
                  <w:gridSpan w:val="2"/>
                  <w:tcBorders>
                    <w:tl2br w:val="nil"/>
                    <w:tr2bl w:val="nil"/>
                  </w:tcBorders>
                  <w:vAlign w:val="center"/>
                </w:tcPr>
                <w:p w14:paraId="2912B755">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监测点位坐标</w:t>
                  </w:r>
                </w:p>
              </w:tc>
              <w:tc>
                <w:tcPr>
                  <w:tcW w:w="807" w:type="pct"/>
                  <w:vMerge w:val="restart"/>
                  <w:tcBorders>
                    <w:tl2br w:val="nil"/>
                    <w:tr2bl w:val="nil"/>
                  </w:tcBorders>
                  <w:vAlign w:val="center"/>
                </w:tcPr>
                <w:p w14:paraId="54BF5E8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监测因子</w:t>
                  </w:r>
                </w:p>
              </w:tc>
              <w:tc>
                <w:tcPr>
                  <w:tcW w:w="714" w:type="pct"/>
                  <w:vMerge w:val="restart"/>
                  <w:tcBorders>
                    <w:tl2br w:val="nil"/>
                    <w:tr2bl w:val="nil"/>
                  </w:tcBorders>
                  <w:vAlign w:val="center"/>
                </w:tcPr>
                <w:p w14:paraId="427F6522">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监测时段</w:t>
                  </w:r>
                </w:p>
              </w:tc>
              <w:tc>
                <w:tcPr>
                  <w:tcW w:w="737" w:type="pct"/>
                  <w:vMerge w:val="restart"/>
                  <w:tcBorders>
                    <w:tl2br w:val="nil"/>
                    <w:tr2bl w:val="nil"/>
                  </w:tcBorders>
                  <w:vAlign w:val="center"/>
                </w:tcPr>
                <w:p w14:paraId="6C3C3F54">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相对</w:t>
                  </w:r>
                  <w:r>
                    <w:rPr>
                      <w:rFonts w:hint="eastAsia"/>
                      <w:b w:val="0"/>
                      <w:color w:val="000000" w:themeColor="text1"/>
                      <w14:textFill>
                        <w14:solidFill>
                          <w14:schemeClr w14:val="tx1"/>
                        </w14:solidFill>
                      </w14:textFill>
                    </w:rPr>
                    <w:t>本项目</w:t>
                  </w:r>
                  <w:r>
                    <w:rPr>
                      <w:b w:val="0"/>
                      <w:color w:val="000000" w:themeColor="text1"/>
                      <w14:textFill>
                        <w14:solidFill>
                          <w14:schemeClr w14:val="tx1"/>
                        </w14:solidFill>
                      </w14:textFill>
                    </w:rPr>
                    <w:t>厂址方位</w:t>
                  </w:r>
                </w:p>
              </w:tc>
              <w:tc>
                <w:tcPr>
                  <w:tcW w:w="704" w:type="pct"/>
                  <w:vMerge w:val="restart"/>
                  <w:tcBorders>
                    <w:tl2br w:val="nil"/>
                    <w:tr2bl w:val="nil"/>
                  </w:tcBorders>
                  <w:vAlign w:val="center"/>
                </w:tcPr>
                <w:p w14:paraId="732063C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相对</w:t>
                  </w:r>
                  <w:r>
                    <w:rPr>
                      <w:rFonts w:hint="eastAsia"/>
                      <w:b w:val="0"/>
                      <w:color w:val="000000" w:themeColor="text1"/>
                      <w14:textFill>
                        <w14:solidFill>
                          <w14:schemeClr w14:val="tx1"/>
                        </w14:solidFill>
                      </w14:textFill>
                    </w:rPr>
                    <w:t>本项目</w:t>
                  </w:r>
                  <w:r>
                    <w:rPr>
                      <w:b w:val="0"/>
                      <w:color w:val="000000" w:themeColor="text1"/>
                      <w14:textFill>
                        <w14:solidFill>
                          <w14:schemeClr w14:val="tx1"/>
                        </w14:solidFill>
                      </w14:textFill>
                    </w:rPr>
                    <w:t>厂界距离/m</w:t>
                  </w:r>
                </w:p>
              </w:tc>
            </w:tr>
            <w:tr w14:paraId="0AFA98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23" w:hRule="atLeast"/>
              </w:trPr>
              <w:tc>
                <w:tcPr>
                  <w:tcW w:w="642" w:type="pct"/>
                  <w:vMerge w:val="continue"/>
                  <w:tcBorders>
                    <w:tl2br w:val="nil"/>
                    <w:tr2bl w:val="nil"/>
                  </w:tcBorders>
                  <w:shd w:val="clear" w:color="auto" w:fill="auto"/>
                  <w:vAlign w:val="center"/>
                </w:tcPr>
                <w:p w14:paraId="6EDB7F4D">
                  <w:pPr>
                    <w:pStyle w:val="74"/>
                    <w:rPr>
                      <w:b w:val="0"/>
                      <w:color w:val="000000" w:themeColor="text1"/>
                      <w14:textFill>
                        <w14:solidFill>
                          <w14:schemeClr w14:val="tx1"/>
                        </w14:solidFill>
                      </w14:textFill>
                    </w:rPr>
                  </w:pPr>
                </w:p>
              </w:tc>
              <w:tc>
                <w:tcPr>
                  <w:tcW w:w="675" w:type="pct"/>
                  <w:tcBorders>
                    <w:tl2br w:val="nil"/>
                    <w:tr2bl w:val="nil"/>
                  </w:tcBorders>
                  <w:shd w:val="clear" w:color="auto" w:fill="auto"/>
                  <w:vAlign w:val="center"/>
                </w:tcPr>
                <w:p w14:paraId="4DD4CD61">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E</w:t>
                  </w:r>
                </w:p>
              </w:tc>
              <w:tc>
                <w:tcPr>
                  <w:tcW w:w="717" w:type="pct"/>
                  <w:tcBorders>
                    <w:tl2br w:val="nil"/>
                    <w:tr2bl w:val="nil"/>
                  </w:tcBorders>
                  <w:shd w:val="clear" w:color="auto" w:fill="auto"/>
                  <w:vAlign w:val="center"/>
                </w:tcPr>
                <w:p w14:paraId="108DAE59">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N</w:t>
                  </w:r>
                </w:p>
              </w:tc>
              <w:tc>
                <w:tcPr>
                  <w:tcW w:w="807" w:type="pct"/>
                  <w:vMerge w:val="continue"/>
                  <w:tcBorders>
                    <w:tl2br w:val="nil"/>
                    <w:tr2bl w:val="nil"/>
                  </w:tcBorders>
                  <w:shd w:val="clear" w:color="auto" w:fill="auto"/>
                  <w:vAlign w:val="center"/>
                </w:tcPr>
                <w:p w14:paraId="06DAC79A">
                  <w:pPr>
                    <w:pStyle w:val="74"/>
                    <w:rPr>
                      <w:b w:val="0"/>
                      <w:color w:val="000000" w:themeColor="text1"/>
                      <w14:textFill>
                        <w14:solidFill>
                          <w14:schemeClr w14:val="tx1"/>
                        </w14:solidFill>
                      </w14:textFill>
                    </w:rPr>
                  </w:pPr>
                </w:p>
              </w:tc>
              <w:tc>
                <w:tcPr>
                  <w:tcW w:w="714" w:type="pct"/>
                  <w:vMerge w:val="continue"/>
                  <w:tcBorders>
                    <w:tl2br w:val="nil"/>
                    <w:tr2bl w:val="nil"/>
                  </w:tcBorders>
                  <w:shd w:val="clear" w:color="auto" w:fill="auto"/>
                  <w:vAlign w:val="center"/>
                </w:tcPr>
                <w:p w14:paraId="6D67412D">
                  <w:pPr>
                    <w:pStyle w:val="74"/>
                    <w:rPr>
                      <w:b w:val="0"/>
                      <w:color w:val="000000" w:themeColor="text1"/>
                      <w14:textFill>
                        <w14:solidFill>
                          <w14:schemeClr w14:val="tx1"/>
                        </w14:solidFill>
                      </w14:textFill>
                    </w:rPr>
                  </w:pPr>
                </w:p>
              </w:tc>
              <w:tc>
                <w:tcPr>
                  <w:tcW w:w="737" w:type="pct"/>
                  <w:vMerge w:val="continue"/>
                  <w:tcBorders>
                    <w:tl2br w:val="nil"/>
                    <w:tr2bl w:val="nil"/>
                  </w:tcBorders>
                  <w:shd w:val="clear" w:color="000000" w:fill="FFFFFF"/>
                  <w:vAlign w:val="center"/>
                </w:tcPr>
                <w:p w14:paraId="2E8C7079">
                  <w:pPr>
                    <w:pStyle w:val="74"/>
                    <w:rPr>
                      <w:b w:val="0"/>
                      <w:color w:val="000000" w:themeColor="text1"/>
                      <w14:textFill>
                        <w14:solidFill>
                          <w14:schemeClr w14:val="tx1"/>
                        </w14:solidFill>
                      </w14:textFill>
                    </w:rPr>
                  </w:pPr>
                </w:p>
              </w:tc>
              <w:tc>
                <w:tcPr>
                  <w:tcW w:w="704" w:type="pct"/>
                  <w:vMerge w:val="continue"/>
                  <w:tcBorders>
                    <w:tl2br w:val="nil"/>
                    <w:tr2bl w:val="nil"/>
                  </w:tcBorders>
                  <w:vAlign w:val="center"/>
                </w:tcPr>
                <w:p w14:paraId="29F8DCBA">
                  <w:pPr>
                    <w:pStyle w:val="74"/>
                    <w:rPr>
                      <w:b w:val="0"/>
                      <w:color w:val="000000" w:themeColor="text1"/>
                      <w14:textFill>
                        <w14:solidFill>
                          <w14:schemeClr w14:val="tx1"/>
                        </w14:solidFill>
                      </w14:textFill>
                    </w:rPr>
                  </w:pPr>
                </w:p>
              </w:tc>
            </w:tr>
            <w:tr w14:paraId="0A14C0C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23" w:hRule="atLeast"/>
              </w:trPr>
              <w:tc>
                <w:tcPr>
                  <w:tcW w:w="642" w:type="pct"/>
                  <w:tcBorders>
                    <w:tl2br w:val="nil"/>
                    <w:tr2bl w:val="nil"/>
                  </w:tcBorders>
                  <w:vAlign w:val="center"/>
                </w:tcPr>
                <w:p w14:paraId="164D749F">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引用项目公司办公区</w:t>
                  </w:r>
                  <w:r>
                    <w:rPr>
                      <w:b w:val="0"/>
                      <w:color w:val="000000" w:themeColor="text1"/>
                      <w14:textFill>
                        <w14:solidFill>
                          <w14:schemeClr w14:val="tx1"/>
                        </w14:solidFill>
                      </w14:textFill>
                    </w:rPr>
                    <w:t>（G</w:t>
                  </w:r>
                  <w:r>
                    <w:rPr>
                      <w:rFonts w:hint="eastAsia"/>
                      <w:b w:val="0"/>
                      <w:color w:val="000000" w:themeColor="text1"/>
                      <w14:textFill>
                        <w14:solidFill>
                          <w14:schemeClr w14:val="tx1"/>
                        </w14:solidFill>
                      </w14:textFill>
                    </w:rPr>
                    <w:t>2</w:t>
                  </w:r>
                  <w:r>
                    <w:rPr>
                      <w:b w:val="0"/>
                      <w:color w:val="000000" w:themeColor="text1"/>
                      <w14:textFill>
                        <w14:solidFill>
                          <w14:schemeClr w14:val="tx1"/>
                        </w14:solidFill>
                      </w14:textFill>
                    </w:rPr>
                    <w:t>）</w:t>
                  </w:r>
                </w:p>
              </w:tc>
              <w:tc>
                <w:tcPr>
                  <w:tcW w:w="675" w:type="pct"/>
                  <w:tcBorders>
                    <w:tl2br w:val="nil"/>
                    <w:tr2bl w:val="nil"/>
                  </w:tcBorders>
                  <w:vAlign w:val="center"/>
                </w:tcPr>
                <w:p w14:paraId="4BE01432">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103°11′10.574″</w:t>
                  </w:r>
                </w:p>
              </w:tc>
              <w:tc>
                <w:tcPr>
                  <w:tcW w:w="717" w:type="pct"/>
                  <w:tcBorders>
                    <w:tl2br w:val="nil"/>
                    <w:tr2bl w:val="nil"/>
                  </w:tcBorders>
                  <w:vAlign w:val="center"/>
                </w:tcPr>
                <w:p w14:paraId="2B87F37D">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25°33′33.457″</w:t>
                  </w:r>
                </w:p>
              </w:tc>
              <w:tc>
                <w:tcPr>
                  <w:tcW w:w="807" w:type="pct"/>
                  <w:tcBorders>
                    <w:tl2br w:val="nil"/>
                    <w:tr2bl w:val="nil"/>
                  </w:tcBorders>
                  <w:vAlign w:val="center"/>
                </w:tcPr>
                <w:p w14:paraId="7A146BD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TSP</w:t>
                  </w:r>
                </w:p>
              </w:tc>
              <w:tc>
                <w:tcPr>
                  <w:tcW w:w="714" w:type="pct"/>
                  <w:tcBorders>
                    <w:tl2br w:val="nil"/>
                    <w:tr2bl w:val="nil"/>
                  </w:tcBorders>
                  <w:vAlign w:val="center"/>
                </w:tcPr>
                <w:p w14:paraId="6DDA7FBD">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2023.11.30</w:t>
                  </w:r>
                  <w:r>
                    <w:rPr>
                      <w:b w:val="0"/>
                      <w:color w:val="000000" w:themeColor="text1"/>
                      <w14:textFill>
                        <w14:solidFill>
                          <w14:schemeClr w14:val="tx1"/>
                        </w14:solidFill>
                      </w14:textFill>
                    </w:rPr>
                    <w:t>~</w:t>
                  </w:r>
                  <w:r>
                    <w:rPr>
                      <w:rFonts w:hint="eastAsia"/>
                      <w:b w:val="0"/>
                      <w:color w:val="000000" w:themeColor="text1"/>
                      <w14:textFill>
                        <w14:solidFill>
                          <w14:schemeClr w14:val="tx1"/>
                        </w14:solidFill>
                      </w14:textFill>
                    </w:rPr>
                    <w:t>2023.12.6</w:t>
                  </w:r>
                </w:p>
              </w:tc>
              <w:tc>
                <w:tcPr>
                  <w:tcW w:w="737" w:type="pct"/>
                  <w:tcBorders>
                    <w:tl2br w:val="nil"/>
                    <w:tr2bl w:val="nil"/>
                  </w:tcBorders>
                  <w:vAlign w:val="center"/>
                </w:tcPr>
                <w:p w14:paraId="1A50C7DB">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西南侧</w:t>
                  </w:r>
                </w:p>
              </w:tc>
              <w:tc>
                <w:tcPr>
                  <w:tcW w:w="704" w:type="pct"/>
                  <w:tcBorders>
                    <w:tl2br w:val="nil"/>
                    <w:tr2bl w:val="nil"/>
                  </w:tcBorders>
                  <w:vAlign w:val="center"/>
                </w:tcPr>
                <w:p w14:paraId="210834EB">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700</w:t>
                  </w:r>
                </w:p>
              </w:tc>
            </w:tr>
          </w:tbl>
          <w:p w14:paraId="78F573E6">
            <w:pPr>
              <w:rPr>
                <w:color w:val="000000" w:themeColor="text1"/>
                <w14:textFill>
                  <w14:solidFill>
                    <w14:schemeClr w14:val="tx1"/>
                  </w14:solidFill>
                </w14:textFill>
              </w:rPr>
            </w:pPr>
          </w:p>
          <w:tbl>
            <w:tblPr>
              <w:tblStyle w:val="26"/>
              <w:tblW w:w="7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5"/>
            </w:tblGrid>
            <w:tr w14:paraId="0513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0" w:hRule="atLeast"/>
              </w:trPr>
              <w:tc>
                <w:tcPr>
                  <w:tcW w:w="4998" w:type="pct"/>
                  <w:vAlign w:val="center"/>
                </w:tcPr>
                <w:p w14:paraId="50A7AA99">
                  <w:pPr>
                    <w:pStyle w:val="74"/>
                    <w:rPr>
                      <w:color w:val="000000" w:themeColor="text1"/>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1779270</wp:posOffset>
                            </wp:positionH>
                            <wp:positionV relativeFrom="paragraph">
                              <wp:posOffset>1579245</wp:posOffset>
                            </wp:positionV>
                            <wp:extent cx="910590" cy="338455"/>
                            <wp:effectExtent l="0" t="0" r="0" b="0"/>
                            <wp:wrapNone/>
                            <wp:docPr id="8" name="文本框 8"/>
                            <wp:cNvGraphicFramePr/>
                            <a:graphic xmlns:a="http://schemas.openxmlformats.org/drawingml/2006/main">
                              <a:graphicData uri="http://schemas.microsoft.com/office/word/2010/wordprocessingShape">
                                <wps:wsp>
                                  <wps:cNvSpPr txBox="1"/>
                                  <wps:spPr>
                                    <a:xfrm>
                                      <a:off x="2982595" y="5492115"/>
                                      <a:ext cx="910590" cy="3384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873246">
                                        <w:pPr>
                                          <w:rPr>
                                            <w:color w:val="FF0000"/>
                                            <w:sz w:val="28"/>
                                            <w:szCs w:val="28"/>
                                          </w:rPr>
                                        </w:pPr>
                                        <w:r>
                                          <w:rPr>
                                            <w:rFonts w:hint="eastAsia"/>
                                            <w:color w:val="FF0000"/>
                                            <w:sz w:val="28"/>
                                            <w:szCs w:val="28"/>
                                          </w:rPr>
                                          <w:t>700m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0.1pt;margin-top:124.35pt;height:26.65pt;width:71.7pt;z-index:251660288;mso-width-relative:page;mso-height-relative:page;" filled="f" stroked="f" coordsize="21600,21600" o:gfxdata="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05SFLcAAAACwEAAA8AAAAA&#10;AAAAAQAgAAAAIgAAAGRycy9kb3ducmV2LnhtbFBLAQIUABQAAAAIAIdO4kAs0m85SQIAAHEEAAAO&#10;AAAAAAAAAAEAIAAAACsBAABkcnMvZTJvRG9jLnhtbFBLBQYAAAAABgAGAFkBAADmBQAAAAA=&#10;">
                            <v:fill on="f" focussize="0,0"/>
                            <v:stroke on="f" weight="0.5pt"/>
                            <v:imagedata o:title=""/>
                            <o:lock v:ext="edit" aspectratio="f"/>
                            <v:textbox>
                              <w:txbxContent>
                                <w:p w14:paraId="15873246">
                                  <w:pPr>
                                    <w:rPr>
                                      <w:color w:val="FF0000"/>
                                      <w:sz w:val="28"/>
                                      <w:szCs w:val="28"/>
                                    </w:rPr>
                                  </w:pPr>
                                  <w:r>
                                    <w:rPr>
                                      <w:rFonts w:hint="eastAsia"/>
                                      <w:color w:val="FF0000"/>
                                      <w:sz w:val="28"/>
                                      <w:szCs w:val="28"/>
                                    </w:rPr>
                                    <w:t>700m</w:t>
                                  </w:r>
                                </w:p>
                              </w:txbxContent>
                            </v:textbox>
                          </v:shape>
                        </w:pict>
                      </mc:Fallback>
                    </mc:AlternateContent>
                  </w:r>
                  <w:r>
                    <w:rPr>
                      <w:color w:val="000000" w:themeColor="text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191770</wp:posOffset>
                            </wp:positionH>
                            <wp:positionV relativeFrom="paragraph">
                              <wp:posOffset>340360</wp:posOffset>
                            </wp:positionV>
                            <wp:extent cx="2740660" cy="3143250"/>
                            <wp:effectExtent l="9525" t="0" r="12065" b="19050"/>
                            <wp:wrapNone/>
                            <wp:docPr id="7" name="直接箭头连接符 7"/>
                            <wp:cNvGraphicFramePr/>
                            <a:graphic xmlns:a="http://schemas.openxmlformats.org/drawingml/2006/main">
                              <a:graphicData uri="http://schemas.microsoft.com/office/word/2010/wordprocessingShape">
                                <wps:wsp>
                                  <wps:cNvCnPr/>
                                  <wps:spPr>
                                    <a:xfrm flipV="1">
                                      <a:off x="1765935" y="4274820"/>
                                      <a:ext cx="2740660" cy="3143250"/>
                                    </a:xfrm>
                                    <a:prstGeom prst="straightConnector1">
                                      <a:avLst/>
                                    </a:prstGeom>
                                    <a:ln>
                                      <a:solidFill>
                                        <a:srgbClr val="FF0000"/>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15.1pt;margin-top:26.8pt;height:247.5pt;width:215.8pt;z-index:251659264;mso-width-relative:page;mso-height-relative:page;" filled="f" stroked="t" coordsize="21600,21600" o:gfxdata="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CsYkMdgAAAAJAQAADwAAAAAA&#10;AAABACAAAAAiAAAAZHJzL2Rvd25yZXYueG1sUEsBAhQAFAAAAAgAh07iQF+XjXATAgAA5AMAAA4A&#10;AAAAAAAAAQAgAAAAJwEAAGRycy9lMm9Eb2MueG1sUEsFBgAAAAAGAAYAWQEAAKwFAAAAAA==&#10;">
                            <v:fill on="f" focussize="0,0"/>
                            <v:stroke weight="2pt" color="#FF0000 [3204]" joinstyle="round" endarrow="open"/>
                            <v:imagedata o:title=""/>
                            <o:lock v:ext="edit" aspectratio="f"/>
                          </v:shape>
                        </w:pict>
                      </mc:Fallback>
                    </mc:AlternateContent>
                  </w:r>
                  <w:r>
                    <w:rPr>
                      <w:rFonts w:hint="eastAsia"/>
                      <w:color w:val="000000" w:themeColor="text1"/>
                      <w14:textFill>
                        <w14:solidFill>
                          <w14:schemeClr w14:val="tx1"/>
                        </w14:solidFill>
                      </w14:textFill>
                    </w:rPr>
                    <w:drawing>
                      <wp:inline distT="0" distB="0" distL="114300" distR="114300">
                        <wp:extent cx="4834890" cy="3898265"/>
                        <wp:effectExtent l="0" t="0" r="3810" b="6985"/>
                        <wp:docPr id="6" name="图片 6" descr="0099971d-eaa5-4b1f-8b06-8b0528f01e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0099971d-eaa5-4b1f-8b06-8b0528f01ee8"/>
                                <pic:cNvPicPr>
                                  <a:picLocks noChangeAspect="1"/>
                                </pic:cNvPicPr>
                              </pic:nvPicPr>
                              <pic:blipFill>
                                <a:blip r:embed="rId21"/>
                                <a:stretch>
                                  <a:fillRect/>
                                </a:stretch>
                              </pic:blipFill>
                              <pic:spPr>
                                <a:xfrm>
                                  <a:off x="0" y="0"/>
                                  <a:ext cx="4834890" cy="3898265"/>
                                </a:xfrm>
                                <a:prstGeom prst="rect">
                                  <a:avLst/>
                                </a:prstGeom>
                              </pic:spPr>
                            </pic:pic>
                          </a:graphicData>
                        </a:graphic>
                      </wp:inline>
                    </w:drawing>
                  </w:r>
                </w:p>
              </w:tc>
            </w:tr>
          </w:tbl>
          <w:p w14:paraId="3ED97ADA">
            <w:pPr>
              <w:pStyle w:val="58"/>
              <w:rPr>
                <w:color w:val="000000" w:themeColor="text1"/>
                <w14:textFill>
                  <w14:solidFill>
                    <w14:schemeClr w14:val="tx1"/>
                  </w14:solidFill>
                </w14:textFill>
              </w:rPr>
            </w:pPr>
            <w:r>
              <w:rPr>
                <w:rFonts w:hint="eastAsia"/>
                <w:color w:val="000000" w:themeColor="text1"/>
                <w14:textFill>
                  <w14:solidFill>
                    <w14:schemeClr w14:val="tx1"/>
                  </w14:solidFill>
                </w14:textFill>
              </w:rPr>
              <w:t>图3-1  引用环境空气监测点位与本项目位置关系</w:t>
            </w:r>
          </w:p>
          <w:p w14:paraId="6BB3F46D">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大气环境质量现状引用监测结果见下表。</w:t>
            </w:r>
          </w:p>
          <w:p w14:paraId="6F65D57F">
            <w:pPr>
              <w:pStyle w:val="58"/>
              <w:rPr>
                <w:color w:val="000000" w:themeColor="text1"/>
                <w14:textFill>
                  <w14:solidFill>
                    <w14:schemeClr w14:val="tx1"/>
                  </w14:solidFill>
                </w14:textFill>
              </w:rPr>
            </w:pPr>
            <w:r>
              <w:rPr>
                <w:rFonts w:hint="eastAsia"/>
                <w:color w:val="000000" w:themeColor="text1"/>
                <w14:textFill>
                  <w14:solidFill>
                    <w14:schemeClr w14:val="tx1"/>
                  </w14:solidFill>
                </w14:textFill>
              </w:rPr>
              <w:t>表3-2 TSP日均值现状监测结果   单位：ug/m</w:t>
            </w:r>
            <w:r>
              <w:rPr>
                <w:rFonts w:hint="eastAsia"/>
                <w:color w:val="000000" w:themeColor="text1"/>
                <w:vertAlign w:val="superscript"/>
                <w14:textFill>
                  <w14:solidFill>
                    <w14:schemeClr w14:val="tx1"/>
                  </w14:solidFill>
                </w14:textFill>
              </w:rPr>
              <w:t>3</w:t>
            </w:r>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121"/>
              <w:gridCol w:w="1650"/>
              <w:gridCol w:w="1681"/>
              <w:gridCol w:w="1436"/>
              <w:gridCol w:w="962"/>
              <w:gridCol w:w="1111"/>
            </w:tblGrid>
            <w:tr w14:paraId="75E6D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52" w:hRule="atLeast"/>
              </w:trPr>
              <w:tc>
                <w:tcPr>
                  <w:tcW w:w="704" w:type="pct"/>
                  <w:tcMar>
                    <w:left w:w="57" w:type="dxa"/>
                    <w:right w:w="57" w:type="dxa"/>
                  </w:tcMar>
                  <w:vAlign w:val="center"/>
                </w:tcPr>
                <w:p w14:paraId="73E61A9E">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检测点位</w:t>
                  </w:r>
                </w:p>
              </w:tc>
              <w:tc>
                <w:tcPr>
                  <w:tcW w:w="1035" w:type="pct"/>
                  <w:tcMar>
                    <w:left w:w="57" w:type="dxa"/>
                    <w:right w:w="57" w:type="dxa"/>
                  </w:tcMar>
                  <w:vAlign w:val="center"/>
                </w:tcPr>
                <w:p w14:paraId="284B3DB6">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检测日期</w:t>
                  </w:r>
                </w:p>
              </w:tc>
              <w:tc>
                <w:tcPr>
                  <w:tcW w:w="1055" w:type="pct"/>
                  <w:tcMar>
                    <w:left w:w="57" w:type="dxa"/>
                    <w:right w:w="57" w:type="dxa"/>
                  </w:tcMar>
                  <w:vAlign w:val="center"/>
                </w:tcPr>
                <w:p w14:paraId="6A687BE5">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采样</w:t>
                  </w:r>
                  <w:r>
                    <w:rPr>
                      <w:rFonts w:hint="eastAsia"/>
                      <w:b w:val="0"/>
                      <w:color w:val="000000" w:themeColor="text1"/>
                      <w14:textFill>
                        <w14:solidFill>
                          <w14:schemeClr w14:val="tx1"/>
                        </w14:solidFill>
                      </w14:textFill>
                    </w:rPr>
                    <w:t>时间</w:t>
                  </w:r>
                </w:p>
              </w:tc>
              <w:tc>
                <w:tcPr>
                  <w:tcW w:w="901" w:type="pct"/>
                  <w:tcMar>
                    <w:left w:w="57" w:type="dxa"/>
                    <w:right w:w="57" w:type="dxa"/>
                  </w:tcMar>
                  <w:vAlign w:val="center"/>
                </w:tcPr>
                <w:p w14:paraId="0D51AECB">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检测结果</w:t>
                  </w:r>
                </w:p>
              </w:tc>
              <w:tc>
                <w:tcPr>
                  <w:tcW w:w="604" w:type="pct"/>
                  <w:tcMar>
                    <w:left w:w="57" w:type="dxa"/>
                    <w:right w:w="57" w:type="dxa"/>
                  </w:tcMar>
                  <w:vAlign w:val="center"/>
                </w:tcPr>
                <w:p w14:paraId="68E5E8F6">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标准</w:t>
                  </w:r>
                </w:p>
              </w:tc>
              <w:tc>
                <w:tcPr>
                  <w:tcW w:w="698" w:type="pct"/>
                  <w:tcMar>
                    <w:left w:w="57" w:type="dxa"/>
                    <w:right w:w="57" w:type="dxa"/>
                  </w:tcMar>
                  <w:vAlign w:val="center"/>
                </w:tcPr>
                <w:p w14:paraId="760277A7">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达标情况</w:t>
                  </w:r>
                </w:p>
              </w:tc>
            </w:tr>
            <w:tr w14:paraId="7C8AA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704" w:type="pct"/>
                  <w:vMerge w:val="restart"/>
                  <w:tcMar>
                    <w:left w:w="57" w:type="dxa"/>
                    <w:right w:w="57" w:type="dxa"/>
                  </w:tcMar>
                  <w:vAlign w:val="center"/>
                </w:tcPr>
                <w:p w14:paraId="175A36A6">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G2：公司办公区</w:t>
                  </w:r>
                </w:p>
              </w:tc>
              <w:tc>
                <w:tcPr>
                  <w:tcW w:w="1035" w:type="pct"/>
                  <w:tcMar>
                    <w:left w:w="57" w:type="dxa"/>
                    <w:right w:w="57" w:type="dxa"/>
                  </w:tcMar>
                  <w:vAlign w:val="center"/>
                </w:tcPr>
                <w:p w14:paraId="368C37C4">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2023-11-30</w:t>
                  </w:r>
                </w:p>
              </w:tc>
              <w:tc>
                <w:tcPr>
                  <w:tcW w:w="1055" w:type="pct"/>
                  <w:tcMar>
                    <w:left w:w="57" w:type="dxa"/>
                    <w:right w:w="57" w:type="dxa"/>
                  </w:tcMar>
                  <w:vAlign w:val="center"/>
                </w:tcPr>
                <w:p w14:paraId="597A422F">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00:00~24:00</w:t>
                  </w:r>
                </w:p>
              </w:tc>
              <w:tc>
                <w:tcPr>
                  <w:tcW w:w="901" w:type="pct"/>
                  <w:tcMar>
                    <w:left w:w="57" w:type="dxa"/>
                    <w:right w:w="57" w:type="dxa"/>
                  </w:tcMar>
                  <w:vAlign w:val="center"/>
                </w:tcPr>
                <w:p w14:paraId="36C26B1C">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221</w:t>
                  </w:r>
                </w:p>
              </w:tc>
              <w:tc>
                <w:tcPr>
                  <w:tcW w:w="604" w:type="pct"/>
                  <w:tcMar>
                    <w:left w:w="57" w:type="dxa"/>
                    <w:right w:w="57" w:type="dxa"/>
                  </w:tcMar>
                  <w:vAlign w:val="center"/>
                </w:tcPr>
                <w:p w14:paraId="6B0B2BE2">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300</w:t>
                  </w:r>
                </w:p>
              </w:tc>
              <w:tc>
                <w:tcPr>
                  <w:tcW w:w="698" w:type="pct"/>
                  <w:tcMar>
                    <w:left w:w="57" w:type="dxa"/>
                    <w:right w:w="57" w:type="dxa"/>
                  </w:tcMar>
                  <w:vAlign w:val="center"/>
                </w:tcPr>
                <w:p w14:paraId="0B243F39">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w:t>
                  </w:r>
                </w:p>
              </w:tc>
            </w:tr>
            <w:tr w14:paraId="0CC24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704" w:type="pct"/>
                  <w:vMerge w:val="continue"/>
                  <w:tcMar>
                    <w:left w:w="57" w:type="dxa"/>
                    <w:right w:w="57" w:type="dxa"/>
                  </w:tcMar>
                  <w:vAlign w:val="center"/>
                </w:tcPr>
                <w:p w14:paraId="453E335C">
                  <w:pPr>
                    <w:pStyle w:val="74"/>
                    <w:rPr>
                      <w:b w:val="0"/>
                      <w:color w:val="000000" w:themeColor="text1"/>
                      <w14:textFill>
                        <w14:solidFill>
                          <w14:schemeClr w14:val="tx1"/>
                        </w14:solidFill>
                      </w14:textFill>
                    </w:rPr>
                  </w:pPr>
                </w:p>
              </w:tc>
              <w:tc>
                <w:tcPr>
                  <w:tcW w:w="1035" w:type="pct"/>
                  <w:tcMar>
                    <w:left w:w="57" w:type="dxa"/>
                    <w:right w:w="57" w:type="dxa"/>
                  </w:tcMar>
                  <w:vAlign w:val="center"/>
                </w:tcPr>
                <w:p w14:paraId="025D955C">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2023-12-01</w:t>
                  </w:r>
                </w:p>
              </w:tc>
              <w:tc>
                <w:tcPr>
                  <w:tcW w:w="1055" w:type="pct"/>
                  <w:tcMar>
                    <w:left w:w="57" w:type="dxa"/>
                    <w:right w:w="57" w:type="dxa"/>
                  </w:tcMar>
                  <w:vAlign w:val="center"/>
                </w:tcPr>
                <w:p w14:paraId="39E004F9">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00:00~24:00</w:t>
                  </w:r>
                </w:p>
              </w:tc>
              <w:tc>
                <w:tcPr>
                  <w:tcW w:w="901" w:type="pct"/>
                  <w:tcMar>
                    <w:left w:w="57" w:type="dxa"/>
                    <w:right w:w="57" w:type="dxa"/>
                  </w:tcMar>
                  <w:vAlign w:val="center"/>
                </w:tcPr>
                <w:p w14:paraId="71D83F76">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225</w:t>
                  </w:r>
                </w:p>
              </w:tc>
              <w:tc>
                <w:tcPr>
                  <w:tcW w:w="604" w:type="pct"/>
                  <w:tcMar>
                    <w:left w:w="57" w:type="dxa"/>
                    <w:right w:w="57" w:type="dxa"/>
                  </w:tcMar>
                  <w:vAlign w:val="center"/>
                </w:tcPr>
                <w:p w14:paraId="73244E20">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300</w:t>
                  </w:r>
                </w:p>
              </w:tc>
              <w:tc>
                <w:tcPr>
                  <w:tcW w:w="698" w:type="pct"/>
                  <w:tcMar>
                    <w:left w:w="57" w:type="dxa"/>
                    <w:right w:w="57" w:type="dxa"/>
                  </w:tcMar>
                  <w:vAlign w:val="center"/>
                </w:tcPr>
                <w:p w14:paraId="1170485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w:t>
                  </w:r>
                </w:p>
              </w:tc>
            </w:tr>
            <w:tr w14:paraId="5F92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704" w:type="pct"/>
                  <w:vMerge w:val="continue"/>
                  <w:tcMar>
                    <w:left w:w="57" w:type="dxa"/>
                    <w:right w:w="57" w:type="dxa"/>
                  </w:tcMar>
                  <w:vAlign w:val="center"/>
                </w:tcPr>
                <w:p w14:paraId="405CF59A">
                  <w:pPr>
                    <w:pStyle w:val="74"/>
                    <w:rPr>
                      <w:b w:val="0"/>
                      <w:color w:val="000000" w:themeColor="text1"/>
                      <w14:textFill>
                        <w14:solidFill>
                          <w14:schemeClr w14:val="tx1"/>
                        </w14:solidFill>
                      </w14:textFill>
                    </w:rPr>
                  </w:pPr>
                </w:p>
              </w:tc>
              <w:tc>
                <w:tcPr>
                  <w:tcW w:w="1035" w:type="pct"/>
                  <w:tcMar>
                    <w:left w:w="57" w:type="dxa"/>
                    <w:right w:w="57" w:type="dxa"/>
                  </w:tcMar>
                  <w:vAlign w:val="center"/>
                </w:tcPr>
                <w:p w14:paraId="575E8F14">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2023-12-02</w:t>
                  </w:r>
                </w:p>
              </w:tc>
              <w:tc>
                <w:tcPr>
                  <w:tcW w:w="1055" w:type="pct"/>
                  <w:tcMar>
                    <w:left w:w="57" w:type="dxa"/>
                    <w:right w:w="57" w:type="dxa"/>
                  </w:tcMar>
                  <w:vAlign w:val="center"/>
                </w:tcPr>
                <w:p w14:paraId="5406B681">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00:00~24:00</w:t>
                  </w:r>
                </w:p>
              </w:tc>
              <w:tc>
                <w:tcPr>
                  <w:tcW w:w="901" w:type="pct"/>
                  <w:tcMar>
                    <w:left w:w="57" w:type="dxa"/>
                    <w:right w:w="57" w:type="dxa"/>
                  </w:tcMar>
                  <w:vAlign w:val="center"/>
                </w:tcPr>
                <w:p w14:paraId="7B00F6F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237</w:t>
                  </w:r>
                </w:p>
              </w:tc>
              <w:tc>
                <w:tcPr>
                  <w:tcW w:w="604" w:type="pct"/>
                  <w:tcMar>
                    <w:left w:w="57" w:type="dxa"/>
                    <w:right w:w="57" w:type="dxa"/>
                  </w:tcMar>
                  <w:vAlign w:val="center"/>
                </w:tcPr>
                <w:p w14:paraId="7DC1B03F">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300</w:t>
                  </w:r>
                </w:p>
              </w:tc>
              <w:tc>
                <w:tcPr>
                  <w:tcW w:w="698" w:type="pct"/>
                  <w:tcMar>
                    <w:left w:w="57" w:type="dxa"/>
                    <w:right w:w="57" w:type="dxa"/>
                  </w:tcMar>
                  <w:vAlign w:val="center"/>
                </w:tcPr>
                <w:p w14:paraId="4A58CEEC">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w:t>
                  </w:r>
                </w:p>
              </w:tc>
            </w:tr>
            <w:tr w14:paraId="35444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704" w:type="pct"/>
                  <w:vMerge w:val="continue"/>
                  <w:tcMar>
                    <w:left w:w="57" w:type="dxa"/>
                    <w:right w:w="57" w:type="dxa"/>
                  </w:tcMar>
                  <w:vAlign w:val="center"/>
                </w:tcPr>
                <w:p w14:paraId="7ACE1E70">
                  <w:pPr>
                    <w:pStyle w:val="74"/>
                    <w:rPr>
                      <w:b w:val="0"/>
                      <w:color w:val="000000" w:themeColor="text1"/>
                      <w14:textFill>
                        <w14:solidFill>
                          <w14:schemeClr w14:val="tx1"/>
                        </w14:solidFill>
                      </w14:textFill>
                    </w:rPr>
                  </w:pPr>
                </w:p>
              </w:tc>
              <w:tc>
                <w:tcPr>
                  <w:tcW w:w="1035" w:type="pct"/>
                  <w:tcMar>
                    <w:left w:w="57" w:type="dxa"/>
                    <w:right w:w="57" w:type="dxa"/>
                  </w:tcMar>
                  <w:vAlign w:val="center"/>
                </w:tcPr>
                <w:p w14:paraId="1A174EFB">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2023-12-03</w:t>
                  </w:r>
                </w:p>
              </w:tc>
              <w:tc>
                <w:tcPr>
                  <w:tcW w:w="1055" w:type="pct"/>
                  <w:tcMar>
                    <w:left w:w="57" w:type="dxa"/>
                    <w:right w:w="57" w:type="dxa"/>
                  </w:tcMar>
                  <w:vAlign w:val="center"/>
                </w:tcPr>
                <w:p w14:paraId="17F2A93A">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00:00~24:00</w:t>
                  </w:r>
                </w:p>
              </w:tc>
              <w:tc>
                <w:tcPr>
                  <w:tcW w:w="901" w:type="pct"/>
                  <w:tcMar>
                    <w:left w:w="57" w:type="dxa"/>
                    <w:right w:w="57" w:type="dxa"/>
                  </w:tcMar>
                  <w:vAlign w:val="center"/>
                </w:tcPr>
                <w:p w14:paraId="108B8DB0">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213</w:t>
                  </w:r>
                </w:p>
              </w:tc>
              <w:tc>
                <w:tcPr>
                  <w:tcW w:w="604" w:type="pct"/>
                  <w:tcMar>
                    <w:left w:w="57" w:type="dxa"/>
                    <w:right w:w="57" w:type="dxa"/>
                  </w:tcMar>
                  <w:vAlign w:val="center"/>
                </w:tcPr>
                <w:p w14:paraId="672DFAAA">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300</w:t>
                  </w:r>
                </w:p>
              </w:tc>
              <w:tc>
                <w:tcPr>
                  <w:tcW w:w="698" w:type="pct"/>
                  <w:tcMar>
                    <w:left w:w="57" w:type="dxa"/>
                    <w:right w:w="57" w:type="dxa"/>
                  </w:tcMar>
                  <w:vAlign w:val="center"/>
                </w:tcPr>
                <w:p w14:paraId="04FA166F">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w:t>
                  </w:r>
                </w:p>
              </w:tc>
            </w:tr>
            <w:tr w14:paraId="3B672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704" w:type="pct"/>
                  <w:vMerge w:val="continue"/>
                  <w:tcMar>
                    <w:left w:w="57" w:type="dxa"/>
                    <w:right w:w="57" w:type="dxa"/>
                  </w:tcMar>
                  <w:vAlign w:val="center"/>
                </w:tcPr>
                <w:p w14:paraId="28D694EF">
                  <w:pPr>
                    <w:pStyle w:val="74"/>
                    <w:rPr>
                      <w:b w:val="0"/>
                      <w:color w:val="000000" w:themeColor="text1"/>
                      <w14:textFill>
                        <w14:solidFill>
                          <w14:schemeClr w14:val="tx1"/>
                        </w14:solidFill>
                      </w14:textFill>
                    </w:rPr>
                  </w:pPr>
                </w:p>
              </w:tc>
              <w:tc>
                <w:tcPr>
                  <w:tcW w:w="1035" w:type="pct"/>
                  <w:tcMar>
                    <w:left w:w="57" w:type="dxa"/>
                    <w:right w:w="57" w:type="dxa"/>
                  </w:tcMar>
                  <w:vAlign w:val="center"/>
                </w:tcPr>
                <w:p w14:paraId="59A6AC40">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2023-12-04</w:t>
                  </w:r>
                </w:p>
              </w:tc>
              <w:tc>
                <w:tcPr>
                  <w:tcW w:w="1055" w:type="pct"/>
                  <w:tcMar>
                    <w:left w:w="57" w:type="dxa"/>
                    <w:right w:w="57" w:type="dxa"/>
                  </w:tcMar>
                  <w:vAlign w:val="center"/>
                </w:tcPr>
                <w:p w14:paraId="6BF1892B">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00:00~24:00</w:t>
                  </w:r>
                </w:p>
              </w:tc>
              <w:tc>
                <w:tcPr>
                  <w:tcW w:w="901" w:type="pct"/>
                  <w:tcMar>
                    <w:left w:w="57" w:type="dxa"/>
                    <w:right w:w="57" w:type="dxa"/>
                  </w:tcMar>
                  <w:vAlign w:val="center"/>
                </w:tcPr>
                <w:p w14:paraId="461A2777">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219</w:t>
                  </w:r>
                </w:p>
              </w:tc>
              <w:tc>
                <w:tcPr>
                  <w:tcW w:w="604" w:type="pct"/>
                  <w:tcMar>
                    <w:left w:w="57" w:type="dxa"/>
                    <w:right w:w="57" w:type="dxa"/>
                  </w:tcMar>
                  <w:vAlign w:val="center"/>
                </w:tcPr>
                <w:p w14:paraId="1535879C">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300</w:t>
                  </w:r>
                </w:p>
              </w:tc>
              <w:tc>
                <w:tcPr>
                  <w:tcW w:w="698" w:type="pct"/>
                  <w:tcMar>
                    <w:left w:w="57" w:type="dxa"/>
                    <w:right w:w="57" w:type="dxa"/>
                  </w:tcMar>
                  <w:vAlign w:val="center"/>
                </w:tcPr>
                <w:p w14:paraId="29D75530">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w:t>
                  </w:r>
                </w:p>
              </w:tc>
            </w:tr>
            <w:tr w14:paraId="39391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704" w:type="pct"/>
                  <w:vMerge w:val="continue"/>
                  <w:tcMar>
                    <w:left w:w="57" w:type="dxa"/>
                    <w:right w:w="57" w:type="dxa"/>
                  </w:tcMar>
                  <w:vAlign w:val="center"/>
                </w:tcPr>
                <w:p w14:paraId="669085B4">
                  <w:pPr>
                    <w:pStyle w:val="74"/>
                    <w:rPr>
                      <w:b w:val="0"/>
                      <w:color w:val="000000" w:themeColor="text1"/>
                      <w14:textFill>
                        <w14:solidFill>
                          <w14:schemeClr w14:val="tx1"/>
                        </w14:solidFill>
                      </w14:textFill>
                    </w:rPr>
                  </w:pPr>
                </w:p>
              </w:tc>
              <w:tc>
                <w:tcPr>
                  <w:tcW w:w="1035" w:type="pct"/>
                  <w:tcMar>
                    <w:left w:w="57" w:type="dxa"/>
                    <w:right w:w="57" w:type="dxa"/>
                  </w:tcMar>
                  <w:vAlign w:val="center"/>
                </w:tcPr>
                <w:p w14:paraId="0F066F8D">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2023-12-05</w:t>
                  </w:r>
                </w:p>
              </w:tc>
              <w:tc>
                <w:tcPr>
                  <w:tcW w:w="1055" w:type="pct"/>
                  <w:tcMar>
                    <w:left w:w="57" w:type="dxa"/>
                    <w:right w:w="57" w:type="dxa"/>
                  </w:tcMar>
                  <w:vAlign w:val="center"/>
                </w:tcPr>
                <w:p w14:paraId="39B48FE6">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00:00~24:00</w:t>
                  </w:r>
                </w:p>
              </w:tc>
              <w:tc>
                <w:tcPr>
                  <w:tcW w:w="901" w:type="pct"/>
                  <w:tcMar>
                    <w:left w:w="57" w:type="dxa"/>
                    <w:right w:w="57" w:type="dxa"/>
                  </w:tcMar>
                  <w:vAlign w:val="center"/>
                </w:tcPr>
                <w:p w14:paraId="1E395124">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204</w:t>
                  </w:r>
                </w:p>
              </w:tc>
              <w:tc>
                <w:tcPr>
                  <w:tcW w:w="604" w:type="pct"/>
                  <w:tcMar>
                    <w:left w:w="57" w:type="dxa"/>
                    <w:right w:w="57" w:type="dxa"/>
                  </w:tcMar>
                  <w:vAlign w:val="center"/>
                </w:tcPr>
                <w:p w14:paraId="538F5C60">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300</w:t>
                  </w:r>
                </w:p>
              </w:tc>
              <w:tc>
                <w:tcPr>
                  <w:tcW w:w="698" w:type="pct"/>
                  <w:tcMar>
                    <w:left w:w="57" w:type="dxa"/>
                    <w:right w:w="57" w:type="dxa"/>
                  </w:tcMar>
                  <w:vAlign w:val="center"/>
                </w:tcPr>
                <w:p w14:paraId="602A6548">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w:t>
                  </w:r>
                </w:p>
              </w:tc>
            </w:tr>
            <w:tr w14:paraId="1A15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9" w:hRule="atLeast"/>
              </w:trPr>
              <w:tc>
                <w:tcPr>
                  <w:tcW w:w="704" w:type="pct"/>
                  <w:vMerge w:val="continue"/>
                  <w:tcMar>
                    <w:left w:w="57" w:type="dxa"/>
                    <w:right w:w="57" w:type="dxa"/>
                  </w:tcMar>
                  <w:vAlign w:val="center"/>
                </w:tcPr>
                <w:p w14:paraId="3AE2A38B">
                  <w:pPr>
                    <w:pStyle w:val="74"/>
                    <w:rPr>
                      <w:b w:val="0"/>
                      <w:color w:val="000000" w:themeColor="text1"/>
                      <w14:textFill>
                        <w14:solidFill>
                          <w14:schemeClr w14:val="tx1"/>
                        </w14:solidFill>
                      </w14:textFill>
                    </w:rPr>
                  </w:pPr>
                </w:p>
              </w:tc>
              <w:tc>
                <w:tcPr>
                  <w:tcW w:w="1035" w:type="pct"/>
                  <w:tcMar>
                    <w:left w:w="57" w:type="dxa"/>
                    <w:right w:w="57" w:type="dxa"/>
                  </w:tcMar>
                  <w:vAlign w:val="center"/>
                </w:tcPr>
                <w:p w14:paraId="2568007F">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2023-12-06</w:t>
                  </w:r>
                </w:p>
              </w:tc>
              <w:tc>
                <w:tcPr>
                  <w:tcW w:w="1055" w:type="pct"/>
                  <w:tcMar>
                    <w:left w:w="57" w:type="dxa"/>
                    <w:right w:w="57" w:type="dxa"/>
                  </w:tcMar>
                  <w:vAlign w:val="center"/>
                </w:tcPr>
                <w:p w14:paraId="6C9DD703">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00:00~24:00</w:t>
                  </w:r>
                </w:p>
              </w:tc>
              <w:tc>
                <w:tcPr>
                  <w:tcW w:w="901" w:type="pct"/>
                  <w:tcMar>
                    <w:left w:w="57" w:type="dxa"/>
                    <w:right w:w="57" w:type="dxa"/>
                  </w:tcMar>
                  <w:vAlign w:val="center"/>
                </w:tcPr>
                <w:p w14:paraId="0E078CFE">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241</w:t>
                  </w:r>
                </w:p>
              </w:tc>
              <w:tc>
                <w:tcPr>
                  <w:tcW w:w="604" w:type="pct"/>
                  <w:tcMar>
                    <w:left w:w="57" w:type="dxa"/>
                    <w:right w:w="57" w:type="dxa"/>
                  </w:tcMar>
                  <w:vAlign w:val="center"/>
                </w:tcPr>
                <w:p w14:paraId="35EAD321">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300</w:t>
                  </w:r>
                </w:p>
              </w:tc>
              <w:tc>
                <w:tcPr>
                  <w:tcW w:w="698" w:type="pct"/>
                  <w:tcMar>
                    <w:left w:w="57" w:type="dxa"/>
                    <w:right w:w="57" w:type="dxa"/>
                  </w:tcMar>
                  <w:vAlign w:val="center"/>
                </w:tcPr>
                <w:p w14:paraId="18A7FFB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w:t>
                  </w:r>
                </w:p>
              </w:tc>
            </w:tr>
          </w:tbl>
          <w:p w14:paraId="712B5665">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根据引用监测结果可知，引用监测点TSP日均值浓度能够达到《环境空气质量标准》（GB3095-2026）二级评价标准要求。项目区环境空气质量满足功能区要求。</w:t>
            </w:r>
          </w:p>
          <w:p w14:paraId="28C4A670">
            <w:pPr>
              <w:spacing w:line="360" w:lineRule="auto"/>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2、地表水环境质量现状</w:t>
            </w:r>
          </w:p>
          <w:p w14:paraId="6C99EE7C">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距离最近的地表水体为北侧1200m处的谓所河，该河经暗河进入三月三水库再流入项目东面6.6km处的前进河，最终汇入东面12km处的牛栏江，根据支流水质不低于干流水质的原则，谓所河、三月三水库执行《地表水环境质量标准》（GB 3838-2002）Ⅲ类水质标准。</w:t>
            </w:r>
          </w:p>
          <w:p w14:paraId="43DBF7EA">
            <w:pPr>
              <w:pStyle w:val="21"/>
              <w:adjustRightInd w:val="0"/>
              <w:snapToGrid w:val="0"/>
              <w:spacing w:before="0" w:beforeAutospacing="0" w:after="0" w:afterAutospacing="0" w:line="360" w:lineRule="auto"/>
              <w:ind w:firstLine="482"/>
              <w:textAlignment w:val="center"/>
              <w:rPr>
                <w:rFonts w:ascii="Times New Roman" w:hAnsi="Times New Roman"/>
                <w:color w:val="000000" w:themeColor="text1"/>
                <w14:textFill>
                  <w14:solidFill>
                    <w14:schemeClr w14:val="tx1"/>
                  </w14:solidFill>
                </w14:textFill>
              </w:rPr>
            </w:pPr>
            <w:r>
              <w:rPr>
                <w:rFonts w:hint="eastAsia"/>
                <w:color w:val="000000" w:themeColor="text1"/>
                <w14:textFill>
                  <w14:solidFill>
                    <w14:schemeClr w14:val="tx1"/>
                  </w14:solidFill>
                </w14:textFill>
              </w:rPr>
              <w:t>根据《寻甸产业园区金所片区工业废水依托城镇污水处理厂处理可行性评估报告》（2025年6月），三月三水库寻甸县设有常规市控监测断面，收集到</w:t>
            </w:r>
            <w:r>
              <w:rPr>
                <w:rFonts w:ascii="Times New Roman" w:hAnsi="Times New Roman"/>
                <w:color w:val="000000" w:themeColor="text1"/>
                <w14:textFill>
                  <w14:solidFill>
                    <w14:schemeClr w14:val="tx1"/>
                  </w14:solidFill>
                </w14:textFill>
              </w:rPr>
              <w:t>寻甸县环境监测站</w:t>
            </w:r>
            <w:r>
              <w:rPr>
                <w:rFonts w:hint="eastAsia" w:ascii="Times New Roman" w:hAnsi="Times New Roman"/>
                <w:color w:val="000000" w:themeColor="text1"/>
                <w14:textFill>
                  <w14:solidFill>
                    <w14:schemeClr w14:val="tx1"/>
                  </w14:solidFill>
                </w14:textFill>
              </w:rPr>
              <w:t>2024年</w:t>
            </w:r>
            <w:r>
              <w:rPr>
                <w:rFonts w:ascii="Times New Roman" w:hAnsi="Times New Roman"/>
                <w:color w:val="000000" w:themeColor="text1"/>
                <w14:textFill>
                  <w14:solidFill>
                    <w14:schemeClr w14:val="tx1"/>
                  </w14:solidFill>
                </w14:textFill>
              </w:rPr>
              <w:t>三月三水库水质例行监测数据，监测统计结果见</w:t>
            </w:r>
            <w:r>
              <w:rPr>
                <w:rFonts w:hint="eastAsia" w:ascii="Times New Roman" w:hAnsi="Times New Roman"/>
                <w:color w:val="000000" w:themeColor="text1"/>
                <w14:textFill>
                  <w14:solidFill>
                    <w14:schemeClr w14:val="tx1"/>
                  </w14:solidFill>
                </w14:textFill>
              </w:rPr>
              <w:t>下表</w:t>
            </w:r>
            <w:r>
              <w:rPr>
                <w:rFonts w:ascii="Times New Roman" w:hAnsi="Times New Roman"/>
                <w:color w:val="000000" w:themeColor="text1"/>
                <w14:textFill>
                  <w14:solidFill>
                    <w14:schemeClr w14:val="tx1"/>
                  </w14:solidFill>
                </w14:textFill>
              </w:rPr>
              <w:t>。</w:t>
            </w:r>
          </w:p>
          <w:p w14:paraId="7E69A803">
            <w:pPr>
              <w:pStyle w:val="21"/>
              <w:adjustRightInd w:val="0"/>
              <w:snapToGrid w:val="0"/>
              <w:spacing w:before="0" w:beforeAutospacing="0" w:after="0" w:afterAutospacing="0"/>
              <w:jc w:val="center"/>
              <w:textAlignment w:val="center"/>
              <w:rPr>
                <w:rFonts w:ascii="Times New Roman" w:hAnsi="Times New Roman"/>
                <w:b/>
                <w:bCs/>
                <w:color w:val="000000" w:themeColor="text1"/>
                <w:sz w:val="21"/>
                <w:szCs w:val="21"/>
                <w14:textFill>
                  <w14:solidFill>
                    <w14:schemeClr w14:val="tx1"/>
                  </w14:solidFill>
                </w14:textFill>
              </w:rPr>
            </w:pPr>
            <w:r>
              <w:rPr>
                <w:rFonts w:hint="eastAsia" w:ascii="Times New Roman" w:hAnsi="Times New Roman"/>
                <w:b/>
                <w:bCs/>
                <w:color w:val="000000" w:themeColor="text1"/>
                <w:sz w:val="21"/>
                <w:szCs w:val="21"/>
                <w14:textFill>
                  <w14:solidFill>
                    <w14:schemeClr w14:val="tx1"/>
                  </w14:solidFill>
                </w14:textFill>
              </w:rPr>
              <w:t>表3-3  三月三水库 ：水环境现状评价表  单位：mg/L</w:t>
            </w:r>
          </w:p>
          <w:tbl>
            <w:tblPr>
              <w:tblStyle w:val="25"/>
              <w:tblW w:w="73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8"/>
              <w:gridCol w:w="2279"/>
              <w:gridCol w:w="1930"/>
              <w:gridCol w:w="1860"/>
            </w:tblGrid>
            <w:tr w14:paraId="09DC7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8" w:type="pct"/>
                  <w:tcBorders>
                    <w:tl2br w:val="single" w:color="auto" w:sz="4" w:space="0"/>
                  </w:tcBorders>
                  <w:shd w:val="clear" w:color="auto" w:fill="auto"/>
                  <w:noWrap/>
                  <w:vAlign w:val="center"/>
                </w:tcPr>
                <w:p w14:paraId="7018521F">
                  <w:pPr>
                    <w:adjustRightInd w:val="0"/>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年度</w:t>
                  </w:r>
                </w:p>
                <w:p w14:paraId="0C28CA90">
                  <w:pPr>
                    <w:adjustRightInd w:val="0"/>
                    <w:snapToGrid w:val="0"/>
                    <w:rPr>
                      <w:b/>
                      <w:color w:val="000000" w:themeColor="text1"/>
                      <w:szCs w:val="21"/>
                      <w14:textFill>
                        <w14:solidFill>
                          <w14:schemeClr w14:val="tx1"/>
                        </w14:solidFill>
                      </w14:textFill>
                    </w:rPr>
                  </w:pPr>
                  <w:r>
                    <w:rPr>
                      <w:b/>
                      <w:color w:val="000000" w:themeColor="text1"/>
                      <w:szCs w:val="21"/>
                      <w14:textFill>
                        <w14:solidFill>
                          <w14:schemeClr w14:val="tx1"/>
                        </w14:solidFill>
                      </w14:textFill>
                    </w:rPr>
                    <w:t>污染物</w:t>
                  </w:r>
                </w:p>
              </w:tc>
              <w:tc>
                <w:tcPr>
                  <w:tcW w:w="1555" w:type="pct"/>
                  <w:shd w:val="clear" w:color="auto" w:fill="auto"/>
                  <w:noWrap/>
                  <w:vAlign w:val="center"/>
                </w:tcPr>
                <w:p w14:paraId="5A88B8A5">
                  <w:pPr>
                    <w:adjustRightInd w:val="0"/>
                    <w:snapToGrid w:val="0"/>
                    <w:jc w:val="center"/>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2024</w:t>
                  </w:r>
                </w:p>
              </w:tc>
              <w:tc>
                <w:tcPr>
                  <w:tcW w:w="1317" w:type="pct"/>
                  <w:vAlign w:val="center"/>
                </w:tcPr>
                <w:p w14:paraId="42CB1E17">
                  <w:pPr>
                    <w:adjustRightInd w:val="0"/>
                    <w:snapToGrid w:val="0"/>
                    <w:jc w:val="center"/>
                    <w:rPr>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Ⅲ</w:t>
                  </w:r>
                  <w:r>
                    <w:rPr>
                      <w:b/>
                      <w:color w:val="000000" w:themeColor="text1"/>
                      <w:szCs w:val="21"/>
                      <w14:textFill>
                        <w14:solidFill>
                          <w14:schemeClr w14:val="tx1"/>
                        </w14:solidFill>
                      </w14:textFill>
                    </w:rPr>
                    <w:t>类标准</w:t>
                  </w:r>
                </w:p>
              </w:tc>
              <w:tc>
                <w:tcPr>
                  <w:tcW w:w="1269" w:type="pct"/>
                  <w:vAlign w:val="center"/>
                </w:tcPr>
                <w:p w14:paraId="4DACC5A2">
                  <w:pPr>
                    <w:adjustRightInd w:val="0"/>
                    <w:snapToGrid w:val="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单项判定</w:t>
                  </w:r>
                </w:p>
              </w:tc>
            </w:tr>
            <w:tr w14:paraId="11C6D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8" w:type="pct"/>
                  <w:shd w:val="clear" w:color="auto" w:fill="auto"/>
                  <w:noWrap/>
                  <w:vAlign w:val="center"/>
                </w:tcPr>
                <w:p w14:paraId="47BB0E2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CODcr</w:t>
                  </w:r>
                </w:p>
              </w:tc>
              <w:tc>
                <w:tcPr>
                  <w:tcW w:w="1555" w:type="pct"/>
                  <w:shd w:val="clear" w:color="auto" w:fill="auto"/>
                  <w:noWrap/>
                  <w:vAlign w:val="center"/>
                </w:tcPr>
                <w:p w14:paraId="4B725FA0">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22.6</w:t>
                  </w:r>
                </w:p>
              </w:tc>
              <w:tc>
                <w:tcPr>
                  <w:tcW w:w="1317" w:type="pct"/>
                </w:tcPr>
                <w:p w14:paraId="48837E67">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20</w:t>
                  </w:r>
                </w:p>
              </w:tc>
              <w:tc>
                <w:tcPr>
                  <w:tcW w:w="1269" w:type="pct"/>
                </w:tcPr>
                <w:p w14:paraId="29A00666">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超标</w:t>
                  </w:r>
                </w:p>
              </w:tc>
            </w:tr>
            <w:tr w14:paraId="14C7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8" w:type="pct"/>
                  <w:shd w:val="clear" w:color="auto" w:fill="auto"/>
                  <w:noWrap/>
                  <w:vAlign w:val="center"/>
                </w:tcPr>
                <w:p w14:paraId="69E02D91">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BOD</w:t>
                  </w:r>
                  <w:r>
                    <w:rPr>
                      <w:color w:val="000000" w:themeColor="text1"/>
                      <w:szCs w:val="21"/>
                      <w:vertAlign w:val="subscript"/>
                      <w14:textFill>
                        <w14:solidFill>
                          <w14:schemeClr w14:val="tx1"/>
                        </w14:solidFill>
                      </w14:textFill>
                    </w:rPr>
                    <w:t>5</w:t>
                  </w:r>
                </w:p>
              </w:tc>
              <w:tc>
                <w:tcPr>
                  <w:tcW w:w="1555" w:type="pct"/>
                  <w:shd w:val="clear" w:color="auto" w:fill="auto"/>
                  <w:noWrap/>
                  <w:vAlign w:val="center"/>
                </w:tcPr>
                <w:p w14:paraId="356F9B51">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3.38</w:t>
                  </w:r>
                </w:p>
              </w:tc>
              <w:tc>
                <w:tcPr>
                  <w:tcW w:w="1317" w:type="pct"/>
                </w:tcPr>
                <w:p w14:paraId="60FC97F5">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4</w:t>
                  </w:r>
                </w:p>
              </w:tc>
              <w:tc>
                <w:tcPr>
                  <w:tcW w:w="1269" w:type="pct"/>
                </w:tcPr>
                <w:p w14:paraId="4F01019A">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3CEA2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8" w:type="pct"/>
                  <w:shd w:val="clear" w:color="auto" w:fill="auto"/>
                  <w:noWrap/>
                  <w:vAlign w:val="center"/>
                </w:tcPr>
                <w:p w14:paraId="76F27E29">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氨氮</w:t>
                  </w:r>
                </w:p>
              </w:tc>
              <w:tc>
                <w:tcPr>
                  <w:tcW w:w="1555" w:type="pct"/>
                  <w:shd w:val="clear" w:color="auto" w:fill="auto"/>
                  <w:noWrap/>
                  <w:vAlign w:val="center"/>
                </w:tcPr>
                <w:p w14:paraId="5C032FBB">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0.18</w:t>
                  </w:r>
                </w:p>
              </w:tc>
              <w:tc>
                <w:tcPr>
                  <w:tcW w:w="1317" w:type="pct"/>
                </w:tcPr>
                <w:p w14:paraId="0598CE8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w:t>
                  </w:r>
                </w:p>
              </w:tc>
              <w:tc>
                <w:tcPr>
                  <w:tcW w:w="1269" w:type="pct"/>
                </w:tcPr>
                <w:p w14:paraId="152D293E">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68EB5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8" w:type="pct"/>
                  <w:shd w:val="clear" w:color="auto" w:fill="auto"/>
                  <w:noWrap/>
                  <w:vAlign w:val="center"/>
                </w:tcPr>
                <w:p w14:paraId="5EBAA25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总磷</w:t>
                  </w:r>
                </w:p>
              </w:tc>
              <w:tc>
                <w:tcPr>
                  <w:tcW w:w="1555" w:type="pct"/>
                  <w:shd w:val="clear" w:color="auto" w:fill="auto"/>
                  <w:noWrap/>
                  <w:vAlign w:val="center"/>
                </w:tcPr>
                <w:p w14:paraId="2D8B880D">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0.14</w:t>
                  </w:r>
                </w:p>
              </w:tc>
              <w:tc>
                <w:tcPr>
                  <w:tcW w:w="1317" w:type="pct"/>
                </w:tcPr>
                <w:p w14:paraId="551865E7">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0.05</w:t>
                  </w:r>
                </w:p>
              </w:tc>
              <w:tc>
                <w:tcPr>
                  <w:tcW w:w="1269" w:type="pct"/>
                </w:tcPr>
                <w:p w14:paraId="5DF2BAEA">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超标</w:t>
                  </w:r>
                </w:p>
              </w:tc>
            </w:tr>
            <w:tr w14:paraId="2435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8" w:type="pct"/>
                  <w:shd w:val="clear" w:color="auto" w:fill="auto"/>
                  <w:noWrap/>
                  <w:vAlign w:val="center"/>
                </w:tcPr>
                <w:p w14:paraId="2DDE9D05">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总氮</w:t>
                  </w:r>
                </w:p>
              </w:tc>
              <w:tc>
                <w:tcPr>
                  <w:tcW w:w="1555" w:type="pct"/>
                  <w:shd w:val="clear" w:color="auto" w:fill="auto"/>
                  <w:noWrap/>
                  <w:vAlign w:val="center"/>
                </w:tcPr>
                <w:p w14:paraId="038FEF58">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4.09</w:t>
                  </w:r>
                </w:p>
              </w:tc>
              <w:tc>
                <w:tcPr>
                  <w:tcW w:w="1317" w:type="pct"/>
                </w:tcPr>
                <w:p w14:paraId="30AFAAC8">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w:t>
                  </w:r>
                </w:p>
              </w:tc>
              <w:tc>
                <w:tcPr>
                  <w:tcW w:w="1269" w:type="pct"/>
                </w:tcPr>
                <w:p w14:paraId="66319B21">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超标</w:t>
                  </w:r>
                </w:p>
              </w:tc>
            </w:tr>
            <w:tr w14:paraId="14B7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8" w:type="pct"/>
                  <w:shd w:val="clear" w:color="auto" w:fill="auto"/>
                  <w:noWrap/>
                  <w:vAlign w:val="center"/>
                </w:tcPr>
                <w:p w14:paraId="0647DFD1">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氟化物</w:t>
                  </w:r>
                </w:p>
              </w:tc>
              <w:tc>
                <w:tcPr>
                  <w:tcW w:w="1555" w:type="pct"/>
                  <w:shd w:val="clear" w:color="auto" w:fill="auto"/>
                  <w:noWrap/>
                  <w:vAlign w:val="center"/>
                </w:tcPr>
                <w:p w14:paraId="1CB6F502">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0.73</w:t>
                  </w:r>
                </w:p>
              </w:tc>
              <w:tc>
                <w:tcPr>
                  <w:tcW w:w="1317" w:type="pct"/>
                </w:tcPr>
                <w:p w14:paraId="3498246B">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1.0</w:t>
                  </w:r>
                </w:p>
              </w:tc>
              <w:tc>
                <w:tcPr>
                  <w:tcW w:w="1269" w:type="pct"/>
                </w:tcPr>
                <w:p w14:paraId="05F08C01">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46AA1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8" w:type="pct"/>
                  <w:shd w:val="clear" w:color="auto" w:fill="auto"/>
                  <w:noWrap/>
                  <w:vAlign w:val="center"/>
                </w:tcPr>
                <w:p w14:paraId="2D3517EB">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硒</w:t>
                  </w:r>
                </w:p>
              </w:tc>
              <w:tc>
                <w:tcPr>
                  <w:tcW w:w="1555" w:type="pct"/>
                  <w:shd w:val="clear" w:color="auto" w:fill="auto"/>
                  <w:noWrap/>
                </w:tcPr>
                <w:p w14:paraId="390C6A9D">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0.0004L</w:t>
                  </w:r>
                </w:p>
              </w:tc>
              <w:tc>
                <w:tcPr>
                  <w:tcW w:w="1317" w:type="pct"/>
                </w:tcPr>
                <w:p w14:paraId="74E5D89F">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0.01</w:t>
                  </w:r>
                </w:p>
              </w:tc>
              <w:tc>
                <w:tcPr>
                  <w:tcW w:w="1269" w:type="pct"/>
                </w:tcPr>
                <w:p w14:paraId="7CC833A1">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6EF05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8" w:type="pct"/>
                  <w:shd w:val="clear" w:color="auto" w:fill="auto"/>
                  <w:noWrap/>
                  <w:vAlign w:val="center"/>
                </w:tcPr>
                <w:p w14:paraId="2AC1A63A">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砷</w:t>
                  </w:r>
                </w:p>
              </w:tc>
              <w:tc>
                <w:tcPr>
                  <w:tcW w:w="1555" w:type="pct"/>
                  <w:shd w:val="clear" w:color="auto" w:fill="auto"/>
                  <w:noWrap/>
                </w:tcPr>
                <w:p w14:paraId="3929C0B3">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0.0029</w:t>
                  </w:r>
                </w:p>
              </w:tc>
              <w:tc>
                <w:tcPr>
                  <w:tcW w:w="1317" w:type="pct"/>
                </w:tcPr>
                <w:p w14:paraId="6C93075D">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0.05</w:t>
                  </w:r>
                </w:p>
              </w:tc>
              <w:tc>
                <w:tcPr>
                  <w:tcW w:w="1269" w:type="pct"/>
                </w:tcPr>
                <w:p w14:paraId="392CCFC0">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764A3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8" w:type="pct"/>
                  <w:shd w:val="clear" w:color="auto" w:fill="auto"/>
                  <w:noWrap/>
                  <w:vAlign w:val="center"/>
                </w:tcPr>
                <w:p w14:paraId="1549F0EF">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汞</w:t>
                  </w:r>
                </w:p>
              </w:tc>
              <w:tc>
                <w:tcPr>
                  <w:tcW w:w="1555" w:type="pct"/>
                  <w:shd w:val="clear" w:color="auto" w:fill="auto"/>
                  <w:noWrap/>
                </w:tcPr>
                <w:p w14:paraId="02841BF3">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0.00004L</w:t>
                  </w:r>
                </w:p>
              </w:tc>
              <w:tc>
                <w:tcPr>
                  <w:tcW w:w="1317" w:type="pct"/>
                </w:tcPr>
                <w:p w14:paraId="08851941">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0.0001</w:t>
                  </w:r>
                </w:p>
              </w:tc>
              <w:tc>
                <w:tcPr>
                  <w:tcW w:w="1269" w:type="pct"/>
                </w:tcPr>
                <w:p w14:paraId="41436E1D">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7CAA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8" w:type="pct"/>
                  <w:shd w:val="clear" w:color="auto" w:fill="auto"/>
                  <w:noWrap/>
                  <w:vAlign w:val="center"/>
                </w:tcPr>
                <w:p w14:paraId="3D91E72D">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镉</w:t>
                  </w:r>
                </w:p>
              </w:tc>
              <w:tc>
                <w:tcPr>
                  <w:tcW w:w="1555" w:type="pct"/>
                  <w:shd w:val="clear" w:color="auto" w:fill="auto"/>
                  <w:noWrap/>
                </w:tcPr>
                <w:p w14:paraId="170D1CAA">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0.0001</w:t>
                  </w:r>
                </w:p>
              </w:tc>
              <w:tc>
                <w:tcPr>
                  <w:tcW w:w="1317" w:type="pct"/>
                </w:tcPr>
                <w:p w14:paraId="1ED67BAF">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0.005</w:t>
                  </w:r>
                </w:p>
              </w:tc>
              <w:tc>
                <w:tcPr>
                  <w:tcW w:w="1269" w:type="pct"/>
                </w:tcPr>
                <w:p w14:paraId="26207A4D">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2D4B5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8" w:type="pct"/>
                  <w:shd w:val="clear" w:color="auto" w:fill="auto"/>
                  <w:noWrap/>
                  <w:vAlign w:val="center"/>
                </w:tcPr>
                <w:p w14:paraId="2B5356B9">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六价铬</w:t>
                  </w:r>
                </w:p>
              </w:tc>
              <w:tc>
                <w:tcPr>
                  <w:tcW w:w="1555" w:type="pct"/>
                  <w:shd w:val="clear" w:color="auto" w:fill="auto"/>
                  <w:noWrap/>
                </w:tcPr>
                <w:p w14:paraId="48AE0875">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0.004L</w:t>
                  </w:r>
                </w:p>
              </w:tc>
              <w:tc>
                <w:tcPr>
                  <w:tcW w:w="1317" w:type="pct"/>
                </w:tcPr>
                <w:p w14:paraId="659FFA1A">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0.05</w:t>
                  </w:r>
                </w:p>
              </w:tc>
              <w:tc>
                <w:tcPr>
                  <w:tcW w:w="1269" w:type="pct"/>
                </w:tcPr>
                <w:p w14:paraId="2489EE97">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02FDC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8" w:type="pct"/>
                  <w:shd w:val="clear" w:color="auto" w:fill="auto"/>
                  <w:noWrap/>
                  <w:vAlign w:val="center"/>
                </w:tcPr>
                <w:p w14:paraId="261979E4">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铅</w:t>
                  </w:r>
                </w:p>
              </w:tc>
              <w:tc>
                <w:tcPr>
                  <w:tcW w:w="1555" w:type="pct"/>
                  <w:shd w:val="clear" w:color="auto" w:fill="auto"/>
                  <w:noWrap/>
                </w:tcPr>
                <w:p w14:paraId="70BB4CC0">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0.002L</w:t>
                  </w:r>
                </w:p>
              </w:tc>
              <w:tc>
                <w:tcPr>
                  <w:tcW w:w="1317" w:type="pct"/>
                </w:tcPr>
                <w:p w14:paraId="648E60E1">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0.05</w:t>
                  </w:r>
                </w:p>
              </w:tc>
              <w:tc>
                <w:tcPr>
                  <w:tcW w:w="1269" w:type="pct"/>
                </w:tcPr>
                <w:p w14:paraId="0592D3DD">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6FAA9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8" w:type="pct"/>
                  <w:shd w:val="clear" w:color="auto" w:fill="auto"/>
                  <w:noWrap/>
                  <w:vAlign w:val="center"/>
                </w:tcPr>
                <w:p w14:paraId="3402B525">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氰化物</w:t>
                  </w:r>
                </w:p>
              </w:tc>
              <w:tc>
                <w:tcPr>
                  <w:tcW w:w="1555" w:type="pct"/>
                  <w:shd w:val="clear" w:color="auto" w:fill="auto"/>
                  <w:noWrap/>
                </w:tcPr>
                <w:p w14:paraId="1B8261B3">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0.004L</w:t>
                  </w:r>
                </w:p>
              </w:tc>
              <w:tc>
                <w:tcPr>
                  <w:tcW w:w="1317" w:type="pct"/>
                </w:tcPr>
                <w:p w14:paraId="536FC42F">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0.2</w:t>
                  </w:r>
                </w:p>
              </w:tc>
              <w:tc>
                <w:tcPr>
                  <w:tcW w:w="1269" w:type="pct"/>
                </w:tcPr>
                <w:p w14:paraId="7FE81B88">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04A07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8" w:type="pct"/>
                  <w:shd w:val="clear" w:color="auto" w:fill="auto"/>
                  <w:noWrap/>
                  <w:vAlign w:val="center"/>
                </w:tcPr>
                <w:p w14:paraId="5C33BAFE">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挥发酚</w:t>
                  </w:r>
                </w:p>
              </w:tc>
              <w:tc>
                <w:tcPr>
                  <w:tcW w:w="1555" w:type="pct"/>
                  <w:shd w:val="clear" w:color="auto" w:fill="auto"/>
                  <w:noWrap/>
                </w:tcPr>
                <w:p w14:paraId="7901F8A0">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0.0003L</w:t>
                  </w:r>
                </w:p>
              </w:tc>
              <w:tc>
                <w:tcPr>
                  <w:tcW w:w="1317" w:type="pct"/>
                </w:tcPr>
                <w:p w14:paraId="4BBDFDE1">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0.005</w:t>
                  </w:r>
                </w:p>
              </w:tc>
              <w:tc>
                <w:tcPr>
                  <w:tcW w:w="1269" w:type="pct"/>
                </w:tcPr>
                <w:p w14:paraId="429F1699">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r w14:paraId="6019E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858" w:type="pct"/>
                  <w:shd w:val="clear" w:color="auto" w:fill="auto"/>
                  <w:noWrap/>
                  <w:vAlign w:val="center"/>
                </w:tcPr>
                <w:p w14:paraId="207F83D1">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石油类</w:t>
                  </w:r>
                </w:p>
              </w:tc>
              <w:tc>
                <w:tcPr>
                  <w:tcW w:w="1555" w:type="pct"/>
                  <w:shd w:val="clear" w:color="auto" w:fill="auto"/>
                  <w:noWrap/>
                </w:tcPr>
                <w:p w14:paraId="1BA70FEA">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0.01L</w:t>
                  </w:r>
                </w:p>
              </w:tc>
              <w:tc>
                <w:tcPr>
                  <w:tcW w:w="1317" w:type="pct"/>
                </w:tcPr>
                <w:p w14:paraId="28E0EA4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0.05</w:t>
                  </w:r>
                </w:p>
              </w:tc>
              <w:tc>
                <w:tcPr>
                  <w:tcW w:w="1269" w:type="pct"/>
                </w:tcPr>
                <w:p w14:paraId="3E9BC486">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达标</w:t>
                  </w:r>
                </w:p>
              </w:tc>
            </w:tr>
          </w:tbl>
          <w:p w14:paraId="5965998F">
            <w:pPr>
              <w:adjustRightInd w:val="0"/>
              <w:snapToGrid w:val="0"/>
              <w:spacing w:line="360" w:lineRule="auto"/>
              <w:ind w:firstLine="482"/>
              <w:rPr>
                <w:rFonts w:cs="宋体"/>
                <w:color w:val="000000" w:themeColor="text1"/>
                <w:sz w:val="24"/>
                <w14:textFill>
                  <w14:solidFill>
                    <w14:schemeClr w14:val="tx1"/>
                  </w14:solidFill>
                </w14:textFill>
              </w:rPr>
            </w:pPr>
            <w:r>
              <w:rPr>
                <w:color w:val="000000" w:themeColor="text1"/>
                <w:sz w:val="24"/>
                <w14:textFill>
                  <w14:solidFill>
                    <w14:schemeClr w14:val="tx1"/>
                  </w14:solidFill>
                </w14:textFill>
              </w:rPr>
              <w:t>从统计结果看，三月三水库水质不能达到《地表水环境质量标准》（GB3838</w:t>
            </w:r>
            <w:r>
              <w:rPr>
                <w:rFonts w:hint="eastAsia" w:cs="宋体"/>
                <w:color w:val="000000" w:themeColor="text1"/>
                <w:sz w:val="24"/>
                <w14:textFill>
                  <w14:solidFill>
                    <w14:schemeClr w14:val="tx1"/>
                  </w14:solidFill>
                </w14:textFill>
              </w:rPr>
              <w:t>-2002）</w:t>
            </w:r>
            <w:r>
              <w:rPr>
                <w:rFonts w:hint="eastAsia" w:cs="宋体"/>
                <w:color w:val="000000" w:themeColor="text1"/>
                <w:sz w:val="24"/>
                <w14:textFill>
                  <w14:solidFill>
                    <w14:schemeClr w14:val="tx1"/>
                  </w14:solidFill>
                </w14:textFill>
              </w:rPr>
              <w:fldChar w:fldCharType="begin"/>
            </w:r>
            <w:r>
              <w:rPr>
                <w:rFonts w:hint="eastAsia" w:cs="宋体"/>
                <w:color w:val="000000" w:themeColor="text1"/>
                <w:sz w:val="24"/>
                <w14:textFill>
                  <w14:solidFill>
                    <w14:schemeClr w14:val="tx1"/>
                  </w14:solidFill>
                </w14:textFill>
              </w:rPr>
              <w:instrText xml:space="preserve"> = 3 \* ROMAN \* MERGEFORMAT </w:instrText>
            </w:r>
            <w:r>
              <w:rPr>
                <w:rFonts w:hint="eastAsia" w:cs="宋体"/>
                <w:color w:val="000000" w:themeColor="text1"/>
                <w:sz w:val="24"/>
                <w14:textFill>
                  <w14:solidFill>
                    <w14:schemeClr w14:val="tx1"/>
                  </w14:solidFill>
                </w14:textFill>
              </w:rPr>
              <w:fldChar w:fldCharType="separate"/>
            </w:r>
            <w:r>
              <w:rPr>
                <w:rFonts w:hint="eastAsia" w:cs="宋体"/>
                <w:color w:val="000000" w:themeColor="text1"/>
                <w:sz w:val="24"/>
                <w14:textFill>
                  <w14:solidFill>
                    <w14:schemeClr w14:val="tx1"/>
                  </w14:solidFill>
                </w14:textFill>
              </w:rPr>
              <w:t>III</w:t>
            </w:r>
            <w:r>
              <w:rPr>
                <w:rFonts w:hint="eastAsia" w:cs="宋体"/>
                <w:color w:val="000000" w:themeColor="text1"/>
                <w:sz w:val="24"/>
                <w14:textFill>
                  <w14:solidFill>
                    <w14:schemeClr w14:val="tx1"/>
                  </w14:solidFill>
                </w14:textFill>
              </w:rPr>
              <w:fldChar w:fldCharType="end"/>
            </w:r>
            <w:r>
              <w:rPr>
                <w:rFonts w:hint="eastAsia" w:cs="宋体"/>
                <w:color w:val="000000" w:themeColor="text1"/>
                <w:sz w:val="24"/>
                <w14:textFill>
                  <w14:solidFill>
                    <w14:schemeClr w14:val="tx1"/>
                  </w14:solidFill>
                </w14:textFill>
              </w:rPr>
              <w:t>类标准要求。超标污染物主要为总氮、总磷、CODcr；重金属砷、汞、镉、铬、铅及其他污染物监测浓度均较低，大部分低于检出限。</w:t>
            </w:r>
            <w:r>
              <w:rPr>
                <w:color w:val="000000" w:themeColor="text1"/>
                <w:sz w:val="24"/>
                <w14:textFill>
                  <w14:solidFill>
                    <w14:schemeClr w14:val="tx1"/>
                  </w14:solidFill>
                </w14:textFill>
              </w:rPr>
              <w:t>水质超</w:t>
            </w:r>
            <w:r>
              <w:rPr>
                <w:rFonts w:hint="eastAsia"/>
                <w:color w:val="000000" w:themeColor="text1"/>
                <w:sz w:val="24"/>
                <w14:textFill>
                  <w14:solidFill>
                    <w14:schemeClr w14:val="tx1"/>
                  </w14:solidFill>
                </w14:textFill>
              </w:rPr>
              <w:t>标主要原因为周边部分生活污水直接排入三月三水库，导致水库的水质超标。</w:t>
            </w:r>
          </w:p>
          <w:p w14:paraId="7AB7FEAC">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根据《昆明市和滇中产业新区水功能区划》（2011-2030版），三月三水库至入牛栏江口为前进河寻甸农业用水区，现状水质为Ⅳ类，2030年水质目标为Ⅲ类，执行《地表水环境质量标准》（GB 3838-2002）Ⅲ类水质标准。根据“寻甸县2026年第一季度环境质量公报”显示：前进河哦嘎电站断面水质达到《地表水环境质量标准》（GB3838-2002）Ⅲ类水质量标准，能够满足水质目标要求。</w:t>
            </w:r>
          </w:p>
          <w:p w14:paraId="4AFEE7ED">
            <w:pPr>
              <w:spacing w:line="360" w:lineRule="auto"/>
              <w:ind w:firstLine="482" w:firstLineChars="200"/>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3、声环境质量现状</w:t>
            </w:r>
          </w:p>
          <w:p w14:paraId="1849C0AC">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本项目位于云南寻甸产业园区金所片区，根据园区环境保护规划，项目所在区域属于3类声环境功能区，因此评价区域执行《声环境质量标准》（GB3096-2008）3类标准。</w:t>
            </w:r>
          </w:p>
          <w:p w14:paraId="56A730D4">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根据《建设项目环境影响报告表编制技术指南》（污染影响类）（试行）要求，厂界外周边 50m 范围内存在声环境保护目标的，需开展现状监测。根据现场踏勘，项目厂界周边 50m 范围内无声环境保护目标，最近距离的居民距本项目东面约257m，无需开展声环境质量现状监测。</w:t>
            </w:r>
          </w:p>
          <w:p w14:paraId="27600D55">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项目区周边无较大规模的工业企业，区域声环境质量良好。</w:t>
            </w:r>
          </w:p>
          <w:p w14:paraId="0A62BBE9">
            <w:pPr>
              <w:spacing w:line="360" w:lineRule="auto"/>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4、地下水环境质量现状</w:t>
            </w:r>
          </w:p>
          <w:p w14:paraId="7A79EE64">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本项目位于云南寻甸产业园区金所片区金所组团内，区域地下水环境质量执行《地下水质量标准》（GB/T 14848-2017）中III类标准限值。</w:t>
            </w:r>
          </w:p>
          <w:p w14:paraId="33E28E25">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本次环评引用与项目同属一个水文地质单元，位于项目区东北侧1300m处的谓所村龙潭监测数据（来源日处理 50t 固废旧农膜资源再生建设项目生态环境影响报告书），监测时间为2025年12月24日-12月25日，监测点位和数据具有代表性，具体监测结果见下表：</w:t>
            </w:r>
          </w:p>
          <w:p w14:paraId="100F6343">
            <w:pPr>
              <w:pStyle w:val="58"/>
              <w:rPr>
                <w:color w:val="000000" w:themeColor="text1"/>
                <w14:textFill>
                  <w14:solidFill>
                    <w14:schemeClr w14:val="tx1"/>
                  </w14:solidFill>
                </w14:textFill>
              </w:rPr>
            </w:pPr>
            <w:r>
              <w:rPr>
                <w:rFonts w:hint="eastAsia"/>
                <w:color w:val="000000" w:themeColor="text1"/>
                <w14:textFill>
                  <w14:solidFill>
                    <w14:schemeClr w14:val="tx1"/>
                  </w14:solidFill>
                </w14:textFill>
              </w:rPr>
              <w:t xml:space="preserve">      表3-4 地下水环境质量检测结果         单位：</w:t>
            </w:r>
            <w:r>
              <w:rPr>
                <w:rFonts w:hint="eastAsia"/>
                <w:b w:val="0"/>
                <w:color w:val="000000" w:themeColor="text1"/>
                <w14:textFill>
                  <w14:solidFill>
                    <w14:schemeClr w14:val="tx1"/>
                  </w14:solidFill>
                </w14:textFill>
              </w:rPr>
              <w:t>mg/L</w:t>
            </w:r>
          </w:p>
          <w:tbl>
            <w:tblPr>
              <w:tblStyle w:val="25"/>
              <w:tblW w:w="46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1013"/>
              <w:gridCol w:w="1543"/>
              <w:gridCol w:w="1289"/>
              <w:gridCol w:w="1314"/>
              <w:gridCol w:w="1135"/>
              <w:gridCol w:w="1132"/>
            </w:tblGrid>
            <w:tr w14:paraId="6D655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63" w:hRule="atLeast"/>
                <w:tblHeader/>
                <w:jc w:val="center"/>
              </w:trPr>
              <w:tc>
                <w:tcPr>
                  <w:tcW w:w="682" w:type="pct"/>
                  <w:vMerge w:val="restart"/>
                  <w:vAlign w:val="center"/>
                </w:tcPr>
                <w:p w14:paraId="121FFE39">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监测</w:t>
                  </w:r>
                  <w:r>
                    <w:rPr>
                      <w:rFonts w:hint="eastAsia"/>
                      <w:b w:val="0"/>
                      <w:color w:val="000000" w:themeColor="text1"/>
                      <w14:textFill>
                        <w14:solidFill>
                          <w14:schemeClr w14:val="tx1"/>
                        </w14:solidFill>
                      </w14:textFill>
                    </w:rPr>
                    <w:t>点位</w:t>
                  </w:r>
                </w:p>
              </w:tc>
              <w:tc>
                <w:tcPr>
                  <w:tcW w:w="1038" w:type="pct"/>
                  <w:vMerge w:val="restart"/>
                  <w:vAlign w:val="center"/>
                </w:tcPr>
                <w:p w14:paraId="72583CC9">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监测指标</w:t>
                  </w:r>
                </w:p>
              </w:tc>
              <w:tc>
                <w:tcPr>
                  <w:tcW w:w="1751" w:type="pct"/>
                  <w:gridSpan w:val="2"/>
                  <w:vAlign w:val="center"/>
                </w:tcPr>
                <w:p w14:paraId="70DEDAC2">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采样编号</w:t>
                  </w:r>
                </w:p>
              </w:tc>
              <w:tc>
                <w:tcPr>
                  <w:tcW w:w="764" w:type="pct"/>
                  <w:vMerge w:val="restart"/>
                  <w:vAlign w:val="center"/>
                </w:tcPr>
                <w:p w14:paraId="18A5A00F">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III类标准</w:t>
                  </w:r>
                </w:p>
              </w:tc>
              <w:tc>
                <w:tcPr>
                  <w:tcW w:w="762" w:type="pct"/>
                  <w:vMerge w:val="restart"/>
                  <w:vAlign w:val="center"/>
                </w:tcPr>
                <w:p w14:paraId="52721B3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评价结果</w:t>
                  </w:r>
                </w:p>
              </w:tc>
            </w:tr>
            <w:tr w14:paraId="075E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91" w:hRule="atLeast"/>
                <w:tblHeader/>
                <w:jc w:val="center"/>
              </w:trPr>
              <w:tc>
                <w:tcPr>
                  <w:tcW w:w="682" w:type="pct"/>
                  <w:vMerge w:val="continue"/>
                  <w:vAlign w:val="center"/>
                </w:tcPr>
                <w:p w14:paraId="6ADD83E4">
                  <w:pPr>
                    <w:pStyle w:val="74"/>
                    <w:rPr>
                      <w:b w:val="0"/>
                      <w:color w:val="000000" w:themeColor="text1"/>
                      <w14:textFill>
                        <w14:solidFill>
                          <w14:schemeClr w14:val="tx1"/>
                        </w14:solidFill>
                      </w14:textFill>
                    </w:rPr>
                  </w:pPr>
                </w:p>
              </w:tc>
              <w:tc>
                <w:tcPr>
                  <w:tcW w:w="1038" w:type="pct"/>
                  <w:vMerge w:val="continue"/>
                  <w:vAlign w:val="center"/>
                </w:tcPr>
                <w:p w14:paraId="62BFEA0D">
                  <w:pPr>
                    <w:pStyle w:val="74"/>
                    <w:rPr>
                      <w:b w:val="0"/>
                      <w:color w:val="000000" w:themeColor="text1"/>
                      <w14:textFill>
                        <w14:solidFill>
                          <w14:schemeClr w14:val="tx1"/>
                        </w14:solidFill>
                      </w14:textFill>
                    </w:rPr>
                  </w:pPr>
                </w:p>
              </w:tc>
              <w:tc>
                <w:tcPr>
                  <w:tcW w:w="867" w:type="pct"/>
                  <w:vAlign w:val="center"/>
                </w:tcPr>
                <w:p w14:paraId="44414DD7">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2025.12.24</w:t>
                  </w:r>
                </w:p>
              </w:tc>
              <w:tc>
                <w:tcPr>
                  <w:tcW w:w="883" w:type="pct"/>
                  <w:vAlign w:val="center"/>
                </w:tcPr>
                <w:p w14:paraId="1FC54127">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2025.12.25</w:t>
                  </w:r>
                </w:p>
              </w:tc>
              <w:tc>
                <w:tcPr>
                  <w:tcW w:w="764" w:type="pct"/>
                  <w:vMerge w:val="continue"/>
                  <w:vAlign w:val="center"/>
                </w:tcPr>
                <w:p w14:paraId="0C21DA9C">
                  <w:pPr>
                    <w:pStyle w:val="74"/>
                    <w:rPr>
                      <w:b w:val="0"/>
                      <w:color w:val="000000" w:themeColor="text1"/>
                      <w14:textFill>
                        <w14:solidFill>
                          <w14:schemeClr w14:val="tx1"/>
                        </w14:solidFill>
                      </w14:textFill>
                    </w:rPr>
                  </w:pPr>
                </w:p>
              </w:tc>
              <w:tc>
                <w:tcPr>
                  <w:tcW w:w="762" w:type="pct"/>
                  <w:vMerge w:val="continue"/>
                  <w:vAlign w:val="center"/>
                </w:tcPr>
                <w:p w14:paraId="14A3583A">
                  <w:pPr>
                    <w:pStyle w:val="74"/>
                    <w:rPr>
                      <w:b w:val="0"/>
                      <w:color w:val="000000" w:themeColor="text1"/>
                      <w14:textFill>
                        <w14:solidFill>
                          <w14:schemeClr w14:val="tx1"/>
                        </w14:solidFill>
                      </w14:textFill>
                    </w:rPr>
                  </w:pPr>
                </w:p>
              </w:tc>
            </w:tr>
            <w:tr w14:paraId="6C77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682" w:type="pct"/>
                  <w:vMerge w:val="restart"/>
                  <w:vAlign w:val="center"/>
                </w:tcPr>
                <w:p w14:paraId="10C7DA5F">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谓所村龙潭</w:t>
                  </w:r>
                  <w:r>
                    <w:rPr>
                      <w:b w:val="0"/>
                      <w:color w:val="000000" w:themeColor="text1"/>
                      <w14:textFill>
                        <w14:solidFill>
                          <w14:schemeClr w14:val="tx1"/>
                        </w14:solidFill>
                      </w14:textFill>
                    </w:rPr>
                    <w:t>（东经</w:t>
                  </w:r>
                  <w:r>
                    <w:rPr>
                      <w:rFonts w:hint="eastAsia"/>
                      <w:b w:val="0"/>
                      <w:color w:val="000000" w:themeColor="text1"/>
                      <w14:textFill>
                        <w14:solidFill>
                          <w14:schemeClr w14:val="tx1"/>
                        </w14:solidFill>
                      </w14:textFill>
                    </w:rPr>
                    <w:t>：103°11'54"，</w:t>
                  </w:r>
                  <w:r>
                    <w:rPr>
                      <w:b w:val="0"/>
                      <w:color w:val="000000" w:themeColor="text1"/>
                      <w14:textFill>
                        <w14:solidFill>
                          <w14:schemeClr w14:val="tx1"/>
                        </w14:solidFill>
                      </w14:textFill>
                    </w:rPr>
                    <w:t>北纬</w:t>
                  </w:r>
                  <w:r>
                    <w:rPr>
                      <w:rFonts w:hint="eastAsia"/>
                      <w:b w:val="0"/>
                      <w:color w:val="000000" w:themeColor="text1"/>
                      <w14:textFill>
                        <w14:solidFill>
                          <w14:schemeClr w14:val="tx1"/>
                        </w14:solidFill>
                      </w14:textFill>
                    </w:rPr>
                    <w:t>：25°34'27")</w:t>
                  </w:r>
                  <w:r>
                    <w:rPr>
                      <w:b w:val="0"/>
                      <w:color w:val="000000" w:themeColor="text1"/>
                      <w14:textFill>
                        <w14:solidFill>
                          <w14:schemeClr w14:val="tx1"/>
                        </w14:solidFill>
                      </w14:textFill>
                    </w:rPr>
                    <w:t>）</w:t>
                  </w:r>
                </w:p>
                <w:p w14:paraId="64639908">
                  <w:pPr>
                    <w:pStyle w:val="74"/>
                    <w:rPr>
                      <w:b w:val="0"/>
                      <w:color w:val="000000" w:themeColor="text1"/>
                      <w14:textFill>
                        <w14:solidFill>
                          <w14:schemeClr w14:val="tx1"/>
                        </w14:solidFill>
                      </w14:textFill>
                    </w:rPr>
                  </w:pPr>
                </w:p>
                <w:p w14:paraId="2FD445CD">
                  <w:pPr>
                    <w:pStyle w:val="74"/>
                    <w:rPr>
                      <w:b w:val="0"/>
                      <w:color w:val="000000" w:themeColor="text1"/>
                      <w14:textFill>
                        <w14:solidFill>
                          <w14:schemeClr w14:val="tx1"/>
                        </w14:solidFill>
                      </w14:textFill>
                    </w:rPr>
                  </w:pPr>
                </w:p>
              </w:tc>
              <w:tc>
                <w:tcPr>
                  <w:tcW w:w="1038" w:type="pct"/>
                  <w:shd w:val="clear" w:color="auto" w:fill="auto"/>
                  <w:vAlign w:val="center"/>
                </w:tcPr>
                <w:p w14:paraId="330113C9">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pH（无量纲）</w:t>
                  </w:r>
                </w:p>
              </w:tc>
              <w:tc>
                <w:tcPr>
                  <w:tcW w:w="867" w:type="pct"/>
                  <w:shd w:val="clear" w:color="auto" w:fill="auto"/>
                  <w:vAlign w:val="center"/>
                </w:tcPr>
                <w:p w14:paraId="41803410">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7.4</w:t>
                  </w:r>
                </w:p>
              </w:tc>
              <w:tc>
                <w:tcPr>
                  <w:tcW w:w="1313" w:type="dxa"/>
                  <w:shd w:val="clear" w:color="auto" w:fill="auto"/>
                  <w:vAlign w:val="center"/>
                </w:tcPr>
                <w:p w14:paraId="271813C0">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7.4</w:t>
                  </w:r>
                </w:p>
              </w:tc>
              <w:tc>
                <w:tcPr>
                  <w:tcW w:w="764" w:type="pct"/>
                  <w:vAlign w:val="center"/>
                </w:tcPr>
                <w:p w14:paraId="40D8E14C">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6.5≤pH≤8.5</w:t>
                  </w:r>
                </w:p>
              </w:tc>
              <w:tc>
                <w:tcPr>
                  <w:tcW w:w="762" w:type="pct"/>
                  <w:vAlign w:val="center"/>
                </w:tcPr>
                <w:p w14:paraId="7BBE3D36">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w:t>
                  </w:r>
                </w:p>
              </w:tc>
            </w:tr>
            <w:tr w14:paraId="78330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682" w:type="pct"/>
                  <w:vMerge w:val="continue"/>
                  <w:vAlign w:val="center"/>
                </w:tcPr>
                <w:p w14:paraId="5F045C78">
                  <w:pPr>
                    <w:pStyle w:val="74"/>
                    <w:rPr>
                      <w:b w:val="0"/>
                      <w:color w:val="000000" w:themeColor="text1"/>
                      <w14:textFill>
                        <w14:solidFill>
                          <w14:schemeClr w14:val="tx1"/>
                        </w14:solidFill>
                      </w14:textFill>
                    </w:rPr>
                  </w:pPr>
                </w:p>
              </w:tc>
              <w:tc>
                <w:tcPr>
                  <w:tcW w:w="1038" w:type="pct"/>
                  <w:shd w:val="clear" w:color="auto" w:fill="auto"/>
                  <w:vAlign w:val="center"/>
                </w:tcPr>
                <w:p w14:paraId="359309F2">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溶解性总固体</w:t>
                  </w:r>
                </w:p>
              </w:tc>
              <w:tc>
                <w:tcPr>
                  <w:tcW w:w="867" w:type="pct"/>
                  <w:shd w:val="clear" w:color="auto" w:fill="auto"/>
                  <w:vAlign w:val="center"/>
                </w:tcPr>
                <w:p w14:paraId="786005E9">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562</w:t>
                  </w:r>
                </w:p>
              </w:tc>
              <w:tc>
                <w:tcPr>
                  <w:tcW w:w="1313" w:type="dxa"/>
                  <w:shd w:val="clear" w:color="auto" w:fill="auto"/>
                  <w:vAlign w:val="center"/>
                </w:tcPr>
                <w:p w14:paraId="4F37DE8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557</w:t>
                  </w:r>
                </w:p>
              </w:tc>
              <w:tc>
                <w:tcPr>
                  <w:tcW w:w="764" w:type="pct"/>
                  <w:vAlign w:val="center"/>
                </w:tcPr>
                <w:p w14:paraId="0ACE5E0B">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≤1000</w:t>
                  </w:r>
                </w:p>
              </w:tc>
              <w:tc>
                <w:tcPr>
                  <w:tcW w:w="762" w:type="pct"/>
                  <w:vAlign w:val="center"/>
                </w:tcPr>
                <w:p w14:paraId="0AADE8F3">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w:t>
                  </w:r>
                </w:p>
              </w:tc>
            </w:tr>
            <w:tr w14:paraId="6DA3A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682" w:type="pct"/>
                  <w:vMerge w:val="continue"/>
                  <w:vAlign w:val="center"/>
                </w:tcPr>
                <w:p w14:paraId="7D2F8CB4">
                  <w:pPr>
                    <w:pStyle w:val="74"/>
                    <w:rPr>
                      <w:b w:val="0"/>
                      <w:color w:val="000000" w:themeColor="text1"/>
                      <w14:textFill>
                        <w14:solidFill>
                          <w14:schemeClr w14:val="tx1"/>
                        </w14:solidFill>
                      </w14:textFill>
                    </w:rPr>
                  </w:pPr>
                </w:p>
              </w:tc>
              <w:tc>
                <w:tcPr>
                  <w:tcW w:w="1038" w:type="pct"/>
                  <w:shd w:val="clear" w:color="auto" w:fill="auto"/>
                  <w:vAlign w:val="center"/>
                </w:tcPr>
                <w:p w14:paraId="1665EC13">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总硬度</w:t>
                  </w:r>
                </w:p>
              </w:tc>
              <w:tc>
                <w:tcPr>
                  <w:tcW w:w="867" w:type="pct"/>
                  <w:shd w:val="clear" w:color="auto" w:fill="auto"/>
                  <w:vAlign w:val="center"/>
                </w:tcPr>
                <w:p w14:paraId="2C6E4431">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284</w:t>
                  </w:r>
                </w:p>
              </w:tc>
              <w:tc>
                <w:tcPr>
                  <w:tcW w:w="1313" w:type="dxa"/>
                  <w:shd w:val="clear" w:color="auto" w:fill="auto"/>
                  <w:vAlign w:val="center"/>
                </w:tcPr>
                <w:p w14:paraId="2813B2B7">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277</w:t>
                  </w:r>
                </w:p>
              </w:tc>
              <w:tc>
                <w:tcPr>
                  <w:tcW w:w="764" w:type="pct"/>
                  <w:shd w:val="clear" w:color="auto" w:fill="auto"/>
                  <w:vAlign w:val="center"/>
                </w:tcPr>
                <w:p w14:paraId="1CECE88E">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≤450</w:t>
                  </w:r>
                </w:p>
              </w:tc>
              <w:tc>
                <w:tcPr>
                  <w:tcW w:w="762" w:type="pct"/>
                  <w:shd w:val="clear" w:color="auto" w:fill="auto"/>
                  <w:vAlign w:val="center"/>
                </w:tcPr>
                <w:p w14:paraId="1D70244F">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w:t>
                  </w:r>
                </w:p>
              </w:tc>
            </w:tr>
            <w:tr w14:paraId="16831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682" w:type="pct"/>
                  <w:vMerge w:val="continue"/>
                  <w:vAlign w:val="center"/>
                </w:tcPr>
                <w:p w14:paraId="6BA86B3C">
                  <w:pPr>
                    <w:pStyle w:val="74"/>
                    <w:rPr>
                      <w:b w:val="0"/>
                      <w:color w:val="000000" w:themeColor="text1"/>
                      <w14:textFill>
                        <w14:solidFill>
                          <w14:schemeClr w14:val="tx1"/>
                        </w14:solidFill>
                      </w14:textFill>
                    </w:rPr>
                  </w:pPr>
                </w:p>
              </w:tc>
              <w:tc>
                <w:tcPr>
                  <w:tcW w:w="1038" w:type="pct"/>
                  <w:shd w:val="clear" w:color="auto" w:fill="auto"/>
                  <w:vAlign w:val="center"/>
                </w:tcPr>
                <w:p w14:paraId="7E833177">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耗氧量</w:t>
                  </w:r>
                </w:p>
              </w:tc>
              <w:tc>
                <w:tcPr>
                  <w:tcW w:w="867" w:type="pct"/>
                  <w:shd w:val="clear" w:color="auto" w:fill="auto"/>
                  <w:vAlign w:val="center"/>
                </w:tcPr>
                <w:p w14:paraId="676A5E9A">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2.3</w:t>
                  </w:r>
                </w:p>
              </w:tc>
              <w:tc>
                <w:tcPr>
                  <w:tcW w:w="1313" w:type="dxa"/>
                  <w:shd w:val="clear" w:color="auto" w:fill="auto"/>
                  <w:vAlign w:val="center"/>
                </w:tcPr>
                <w:p w14:paraId="1E82D2FF">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2.1</w:t>
                  </w:r>
                </w:p>
              </w:tc>
              <w:tc>
                <w:tcPr>
                  <w:tcW w:w="764" w:type="pct"/>
                  <w:shd w:val="clear" w:color="auto" w:fill="auto"/>
                  <w:vAlign w:val="center"/>
                </w:tcPr>
                <w:p w14:paraId="7F77BA08">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≤3</w:t>
                  </w:r>
                </w:p>
              </w:tc>
              <w:tc>
                <w:tcPr>
                  <w:tcW w:w="762" w:type="pct"/>
                  <w:shd w:val="clear" w:color="auto" w:fill="auto"/>
                  <w:vAlign w:val="center"/>
                </w:tcPr>
                <w:p w14:paraId="7C98BD04">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w:t>
                  </w:r>
                </w:p>
              </w:tc>
            </w:tr>
            <w:tr w14:paraId="1D5B6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682" w:type="pct"/>
                  <w:vMerge w:val="continue"/>
                  <w:vAlign w:val="center"/>
                </w:tcPr>
                <w:p w14:paraId="3117E184">
                  <w:pPr>
                    <w:pStyle w:val="74"/>
                    <w:rPr>
                      <w:b w:val="0"/>
                      <w:color w:val="000000" w:themeColor="text1"/>
                      <w14:textFill>
                        <w14:solidFill>
                          <w14:schemeClr w14:val="tx1"/>
                        </w14:solidFill>
                      </w14:textFill>
                    </w:rPr>
                  </w:pPr>
                </w:p>
              </w:tc>
              <w:tc>
                <w:tcPr>
                  <w:tcW w:w="1038" w:type="pct"/>
                  <w:shd w:val="clear" w:color="auto" w:fill="auto"/>
                  <w:vAlign w:val="center"/>
                </w:tcPr>
                <w:p w14:paraId="2C3458A7">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氯化物</w:t>
                  </w:r>
                </w:p>
              </w:tc>
              <w:tc>
                <w:tcPr>
                  <w:tcW w:w="867" w:type="pct"/>
                  <w:shd w:val="clear" w:color="auto" w:fill="auto"/>
                  <w:vAlign w:val="center"/>
                </w:tcPr>
                <w:p w14:paraId="4855F607">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18</w:t>
                  </w:r>
                </w:p>
              </w:tc>
              <w:tc>
                <w:tcPr>
                  <w:tcW w:w="1313" w:type="dxa"/>
                  <w:shd w:val="clear" w:color="auto" w:fill="auto"/>
                  <w:vAlign w:val="center"/>
                </w:tcPr>
                <w:p w14:paraId="1897F902">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20</w:t>
                  </w:r>
                </w:p>
              </w:tc>
              <w:tc>
                <w:tcPr>
                  <w:tcW w:w="764" w:type="pct"/>
                  <w:shd w:val="clear" w:color="auto" w:fill="auto"/>
                  <w:vAlign w:val="center"/>
                </w:tcPr>
                <w:p w14:paraId="752FBC88">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≤250</w:t>
                  </w:r>
                </w:p>
              </w:tc>
              <w:tc>
                <w:tcPr>
                  <w:tcW w:w="762" w:type="pct"/>
                  <w:shd w:val="clear" w:color="auto" w:fill="auto"/>
                  <w:vAlign w:val="center"/>
                </w:tcPr>
                <w:p w14:paraId="36993618">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w:t>
                  </w:r>
                </w:p>
              </w:tc>
            </w:tr>
            <w:tr w14:paraId="59175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682" w:type="pct"/>
                  <w:vMerge w:val="continue"/>
                  <w:vAlign w:val="center"/>
                </w:tcPr>
                <w:p w14:paraId="1A1BF7DD">
                  <w:pPr>
                    <w:pStyle w:val="74"/>
                    <w:rPr>
                      <w:b w:val="0"/>
                      <w:color w:val="000000" w:themeColor="text1"/>
                      <w14:textFill>
                        <w14:solidFill>
                          <w14:schemeClr w14:val="tx1"/>
                        </w14:solidFill>
                      </w14:textFill>
                    </w:rPr>
                  </w:pPr>
                </w:p>
              </w:tc>
              <w:tc>
                <w:tcPr>
                  <w:tcW w:w="1038" w:type="pct"/>
                  <w:shd w:val="clear" w:color="auto" w:fill="auto"/>
                  <w:vAlign w:val="center"/>
                </w:tcPr>
                <w:p w14:paraId="2D69380D">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氨氮</w:t>
                  </w:r>
                </w:p>
              </w:tc>
              <w:tc>
                <w:tcPr>
                  <w:tcW w:w="867" w:type="pct"/>
                  <w:shd w:val="clear" w:color="auto" w:fill="auto"/>
                  <w:vAlign w:val="center"/>
                </w:tcPr>
                <w:p w14:paraId="5B7EAB71">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0.025L</w:t>
                  </w:r>
                </w:p>
              </w:tc>
              <w:tc>
                <w:tcPr>
                  <w:tcW w:w="1313" w:type="dxa"/>
                  <w:shd w:val="clear" w:color="auto" w:fill="auto"/>
                  <w:vAlign w:val="center"/>
                </w:tcPr>
                <w:p w14:paraId="005B818D">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0.025L</w:t>
                  </w:r>
                </w:p>
              </w:tc>
              <w:tc>
                <w:tcPr>
                  <w:tcW w:w="764" w:type="pct"/>
                  <w:shd w:val="clear" w:color="auto" w:fill="auto"/>
                  <w:vAlign w:val="center"/>
                </w:tcPr>
                <w:p w14:paraId="223927B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≤0.5</w:t>
                  </w:r>
                </w:p>
              </w:tc>
              <w:tc>
                <w:tcPr>
                  <w:tcW w:w="762" w:type="pct"/>
                  <w:shd w:val="clear" w:color="auto" w:fill="auto"/>
                  <w:vAlign w:val="center"/>
                </w:tcPr>
                <w:p w14:paraId="7FFA9C5D">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w:t>
                  </w:r>
                </w:p>
              </w:tc>
            </w:tr>
            <w:tr w14:paraId="2986A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3" w:hRule="atLeast"/>
                <w:jc w:val="center"/>
              </w:trPr>
              <w:tc>
                <w:tcPr>
                  <w:tcW w:w="682" w:type="pct"/>
                  <w:vMerge w:val="continue"/>
                  <w:vAlign w:val="center"/>
                </w:tcPr>
                <w:p w14:paraId="42EA491B">
                  <w:pPr>
                    <w:pStyle w:val="74"/>
                    <w:rPr>
                      <w:b w:val="0"/>
                      <w:color w:val="000000" w:themeColor="text1"/>
                      <w14:textFill>
                        <w14:solidFill>
                          <w14:schemeClr w14:val="tx1"/>
                        </w14:solidFill>
                      </w14:textFill>
                    </w:rPr>
                  </w:pPr>
                </w:p>
              </w:tc>
              <w:tc>
                <w:tcPr>
                  <w:tcW w:w="1038" w:type="pct"/>
                  <w:shd w:val="clear" w:color="auto" w:fill="auto"/>
                  <w:vAlign w:val="center"/>
                </w:tcPr>
                <w:p w14:paraId="39B9F1B6">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硝酸盐氮</w:t>
                  </w:r>
                </w:p>
              </w:tc>
              <w:tc>
                <w:tcPr>
                  <w:tcW w:w="867" w:type="pct"/>
                  <w:shd w:val="clear" w:color="auto" w:fill="auto"/>
                  <w:vAlign w:val="center"/>
                </w:tcPr>
                <w:p w14:paraId="6189FF49">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0.04</w:t>
                  </w:r>
                </w:p>
              </w:tc>
              <w:tc>
                <w:tcPr>
                  <w:tcW w:w="1313" w:type="dxa"/>
                  <w:shd w:val="clear" w:color="auto" w:fill="auto"/>
                  <w:vAlign w:val="center"/>
                </w:tcPr>
                <w:p w14:paraId="6B607CE7">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0.05</w:t>
                  </w:r>
                </w:p>
              </w:tc>
              <w:tc>
                <w:tcPr>
                  <w:tcW w:w="764" w:type="pct"/>
                  <w:shd w:val="clear" w:color="auto" w:fill="auto"/>
                  <w:vAlign w:val="center"/>
                </w:tcPr>
                <w:p w14:paraId="6A3B036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≤20</w:t>
                  </w:r>
                </w:p>
              </w:tc>
              <w:tc>
                <w:tcPr>
                  <w:tcW w:w="762" w:type="pct"/>
                  <w:shd w:val="clear" w:color="auto" w:fill="auto"/>
                  <w:vAlign w:val="center"/>
                </w:tcPr>
                <w:p w14:paraId="2C8DE01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w:t>
                  </w:r>
                </w:p>
              </w:tc>
            </w:tr>
            <w:tr w14:paraId="026CA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18" w:hRule="atLeast"/>
                <w:jc w:val="center"/>
              </w:trPr>
              <w:tc>
                <w:tcPr>
                  <w:tcW w:w="682" w:type="pct"/>
                  <w:vMerge w:val="continue"/>
                  <w:vAlign w:val="center"/>
                </w:tcPr>
                <w:p w14:paraId="517964C8">
                  <w:pPr>
                    <w:pStyle w:val="74"/>
                    <w:rPr>
                      <w:b w:val="0"/>
                      <w:color w:val="000000" w:themeColor="text1"/>
                      <w14:textFill>
                        <w14:solidFill>
                          <w14:schemeClr w14:val="tx1"/>
                        </w14:solidFill>
                      </w14:textFill>
                    </w:rPr>
                  </w:pPr>
                </w:p>
              </w:tc>
              <w:tc>
                <w:tcPr>
                  <w:tcW w:w="1038" w:type="pct"/>
                  <w:shd w:val="clear" w:color="auto" w:fill="auto"/>
                  <w:vAlign w:val="center"/>
                </w:tcPr>
                <w:p w14:paraId="2189D556">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亚硝酸盐氮</w:t>
                  </w:r>
                </w:p>
              </w:tc>
              <w:tc>
                <w:tcPr>
                  <w:tcW w:w="867" w:type="pct"/>
                  <w:shd w:val="clear" w:color="auto" w:fill="auto"/>
                  <w:vAlign w:val="center"/>
                </w:tcPr>
                <w:p w14:paraId="103B06BA">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0.034</w:t>
                  </w:r>
                </w:p>
              </w:tc>
              <w:tc>
                <w:tcPr>
                  <w:tcW w:w="1313" w:type="dxa"/>
                  <w:shd w:val="clear" w:color="auto" w:fill="auto"/>
                  <w:vAlign w:val="center"/>
                </w:tcPr>
                <w:p w14:paraId="144828B8">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0.033</w:t>
                  </w:r>
                </w:p>
              </w:tc>
              <w:tc>
                <w:tcPr>
                  <w:tcW w:w="764" w:type="pct"/>
                  <w:shd w:val="clear" w:color="auto" w:fill="auto"/>
                  <w:vAlign w:val="center"/>
                </w:tcPr>
                <w:p w14:paraId="7F79681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762" w:type="pct"/>
                  <w:shd w:val="clear" w:color="auto" w:fill="auto"/>
                  <w:vAlign w:val="center"/>
                </w:tcPr>
                <w:p w14:paraId="752BCAB4">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达标</w:t>
                  </w:r>
                </w:p>
              </w:tc>
            </w:tr>
            <w:tr w14:paraId="4A4CE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18" w:hRule="atLeast"/>
                <w:jc w:val="center"/>
              </w:trPr>
              <w:tc>
                <w:tcPr>
                  <w:tcW w:w="682" w:type="pct"/>
                  <w:vMerge w:val="continue"/>
                  <w:vAlign w:val="center"/>
                </w:tcPr>
                <w:p w14:paraId="4801D163">
                  <w:pPr>
                    <w:pStyle w:val="74"/>
                    <w:rPr>
                      <w:b w:val="0"/>
                      <w:color w:val="000000" w:themeColor="text1"/>
                      <w14:textFill>
                        <w14:solidFill>
                          <w14:schemeClr w14:val="tx1"/>
                        </w14:solidFill>
                      </w14:textFill>
                    </w:rPr>
                  </w:pPr>
                </w:p>
              </w:tc>
              <w:tc>
                <w:tcPr>
                  <w:tcW w:w="1038" w:type="pct"/>
                  <w:shd w:val="clear" w:color="auto" w:fill="auto"/>
                  <w:vAlign w:val="center"/>
                </w:tcPr>
                <w:p w14:paraId="24680F51">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挥发酚</w:t>
                  </w:r>
                </w:p>
              </w:tc>
              <w:tc>
                <w:tcPr>
                  <w:tcW w:w="867" w:type="pct"/>
                  <w:shd w:val="clear" w:color="auto" w:fill="auto"/>
                  <w:vAlign w:val="center"/>
                </w:tcPr>
                <w:p w14:paraId="03784D4D">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0.0003L</w:t>
                  </w:r>
                </w:p>
              </w:tc>
              <w:tc>
                <w:tcPr>
                  <w:tcW w:w="1313" w:type="dxa"/>
                  <w:shd w:val="clear" w:color="auto" w:fill="auto"/>
                  <w:vAlign w:val="center"/>
                </w:tcPr>
                <w:p w14:paraId="7865DB98">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0.0003L</w:t>
                  </w:r>
                </w:p>
              </w:tc>
              <w:tc>
                <w:tcPr>
                  <w:tcW w:w="764" w:type="pct"/>
                  <w:shd w:val="clear" w:color="auto" w:fill="auto"/>
                  <w:vAlign w:val="center"/>
                </w:tcPr>
                <w:p w14:paraId="7255548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≤0.002</w:t>
                  </w:r>
                </w:p>
              </w:tc>
              <w:tc>
                <w:tcPr>
                  <w:tcW w:w="762" w:type="pct"/>
                  <w:shd w:val="clear" w:color="auto" w:fill="auto"/>
                  <w:vAlign w:val="center"/>
                </w:tcPr>
                <w:p w14:paraId="5C3BD4C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0596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18" w:hRule="atLeast"/>
                <w:jc w:val="center"/>
              </w:trPr>
              <w:tc>
                <w:tcPr>
                  <w:tcW w:w="682" w:type="pct"/>
                  <w:vMerge w:val="continue"/>
                  <w:vAlign w:val="center"/>
                </w:tcPr>
                <w:p w14:paraId="20755A86">
                  <w:pPr>
                    <w:pStyle w:val="74"/>
                    <w:rPr>
                      <w:b w:val="0"/>
                      <w:color w:val="000000" w:themeColor="text1"/>
                      <w14:textFill>
                        <w14:solidFill>
                          <w14:schemeClr w14:val="tx1"/>
                        </w14:solidFill>
                      </w14:textFill>
                    </w:rPr>
                  </w:pPr>
                </w:p>
              </w:tc>
              <w:tc>
                <w:tcPr>
                  <w:tcW w:w="1038" w:type="pct"/>
                  <w:shd w:val="clear" w:color="auto" w:fill="auto"/>
                  <w:vAlign w:val="center"/>
                </w:tcPr>
                <w:p w14:paraId="1A9C995E">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氰化物</w:t>
                  </w:r>
                </w:p>
              </w:tc>
              <w:tc>
                <w:tcPr>
                  <w:tcW w:w="867" w:type="pct"/>
                  <w:shd w:val="clear" w:color="auto" w:fill="auto"/>
                  <w:vAlign w:val="center"/>
                </w:tcPr>
                <w:p w14:paraId="3AF1C3D9">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0.004L</w:t>
                  </w:r>
                </w:p>
              </w:tc>
              <w:tc>
                <w:tcPr>
                  <w:tcW w:w="1313" w:type="dxa"/>
                  <w:shd w:val="clear" w:color="auto" w:fill="auto"/>
                  <w:vAlign w:val="center"/>
                </w:tcPr>
                <w:p w14:paraId="522305C6">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0.004L</w:t>
                  </w:r>
                </w:p>
              </w:tc>
              <w:tc>
                <w:tcPr>
                  <w:tcW w:w="764" w:type="pct"/>
                  <w:shd w:val="clear" w:color="auto" w:fill="auto"/>
                  <w:vAlign w:val="center"/>
                </w:tcPr>
                <w:p w14:paraId="356A9AF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≤0.05</w:t>
                  </w:r>
                </w:p>
              </w:tc>
              <w:tc>
                <w:tcPr>
                  <w:tcW w:w="762" w:type="pct"/>
                  <w:shd w:val="clear" w:color="auto" w:fill="auto"/>
                  <w:vAlign w:val="center"/>
                </w:tcPr>
                <w:p w14:paraId="61F4A8D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33A60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18" w:hRule="atLeast"/>
                <w:jc w:val="center"/>
              </w:trPr>
              <w:tc>
                <w:tcPr>
                  <w:tcW w:w="682" w:type="pct"/>
                  <w:vMerge w:val="continue"/>
                  <w:vAlign w:val="center"/>
                </w:tcPr>
                <w:p w14:paraId="69744287">
                  <w:pPr>
                    <w:pStyle w:val="74"/>
                    <w:rPr>
                      <w:b w:val="0"/>
                      <w:color w:val="000000" w:themeColor="text1"/>
                      <w14:textFill>
                        <w14:solidFill>
                          <w14:schemeClr w14:val="tx1"/>
                        </w14:solidFill>
                      </w14:textFill>
                    </w:rPr>
                  </w:pPr>
                </w:p>
              </w:tc>
              <w:tc>
                <w:tcPr>
                  <w:tcW w:w="1038" w:type="pct"/>
                  <w:shd w:val="clear" w:color="auto" w:fill="auto"/>
                  <w:vAlign w:val="center"/>
                </w:tcPr>
                <w:p w14:paraId="72E2A2B1">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六价铬</w:t>
                  </w:r>
                </w:p>
              </w:tc>
              <w:tc>
                <w:tcPr>
                  <w:tcW w:w="867" w:type="pct"/>
                  <w:shd w:val="clear" w:color="auto" w:fill="auto"/>
                  <w:vAlign w:val="center"/>
                </w:tcPr>
                <w:p w14:paraId="43391D38">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0.004L</w:t>
                  </w:r>
                </w:p>
              </w:tc>
              <w:tc>
                <w:tcPr>
                  <w:tcW w:w="1313" w:type="dxa"/>
                  <w:shd w:val="clear" w:color="auto" w:fill="auto"/>
                  <w:vAlign w:val="center"/>
                </w:tcPr>
                <w:p w14:paraId="5D400F78">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0.004L</w:t>
                  </w:r>
                </w:p>
              </w:tc>
              <w:tc>
                <w:tcPr>
                  <w:tcW w:w="764" w:type="pct"/>
                  <w:shd w:val="clear" w:color="auto" w:fill="auto"/>
                  <w:vAlign w:val="center"/>
                </w:tcPr>
                <w:p w14:paraId="119698D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≤0.05</w:t>
                  </w:r>
                </w:p>
              </w:tc>
              <w:tc>
                <w:tcPr>
                  <w:tcW w:w="762" w:type="pct"/>
                  <w:shd w:val="clear" w:color="auto" w:fill="auto"/>
                  <w:vAlign w:val="center"/>
                </w:tcPr>
                <w:p w14:paraId="580FD64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5B869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18" w:hRule="atLeast"/>
                <w:jc w:val="center"/>
              </w:trPr>
              <w:tc>
                <w:tcPr>
                  <w:tcW w:w="682" w:type="pct"/>
                  <w:vMerge w:val="continue"/>
                  <w:vAlign w:val="center"/>
                </w:tcPr>
                <w:p w14:paraId="3CE4B3E1">
                  <w:pPr>
                    <w:pStyle w:val="74"/>
                    <w:rPr>
                      <w:b w:val="0"/>
                      <w:color w:val="000000" w:themeColor="text1"/>
                      <w14:textFill>
                        <w14:solidFill>
                          <w14:schemeClr w14:val="tx1"/>
                        </w14:solidFill>
                      </w14:textFill>
                    </w:rPr>
                  </w:pPr>
                </w:p>
              </w:tc>
              <w:tc>
                <w:tcPr>
                  <w:tcW w:w="1038" w:type="pct"/>
                  <w:shd w:val="clear" w:color="auto" w:fill="auto"/>
                  <w:vAlign w:val="center"/>
                </w:tcPr>
                <w:p w14:paraId="1B143246">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硫酸盐</w:t>
                  </w:r>
                </w:p>
              </w:tc>
              <w:tc>
                <w:tcPr>
                  <w:tcW w:w="867" w:type="pct"/>
                  <w:shd w:val="clear" w:color="auto" w:fill="auto"/>
                  <w:vAlign w:val="center"/>
                </w:tcPr>
                <w:p w14:paraId="41823584">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35</w:t>
                  </w:r>
                </w:p>
              </w:tc>
              <w:tc>
                <w:tcPr>
                  <w:tcW w:w="1313" w:type="dxa"/>
                  <w:shd w:val="clear" w:color="auto" w:fill="auto"/>
                  <w:vAlign w:val="center"/>
                </w:tcPr>
                <w:p w14:paraId="35E09A98">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34</w:t>
                  </w:r>
                </w:p>
              </w:tc>
              <w:tc>
                <w:tcPr>
                  <w:tcW w:w="764" w:type="pct"/>
                  <w:shd w:val="clear" w:color="auto" w:fill="auto"/>
                  <w:vAlign w:val="center"/>
                </w:tcPr>
                <w:p w14:paraId="2FA1A67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≤250</w:t>
                  </w:r>
                </w:p>
              </w:tc>
              <w:tc>
                <w:tcPr>
                  <w:tcW w:w="762" w:type="pct"/>
                  <w:shd w:val="clear" w:color="auto" w:fill="auto"/>
                  <w:vAlign w:val="center"/>
                </w:tcPr>
                <w:p w14:paraId="4968CB2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3D02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18" w:hRule="atLeast"/>
                <w:jc w:val="center"/>
              </w:trPr>
              <w:tc>
                <w:tcPr>
                  <w:tcW w:w="682" w:type="pct"/>
                  <w:vMerge w:val="continue"/>
                  <w:vAlign w:val="center"/>
                </w:tcPr>
                <w:p w14:paraId="1B609923">
                  <w:pPr>
                    <w:pStyle w:val="74"/>
                    <w:rPr>
                      <w:b w:val="0"/>
                      <w:color w:val="000000" w:themeColor="text1"/>
                      <w14:textFill>
                        <w14:solidFill>
                          <w14:schemeClr w14:val="tx1"/>
                        </w14:solidFill>
                      </w14:textFill>
                    </w:rPr>
                  </w:pPr>
                </w:p>
              </w:tc>
              <w:tc>
                <w:tcPr>
                  <w:tcW w:w="1038" w:type="pct"/>
                  <w:shd w:val="clear" w:color="auto" w:fill="auto"/>
                  <w:vAlign w:val="center"/>
                </w:tcPr>
                <w:p w14:paraId="420069F8">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总大肠菌群（MPN/100mL）</w:t>
                  </w:r>
                </w:p>
              </w:tc>
              <w:tc>
                <w:tcPr>
                  <w:tcW w:w="867" w:type="pct"/>
                  <w:shd w:val="clear" w:color="auto" w:fill="auto"/>
                  <w:vAlign w:val="center"/>
                </w:tcPr>
                <w:p w14:paraId="55CF58CD">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2L</w:t>
                  </w:r>
                </w:p>
              </w:tc>
              <w:tc>
                <w:tcPr>
                  <w:tcW w:w="1313" w:type="dxa"/>
                  <w:shd w:val="clear" w:color="auto" w:fill="auto"/>
                  <w:vAlign w:val="center"/>
                </w:tcPr>
                <w:p w14:paraId="2401474E">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2L</w:t>
                  </w:r>
                </w:p>
              </w:tc>
              <w:tc>
                <w:tcPr>
                  <w:tcW w:w="764" w:type="pct"/>
                  <w:shd w:val="clear" w:color="auto" w:fill="auto"/>
                  <w:vAlign w:val="center"/>
                </w:tcPr>
                <w:p w14:paraId="07E79B4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≤30</w:t>
                  </w:r>
                </w:p>
              </w:tc>
              <w:tc>
                <w:tcPr>
                  <w:tcW w:w="762" w:type="pct"/>
                  <w:shd w:val="clear" w:color="auto" w:fill="auto"/>
                  <w:vAlign w:val="center"/>
                </w:tcPr>
                <w:p w14:paraId="3966E9F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4325B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18" w:hRule="atLeast"/>
                <w:jc w:val="center"/>
              </w:trPr>
              <w:tc>
                <w:tcPr>
                  <w:tcW w:w="682" w:type="pct"/>
                  <w:vMerge w:val="continue"/>
                  <w:vAlign w:val="center"/>
                </w:tcPr>
                <w:p w14:paraId="75360E85">
                  <w:pPr>
                    <w:pStyle w:val="74"/>
                    <w:rPr>
                      <w:b w:val="0"/>
                      <w:color w:val="000000" w:themeColor="text1"/>
                      <w14:textFill>
                        <w14:solidFill>
                          <w14:schemeClr w14:val="tx1"/>
                        </w14:solidFill>
                      </w14:textFill>
                    </w:rPr>
                  </w:pPr>
                </w:p>
              </w:tc>
              <w:tc>
                <w:tcPr>
                  <w:tcW w:w="1038" w:type="pct"/>
                  <w:shd w:val="clear" w:color="auto" w:fill="auto"/>
                  <w:vAlign w:val="center"/>
                </w:tcPr>
                <w:p w14:paraId="3ABB7131">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细菌总数（CFU/mL）</w:t>
                  </w:r>
                </w:p>
              </w:tc>
              <w:tc>
                <w:tcPr>
                  <w:tcW w:w="867" w:type="pct"/>
                  <w:shd w:val="clear" w:color="auto" w:fill="auto"/>
                  <w:vAlign w:val="center"/>
                </w:tcPr>
                <w:p w14:paraId="2AD7951B">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71</w:t>
                  </w:r>
                </w:p>
              </w:tc>
              <w:tc>
                <w:tcPr>
                  <w:tcW w:w="1313" w:type="dxa"/>
                  <w:shd w:val="clear" w:color="auto" w:fill="auto"/>
                  <w:vAlign w:val="center"/>
                </w:tcPr>
                <w:p w14:paraId="351EAFC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64</w:t>
                  </w:r>
                </w:p>
              </w:tc>
              <w:tc>
                <w:tcPr>
                  <w:tcW w:w="764" w:type="pct"/>
                  <w:shd w:val="clear" w:color="auto" w:fill="auto"/>
                  <w:vAlign w:val="center"/>
                </w:tcPr>
                <w:p w14:paraId="157594B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≤100</w:t>
                  </w:r>
                </w:p>
              </w:tc>
              <w:tc>
                <w:tcPr>
                  <w:tcW w:w="762" w:type="pct"/>
                  <w:shd w:val="clear" w:color="auto" w:fill="auto"/>
                  <w:vAlign w:val="center"/>
                </w:tcPr>
                <w:p w14:paraId="50B8B00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092B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18" w:hRule="atLeast"/>
                <w:jc w:val="center"/>
              </w:trPr>
              <w:tc>
                <w:tcPr>
                  <w:tcW w:w="682" w:type="pct"/>
                  <w:vMerge w:val="continue"/>
                  <w:vAlign w:val="center"/>
                </w:tcPr>
                <w:p w14:paraId="27B4F393">
                  <w:pPr>
                    <w:pStyle w:val="74"/>
                    <w:rPr>
                      <w:b w:val="0"/>
                      <w:color w:val="000000" w:themeColor="text1"/>
                      <w14:textFill>
                        <w14:solidFill>
                          <w14:schemeClr w14:val="tx1"/>
                        </w14:solidFill>
                      </w14:textFill>
                    </w:rPr>
                  </w:pPr>
                </w:p>
              </w:tc>
              <w:tc>
                <w:tcPr>
                  <w:tcW w:w="1038" w:type="pct"/>
                  <w:shd w:val="clear" w:color="auto" w:fill="auto"/>
                  <w:vAlign w:val="center"/>
                </w:tcPr>
                <w:p w14:paraId="5E648EEB">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汞</w:t>
                  </w:r>
                </w:p>
              </w:tc>
              <w:tc>
                <w:tcPr>
                  <w:tcW w:w="867" w:type="pct"/>
                  <w:shd w:val="clear" w:color="auto" w:fill="auto"/>
                  <w:vAlign w:val="center"/>
                </w:tcPr>
                <w:p w14:paraId="65D67AC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0.00007</w:t>
                  </w:r>
                </w:p>
              </w:tc>
              <w:tc>
                <w:tcPr>
                  <w:tcW w:w="1313" w:type="dxa"/>
                  <w:shd w:val="clear" w:color="auto" w:fill="auto"/>
                  <w:vAlign w:val="center"/>
                </w:tcPr>
                <w:p w14:paraId="47CB87CC">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0.00007</w:t>
                  </w:r>
                </w:p>
              </w:tc>
              <w:tc>
                <w:tcPr>
                  <w:tcW w:w="764" w:type="pct"/>
                  <w:shd w:val="clear" w:color="auto" w:fill="auto"/>
                  <w:vAlign w:val="center"/>
                </w:tcPr>
                <w:p w14:paraId="74FB23D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≤0.001</w:t>
                  </w:r>
                </w:p>
              </w:tc>
              <w:tc>
                <w:tcPr>
                  <w:tcW w:w="762" w:type="pct"/>
                  <w:shd w:val="clear" w:color="auto" w:fill="auto"/>
                  <w:vAlign w:val="center"/>
                </w:tcPr>
                <w:p w14:paraId="59F051C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21DA3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18" w:hRule="atLeast"/>
                <w:jc w:val="center"/>
              </w:trPr>
              <w:tc>
                <w:tcPr>
                  <w:tcW w:w="682" w:type="pct"/>
                  <w:vMerge w:val="continue"/>
                  <w:vAlign w:val="center"/>
                </w:tcPr>
                <w:p w14:paraId="770BB8CA">
                  <w:pPr>
                    <w:pStyle w:val="74"/>
                    <w:rPr>
                      <w:b w:val="0"/>
                      <w:color w:val="000000" w:themeColor="text1"/>
                      <w14:textFill>
                        <w14:solidFill>
                          <w14:schemeClr w14:val="tx1"/>
                        </w14:solidFill>
                      </w14:textFill>
                    </w:rPr>
                  </w:pPr>
                </w:p>
              </w:tc>
              <w:tc>
                <w:tcPr>
                  <w:tcW w:w="1038" w:type="pct"/>
                  <w:shd w:val="clear" w:color="auto" w:fill="auto"/>
                  <w:vAlign w:val="center"/>
                </w:tcPr>
                <w:p w14:paraId="147B8CB2">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砷</w:t>
                  </w:r>
                </w:p>
              </w:tc>
              <w:tc>
                <w:tcPr>
                  <w:tcW w:w="867" w:type="pct"/>
                  <w:shd w:val="clear" w:color="auto" w:fill="auto"/>
                  <w:vAlign w:val="center"/>
                </w:tcPr>
                <w:p w14:paraId="6B371427">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0.0003L</w:t>
                  </w:r>
                </w:p>
              </w:tc>
              <w:tc>
                <w:tcPr>
                  <w:tcW w:w="1313" w:type="dxa"/>
                  <w:shd w:val="clear" w:color="auto" w:fill="auto"/>
                  <w:vAlign w:val="center"/>
                </w:tcPr>
                <w:p w14:paraId="75BCB5DE">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0.0003L</w:t>
                  </w:r>
                </w:p>
              </w:tc>
              <w:tc>
                <w:tcPr>
                  <w:tcW w:w="764" w:type="pct"/>
                  <w:shd w:val="clear" w:color="auto" w:fill="auto"/>
                  <w:vAlign w:val="center"/>
                </w:tcPr>
                <w:p w14:paraId="0FD0E47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≤0.01</w:t>
                  </w:r>
                </w:p>
              </w:tc>
              <w:tc>
                <w:tcPr>
                  <w:tcW w:w="762" w:type="pct"/>
                  <w:shd w:val="clear" w:color="auto" w:fill="auto"/>
                  <w:vAlign w:val="center"/>
                </w:tcPr>
                <w:p w14:paraId="5964CD8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01A0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18" w:hRule="atLeast"/>
                <w:jc w:val="center"/>
              </w:trPr>
              <w:tc>
                <w:tcPr>
                  <w:tcW w:w="682" w:type="pct"/>
                  <w:vMerge w:val="continue"/>
                  <w:vAlign w:val="center"/>
                </w:tcPr>
                <w:p w14:paraId="5DBC7708">
                  <w:pPr>
                    <w:pStyle w:val="74"/>
                    <w:rPr>
                      <w:b w:val="0"/>
                      <w:color w:val="000000" w:themeColor="text1"/>
                      <w14:textFill>
                        <w14:solidFill>
                          <w14:schemeClr w14:val="tx1"/>
                        </w14:solidFill>
                      </w14:textFill>
                    </w:rPr>
                  </w:pPr>
                </w:p>
              </w:tc>
              <w:tc>
                <w:tcPr>
                  <w:tcW w:w="1038" w:type="pct"/>
                  <w:shd w:val="clear" w:color="auto" w:fill="auto"/>
                  <w:vAlign w:val="center"/>
                </w:tcPr>
                <w:p w14:paraId="723302F8">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氟化物</w:t>
                  </w:r>
                </w:p>
              </w:tc>
              <w:tc>
                <w:tcPr>
                  <w:tcW w:w="867" w:type="pct"/>
                  <w:shd w:val="clear" w:color="auto" w:fill="auto"/>
                  <w:vAlign w:val="center"/>
                </w:tcPr>
                <w:p w14:paraId="316F484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0.42</w:t>
                  </w:r>
                </w:p>
              </w:tc>
              <w:tc>
                <w:tcPr>
                  <w:tcW w:w="1313" w:type="dxa"/>
                  <w:shd w:val="clear" w:color="auto" w:fill="auto"/>
                  <w:vAlign w:val="center"/>
                </w:tcPr>
                <w:p w14:paraId="062EE306">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0.39</w:t>
                  </w:r>
                </w:p>
              </w:tc>
              <w:tc>
                <w:tcPr>
                  <w:tcW w:w="764" w:type="pct"/>
                  <w:shd w:val="clear" w:color="auto" w:fill="auto"/>
                  <w:vAlign w:val="center"/>
                </w:tcPr>
                <w:p w14:paraId="127356E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w:t>
                  </w:r>
                </w:p>
              </w:tc>
              <w:tc>
                <w:tcPr>
                  <w:tcW w:w="762" w:type="pct"/>
                  <w:shd w:val="clear" w:color="auto" w:fill="auto"/>
                  <w:vAlign w:val="center"/>
                </w:tcPr>
                <w:p w14:paraId="415E029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59FFA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18" w:hRule="atLeast"/>
                <w:jc w:val="center"/>
              </w:trPr>
              <w:tc>
                <w:tcPr>
                  <w:tcW w:w="682" w:type="pct"/>
                  <w:vMerge w:val="continue"/>
                  <w:vAlign w:val="center"/>
                </w:tcPr>
                <w:p w14:paraId="6B0DAD1E">
                  <w:pPr>
                    <w:pStyle w:val="74"/>
                    <w:rPr>
                      <w:b w:val="0"/>
                      <w:color w:val="000000" w:themeColor="text1"/>
                      <w14:textFill>
                        <w14:solidFill>
                          <w14:schemeClr w14:val="tx1"/>
                        </w14:solidFill>
                      </w14:textFill>
                    </w:rPr>
                  </w:pPr>
                </w:p>
              </w:tc>
              <w:tc>
                <w:tcPr>
                  <w:tcW w:w="1038" w:type="pct"/>
                  <w:shd w:val="clear" w:color="auto" w:fill="auto"/>
                  <w:vAlign w:val="center"/>
                </w:tcPr>
                <w:p w14:paraId="0D76C12C">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铅</w:t>
                  </w:r>
                </w:p>
              </w:tc>
              <w:tc>
                <w:tcPr>
                  <w:tcW w:w="867" w:type="pct"/>
                  <w:shd w:val="clear" w:color="auto" w:fill="auto"/>
                  <w:vAlign w:val="center"/>
                </w:tcPr>
                <w:p w14:paraId="0E295B66">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0.001L</w:t>
                  </w:r>
                </w:p>
              </w:tc>
              <w:tc>
                <w:tcPr>
                  <w:tcW w:w="1313" w:type="dxa"/>
                  <w:shd w:val="clear" w:color="auto" w:fill="auto"/>
                  <w:vAlign w:val="center"/>
                </w:tcPr>
                <w:p w14:paraId="508B46E2">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0.001L</w:t>
                  </w:r>
                </w:p>
              </w:tc>
              <w:tc>
                <w:tcPr>
                  <w:tcW w:w="764" w:type="pct"/>
                  <w:shd w:val="clear" w:color="auto" w:fill="auto"/>
                  <w:vAlign w:val="center"/>
                </w:tcPr>
                <w:p w14:paraId="1F4C766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≤0.01</w:t>
                  </w:r>
                </w:p>
              </w:tc>
              <w:tc>
                <w:tcPr>
                  <w:tcW w:w="762" w:type="pct"/>
                  <w:shd w:val="clear" w:color="auto" w:fill="auto"/>
                  <w:vAlign w:val="center"/>
                </w:tcPr>
                <w:p w14:paraId="0B03ED5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6BB0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18" w:hRule="atLeast"/>
                <w:jc w:val="center"/>
              </w:trPr>
              <w:tc>
                <w:tcPr>
                  <w:tcW w:w="682" w:type="pct"/>
                  <w:vMerge w:val="continue"/>
                  <w:vAlign w:val="center"/>
                </w:tcPr>
                <w:p w14:paraId="24CF06A8">
                  <w:pPr>
                    <w:pStyle w:val="74"/>
                    <w:rPr>
                      <w:b w:val="0"/>
                      <w:color w:val="000000" w:themeColor="text1"/>
                      <w14:textFill>
                        <w14:solidFill>
                          <w14:schemeClr w14:val="tx1"/>
                        </w14:solidFill>
                      </w14:textFill>
                    </w:rPr>
                  </w:pPr>
                </w:p>
              </w:tc>
              <w:tc>
                <w:tcPr>
                  <w:tcW w:w="1038" w:type="pct"/>
                  <w:shd w:val="clear" w:color="auto" w:fill="auto"/>
                  <w:vAlign w:val="center"/>
                </w:tcPr>
                <w:p w14:paraId="7BE60497">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镉</w:t>
                  </w:r>
                </w:p>
              </w:tc>
              <w:tc>
                <w:tcPr>
                  <w:tcW w:w="867" w:type="pct"/>
                  <w:shd w:val="clear" w:color="auto" w:fill="auto"/>
                  <w:vAlign w:val="center"/>
                </w:tcPr>
                <w:p w14:paraId="1A0A4093">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0.0001L</w:t>
                  </w:r>
                </w:p>
              </w:tc>
              <w:tc>
                <w:tcPr>
                  <w:tcW w:w="1313" w:type="dxa"/>
                  <w:shd w:val="clear" w:color="auto" w:fill="auto"/>
                  <w:vAlign w:val="center"/>
                </w:tcPr>
                <w:p w14:paraId="56F031F3">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0.0001L</w:t>
                  </w:r>
                </w:p>
              </w:tc>
              <w:tc>
                <w:tcPr>
                  <w:tcW w:w="764" w:type="pct"/>
                  <w:shd w:val="clear" w:color="auto" w:fill="auto"/>
                  <w:vAlign w:val="center"/>
                </w:tcPr>
                <w:p w14:paraId="6D3865B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≤0.005</w:t>
                  </w:r>
                </w:p>
              </w:tc>
              <w:tc>
                <w:tcPr>
                  <w:tcW w:w="762" w:type="pct"/>
                  <w:shd w:val="clear" w:color="auto" w:fill="auto"/>
                  <w:vAlign w:val="center"/>
                </w:tcPr>
                <w:p w14:paraId="08A22EF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5ACF0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18" w:hRule="atLeast"/>
                <w:jc w:val="center"/>
              </w:trPr>
              <w:tc>
                <w:tcPr>
                  <w:tcW w:w="682" w:type="pct"/>
                  <w:vMerge w:val="continue"/>
                  <w:vAlign w:val="center"/>
                </w:tcPr>
                <w:p w14:paraId="0F4437B4">
                  <w:pPr>
                    <w:pStyle w:val="74"/>
                    <w:rPr>
                      <w:b w:val="0"/>
                      <w:color w:val="000000" w:themeColor="text1"/>
                      <w14:textFill>
                        <w14:solidFill>
                          <w14:schemeClr w14:val="tx1"/>
                        </w14:solidFill>
                      </w14:textFill>
                    </w:rPr>
                  </w:pPr>
                </w:p>
              </w:tc>
              <w:tc>
                <w:tcPr>
                  <w:tcW w:w="1038" w:type="pct"/>
                  <w:shd w:val="clear" w:color="auto" w:fill="auto"/>
                  <w:vAlign w:val="center"/>
                </w:tcPr>
                <w:p w14:paraId="65528EC3">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铁</w:t>
                  </w:r>
                </w:p>
              </w:tc>
              <w:tc>
                <w:tcPr>
                  <w:tcW w:w="867" w:type="pct"/>
                  <w:shd w:val="clear" w:color="auto" w:fill="auto"/>
                  <w:vAlign w:val="center"/>
                </w:tcPr>
                <w:p w14:paraId="2AAEB81A">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0.03L</w:t>
                  </w:r>
                </w:p>
              </w:tc>
              <w:tc>
                <w:tcPr>
                  <w:tcW w:w="1313" w:type="dxa"/>
                  <w:shd w:val="clear" w:color="auto" w:fill="auto"/>
                  <w:vAlign w:val="center"/>
                </w:tcPr>
                <w:p w14:paraId="15FD756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0.03L</w:t>
                  </w:r>
                </w:p>
              </w:tc>
              <w:tc>
                <w:tcPr>
                  <w:tcW w:w="764" w:type="pct"/>
                  <w:shd w:val="clear" w:color="auto" w:fill="auto"/>
                  <w:vAlign w:val="center"/>
                </w:tcPr>
                <w:p w14:paraId="4A0F4A7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≤0.3</w:t>
                  </w:r>
                </w:p>
              </w:tc>
              <w:tc>
                <w:tcPr>
                  <w:tcW w:w="762" w:type="pct"/>
                  <w:shd w:val="clear" w:color="auto" w:fill="auto"/>
                  <w:vAlign w:val="center"/>
                </w:tcPr>
                <w:p w14:paraId="3B3DAF1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17403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18" w:hRule="atLeast"/>
                <w:jc w:val="center"/>
              </w:trPr>
              <w:tc>
                <w:tcPr>
                  <w:tcW w:w="682" w:type="pct"/>
                  <w:vMerge w:val="continue"/>
                  <w:vAlign w:val="center"/>
                </w:tcPr>
                <w:p w14:paraId="52A6EE62">
                  <w:pPr>
                    <w:pStyle w:val="74"/>
                    <w:rPr>
                      <w:b w:val="0"/>
                      <w:color w:val="000000" w:themeColor="text1"/>
                      <w14:textFill>
                        <w14:solidFill>
                          <w14:schemeClr w14:val="tx1"/>
                        </w14:solidFill>
                      </w14:textFill>
                    </w:rPr>
                  </w:pPr>
                </w:p>
              </w:tc>
              <w:tc>
                <w:tcPr>
                  <w:tcW w:w="1038" w:type="pct"/>
                  <w:shd w:val="clear" w:color="auto" w:fill="auto"/>
                  <w:vAlign w:val="center"/>
                </w:tcPr>
                <w:p w14:paraId="1EFA79B3">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锰</w:t>
                  </w:r>
                </w:p>
              </w:tc>
              <w:tc>
                <w:tcPr>
                  <w:tcW w:w="867" w:type="pct"/>
                  <w:shd w:val="clear" w:color="auto" w:fill="auto"/>
                  <w:vAlign w:val="center"/>
                </w:tcPr>
                <w:p w14:paraId="2A947B8B">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0.01L</w:t>
                  </w:r>
                </w:p>
              </w:tc>
              <w:tc>
                <w:tcPr>
                  <w:tcW w:w="1313" w:type="dxa"/>
                  <w:shd w:val="clear" w:color="auto" w:fill="auto"/>
                  <w:vAlign w:val="center"/>
                </w:tcPr>
                <w:p w14:paraId="28B99125">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0.01L</w:t>
                  </w:r>
                </w:p>
              </w:tc>
              <w:tc>
                <w:tcPr>
                  <w:tcW w:w="764" w:type="pct"/>
                  <w:shd w:val="clear" w:color="auto" w:fill="auto"/>
                  <w:vAlign w:val="center"/>
                </w:tcPr>
                <w:p w14:paraId="20809B8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≤0.1</w:t>
                  </w:r>
                </w:p>
              </w:tc>
              <w:tc>
                <w:tcPr>
                  <w:tcW w:w="762" w:type="pct"/>
                  <w:shd w:val="clear" w:color="auto" w:fill="auto"/>
                  <w:vAlign w:val="center"/>
                </w:tcPr>
                <w:p w14:paraId="5388482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63FD5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218" w:hRule="atLeast"/>
                <w:jc w:val="center"/>
              </w:trPr>
              <w:tc>
                <w:tcPr>
                  <w:tcW w:w="682" w:type="pct"/>
                  <w:vMerge w:val="continue"/>
                  <w:vAlign w:val="center"/>
                </w:tcPr>
                <w:p w14:paraId="78710A76">
                  <w:pPr>
                    <w:pStyle w:val="74"/>
                    <w:rPr>
                      <w:b w:val="0"/>
                      <w:color w:val="000000" w:themeColor="text1"/>
                      <w14:textFill>
                        <w14:solidFill>
                          <w14:schemeClr w14:val="tx1"/>
                        </w14:solidFill>
                      </w14:textFill>
                    </w:rPr>
                  </w:pPr>
                </w:p>
              </w:tc>
              <w:tc>
                <w:tcPr>
                  <w:tcW w:w="1038" w:type="pct"/>
                  <w:shd w:val="clear" w:color="auto" w:fill="auto"/>
                  <w:vAlign w:val="center"/>
                </w:tcPr>
                <w:p w14:paraId="6506ACBE">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石油类</w:t>
                  </w:r>
                </w:p>
              </w:tc>
              <w:tc>
                <w:tcPr>
                  <w:tcW w:w="867" w:type="pct"/>
                  <w:shd w:val="clear" w:color="auto" w:fill="auto"/>
                  <w:vAlign w:val="center"/>
                </w:tcPr>
                <w:p w14:paraId="3F951CCD">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0.01L</w:t>
                  </w:r>
                </w:p>
              </w:tc>
              <w:tc>
                <w:tcPr>
                  <w:tcW w:w="1313" w:type="dxa"/>
                  <w:shd w:val="clear" w:color="auto" w:fill="auto"/>
                  <w:vAlign w:val="center"/>
                </w:tcPr>
                <w:p w14:paraId="7450A652">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0.01L</w:t>
                  </w:r>
                </w:p>
              </w:tc>
              <w:tc>
                <w:tcPr>
                  <w:tcW w:w="764" w:type="pct"/>
                  <w:shd w:val="clear" w:color="auto" w:fill="auto"/>
                  <w:vAlign w:val="center"/>
                </w:tcPr>
                <w:p w14:paraId="36CD40E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w:t>
                  </w:r>
                </w:p>
              </w:tc>
              <w:tc>
                <w:tcPr>
                  <w:tcW w:w="762" w:type="pct"/>
                  <w:shd w:val="clear" w:color="auto" w:fill="auto"/>
                  <w:vAlign w:val="center"/>
                </w:tcPr>
                <w:p w14:paraId="57EC85DF">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w:t>
                  </w:r>
                </w:p>
              </w:tc>
            </w:tr>
          </w:tbl>
          <w:p w14:paraId="1D03685A">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根据以上监测结果，谓所村龙潭水质能达到《地下水质量标准》（GB/T 14848-2017）中III类标准限值的要求。</w:t>
            </w:r>
          </w:p>
          <w:p w14:paraId="180092B4">
            <w:pPr>
              <w:spacing w:line="360" w:lineRule="auto"/>
              <w:rPr>
                <w:b/>
                <w:bCs/>
                <w:color w:val="000000" w:themeColor="text1"/>
                <w:sz w:val="24"/>
                <w14:textFill>
                  <w14:solidFill>
                    <w14:schemeClr w14:val="tx1"/>
                  </w14:solidFill>
                </w14:textFill>
              </w:rPr>
            </w:pPr>
            <w:r>
              <w:rPr>
                <w:color w:val="000000" w:themeColor="text1"/>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2211070</wp:posOffset>
                      </wp:positionH>
                      <wp:positionV relativeFrom="paragraph">
                        <wp:posOffset>1689735</wp:posOffset>
                      </wp:positionV>
                      <wp:extent cx="910590" cy="338455"/>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910590" cy="3384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AAA02A">
                                  <w:pPr>
                                    <w:rPr>
                                      <w:color w:val="FF0000"/>
                                      <w:sz w:val="28"/>
                                      <w:szCs w:val="28"/>
                                    </w:rPr>
                                  </w:pPr>
                                  <w:r>
                                    <w:rPr>
                                      <w:rFonts w:hint="eastAsia"/>
                                      <w:color w:val="FF0000"/>
                                      <w:sz w:val="28"/>
                                      <w:szCs w:val="28"/>
                                    </w:rPr>
                                    <w:t>1300m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4.1pt;margin-top:133.05pt;height:26.65pt;width:71.7pt;z-index:251662336;mso-width-relative:page;mso-height-relative:page;" filled="f" stroked="f" coordsize="21600,21600" o:gfxdata="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anXob2wAAAAsBAAAPAAAAAAAAAAEAIAAAACIAAABk&#10;cnMvZG93bnJldi54bWxQSwECFAAUAAAACACHTuJAf94SyDwCAABnBAAADgAAAAAAAAABACAAAAAq&#10;AQAAZHJzL2Uyb0RvYy54bWxQSwUGAAAAAAYABgBZAQAA2AUAAAAA&#10;">
                      <v:fill on="f" focussize="0,0"/>
                      <v:stroke on="f" weight="0.5pt"/>
                      <v:imagedata o:title=""/>
                      <o:lock v:ext="edit" aspectratio="f"/>
                      <v:textbox>
                        <w:txbxContent>
                          <w:p w14:paraId="4EAAA02A">
                            <w:pPr>
                              <w:rPr>
                                <w:color w:val="FF0000"/>
                                <w:sz w:val="28"/>
                                <w:szCs w:val="28"/>
                              </w:rPr>
                            </w:pPr>
                            <w:r>
                              <w:rPr>
                                <w:rFonts w:hint="eastAsia"/>
                                <w:color w:val="FF0000"/>
                                <w:sz w:val="28"/>
                                <w:szCs w:val="28"/>
                              </w:rPr>
                              <w:t>1300m</w:t>
                            </w:r>
                          </w:p>
                        </w:txbxContent>
                      </v:textbox>
                    </v:shape>
                  </w:pict>
                </mc:Fallback>
              </mc:AlternateContent>
            </w:r>
            <w:r>
              <w:rPr>
                <w:color w:val="000000" w:themeColor="text1"/>
                <w:sz w:val="24"/>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1179195</wp:posOffset>
                      </wp:positionH>
                      <wp:positionV relativeFrom="paragraph">
                        <wp:posOffset>360045</wp:posOffset>
                      </wp:positionV>
                      <wp:extent cx="2618105" cy="4077335"/>
                      <wp:effectExtent l="5080" t="0" r="5715" b="18415"/>
                      <wp:wrapNone/>
                      <wp:docPr id="16" name="直接箭头连接符 16"/>
                      <wp:cNvGraphicFramePr/>
                      <a:graphic xmlns:a="http://schemas.openxmlformats.org/drawingml/2006/main">
                        <a:graphicData uri="http://schemas.microsoft.com/office/word/2010/wordprocessingShape">
                          <wps:wsp>
                            <wps:cNvCnPr/>
                            <wps:spPr>
                              <a:xfrm flipV="1">
                                <a:off x="2950210" y="3399790"/>
                                <a:ext cx="2618105" cy="4077335"/>
                              </a:xfrm>
                              <a:prstGeom prst="straightConnector1">
                                <a:avLst/>
                              </a:prstGeom>
                              <a:ln w="12700" cmpd="sng">
                                <a:solidFill>
                                  <a:srgbClr val="FF0000"/>
                                </a:solidFill>
                                <a:prstDash val="solid"/>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92.85pt;margin-top:28.35pt;height:321.05pt;width:206.15pt;z-index:251661312;mso-width-relative:page;mso-height-relative:page;" filled="f" stroked="t" coordsize="21600,21600" o:gfxdata="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bzV16tgAAAAKAQAADwAA&#10;AAAAAAABACAAAAAiAAAAZHJzL2Rvd25yZXYueG1sUEsBAhQAFAAAAAgAh07iQGbDNqEWAgAA5gMA&#10;AA4AAAAAAAAAAQAgAAAAJwEAAGRycy9lMm9Eb2MueG1sUEsFBgAAAAAGAAYAWQEAAK8FAAAAAA==&#10;">
                      <v:fill on="f" focussize="0,0"/>
                      <v:stroke weight="1pt" color="#FF0000 [3204]" joinstyle="round" endarrow="open"/>
                      <v:imagedata o:title=""/>
                      <o:lock v:ext="edit" aspectratio="f"/>
                    </v:shape>
                  </w:pict>
                </mc:Fallback>
              </mc:AlternateContent>
            </w:r>
            <w:r>
              <w:rPr>
                <w:rFonts w:hint="eastAsia"/>
                <w:b/>
                <w:bCs/>
                <w:color w:val="000000" w:themeColor="text1"/>
                <w:sz w:val="24"/>
                <w14:textFill>
                  <w14:solidFill>
                    <w14:schemeClr w14:val="tx1"/>
                  </w14:solidFill>
                </w14:textFill>
              </w:rPr>
              <w:drawing>
                <wp:inline distT="0" distB="0" distL="114300" distR="114300">
                  <wp:extent cx="4725035" cy="4977765"/>
                  <wp:effectExtent l="0" t="0" r="18415" b="13335"/>
                  <wp:docPr id="1" name="图片 1" descr="df0b0b7d-5586-417a-931f-d2b8d11c3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f0b0b7d-5586-417a-931f-d2b8d11c3871"/>
                          <pic:cNvPicPr>
                            <a:picLocks noChangeAspect="1"/>
                          </pic:cNvPicPr>
                        </pic:nvPicPr>
                        <pic:blipFill>
                          <a:blip r:embed="rId22"/>
                          <a:stretch>
                            <a:fillRect/>
                          </a:stretch>
                        </pic:blipFill>
                        <pic:spPr>
                          <a:xfrm>
                            <a:off x="0" y="0"/>
                            <a:ext cx="4725035" cy="4977765"/>
                          </a:xfrm>
                          <a:prstGeom prst="rect">
                            <a:avLst/>
                          </a:prstGeom>
                        </pic:spPr>
                      </pic:pic>
                    </a:graphicData>
                  </a:graphic>
                </wp:inline>
              </w:drawing>
            </w:r>
          </w:p>
          <w:p w14:paraId="19BEC71F">
            <w:pPr>
              <w:pStyle w:val="58"/>
              <w:rPr>
                <w:color w:val="000000" w:themeColor="text1"/>
                <w14:textFill>
                  <w14:solidFill>
                    <w14:schemeClr w14:val="tx1"/>
                  </w14:solidFill>
                </w14:textFill>
              </w:rPr>
            </w:pPr>
            <w:r>
              <w:rPr>
                <w:rFonts w:hint="eastAsia"/>
                <w:color w:val="000000" w:themeColor="text1"/>
                <w14:textFill>
                  <w14:solidFill>
                    <w14:schemeClr w14:val="tx1"/>
                  </w14:solidFill>
                </w14:textFill>
              </w:rPr>
              <w:t>图3-2  引用地下水监测点位与本项目位置关系</w:t>
            </w:r>
          </w:p>
          <w:p w14:paraId="42FD9D6C">
            <w:pPr>
              <w:spacing w:line="360" w:lineRule="auto"/>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5、土壤环境质量现状</w:t>
            </w:r>
          </w:p>
          <w:p w14:paraId="63DD69FD">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本项目位于云南寻甸产业园区金所片区金所组团内，为肥料制造项目。根据《建设项目环境影响报告表编制技术指南（污染影响类）》，原则上不开展土壤、地下水环境质量现状调查，</w:t>
            </w:r>
            <w:r>
              <w:rPr>
                <w:color w:val="000000" w:themeColor="text1"/>
                <w:kern w:val="0"/>
                <w:sz w:val="24"/>
                <w14:textFill>
                  <w14:solidFill>
                    <w14:schemeClr w14:val="tx1"/>
                  </w14:solidFill>
                </w14:textFill>
              </w:rPr>
              <w:t>建设项目存在土壤</w:t>
            </w:r>
            <w:r>
              <w:rPr>
                <w:rFonts w:hint="eastAsia"/>
                <w:color w:val="000000" w:themeColor="text1"/>
                <w:sz w:val="24"/>
                <w14:textFill>
                  <w14:solidFill>
                    <w14:schemeClr w14:val="tx1"/>
                  </w14:solidFill>
                </w14:textFill>
              </w:rPr>
              <w:t>、地下水</w:t>
            </w:r>
            <w:r>
              <w:rPr>
                <w:color w:val="000000" w:themeColor="text1"/>
                <w:kern w:val="0"/>
                <w:sz w:val="24"/>
                <w14:textFill>
                  <w14:solidFill>
                    <w14:schemeClr w14:val="tx1"/>
                  </w14:solidFill>
                </w14:textFill>
              </w:rPr>
              <w:t>环境污染途径的，应结合污染源、保护目标分布情况开展现状调查以留作背景值</w:t>
            </w:r>
            <w:r>
              <w:rPr>
                <w:rFonts w:hint="eastAsia"/>
                <w:color w:val="000000" w:themeColor="text1"/>
                <w:kern w:val="0"/>
                <w:sz w:val="24"/>
                <w14:textFill>
                  <w14:solidFill>
                    <w14:schemeClr w14:val="tx1"/>
                  </w14:solidFill>
                </w14:textFill>
              </w:rPr>
              <w:t>。</w:t>
            </w:r>
            <w:r>
              <w:rPr>
                <w:rFonts w:hint="eastAsia"/>
                <w:color w:val="000000" w:themeColor="text1"/>
                <w:sz w:val="24"/>
                <w14:textFill>
                  <w14:solidFill>
                    <w14:schemeClr w14:val="tx1"/>
                  </w14:solidFill>
                </w14:textFill>
              </w:rPr>
              <w:t>本项目厂区均进行硬化，且按照分区防渗的要求进行建设，项目不存在土壤环境污染途径，因此本项目可不开展土壤环境质量现状调查。</w:t>
            </w:r>
          </w:p>
          <w:p w14:paraId="37978FB7">
            <w:pPr>
              <w:adjustRightInd w:val="0"/>
              <w:snapToGrid w:val="0"/>
              <w:spacing w:line="360" w:lineRule="auto"/>
              <w:ind w:firstLine="482" w:firstLineChars="200"/>
              <w:rPr>
                <w:rFonts w:eastAsiaTheme="minorEastAsia"/>
                <w:b/>
                <w:bCs/>
                <w:color w:val="000000" w:themeColor="text1"/>
                <w:sz w:val="24"/>
                <w14:textFill>
                  <w14:solidFill>
                    <w14:schemeClr w14:val="tx1"/>
                  </w14:solidFill>
                </w14:textFill>
              </w:rPr>
            </w:pPr>
            <w:r>
              <w:rPr>
                <w:rFonts w:hint="eastAsia" w:eastAsiaTheme="minorEastAsia"/>
                <w:b/>
                <w:bCs/>
                <w:color w:val="000000" w:themeColor="text1"/>
                <w:sz w:val="24"/>
                <w14:textFill>
                  <w14:solidFill>
                    <w14:schemeClr w14:val="tx1"/>
                  </w14:solidFill>
                </w14:textFill>
              </w:rPr>
              <w:t>6、生态环境质量现状</w:t>
            </w:r>
          </w:p>
          <w:p w14:paraId="49D3CE83">
            <w:pPr>
              <w:adjustRightInd w:val="0"/>
              <w:snapToGrid w:val="0"/>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color w:val="000000" w:themeColor="text1"/>
                <w:sz w:val="24"/>
                <w14:textFill>
                  <w14:solidFill>
                    <w14:schemeClr w14:val="tx1"/>
                  </w14:solidFill>
                </w14:textFill>
              </w:rPr>
              <w:t>项目所在区域为规划的工业园区，区域现状主要为水泥路面和人工绿化植被，无天然植被，生态环境自我调节能力低。调查范围内未涉及国家保护的珍贵野生动、植物。评价范围内无自然保护区、风景名胜区、森林公园、历史文化遗迹等需要特殊保护的生态敏感目标，无国家珍惜濒危保护物种、国家重点保护野生植物和云南省级重点野生保护动物，也没有特有种类存在。</w:t>
            </w:r>
          </w:p>
          <w:p w14:paraId="2A4088E0">
            <w:pPr>
              <w:adjustRightInd w:val="0"/>
              <w:snapToGrid w:val="0"/>
              <w:spacing w:line="360" w:lineRule="auto"/>
              <w:ind w:firstLine="480" w:firstLineChars="200"/>
              <w:rPr>
                <w:color w:val="000000" w:themeColor="text1"/>
                <w:kern w:val="0"/>
                <w:szCs w:val="21"/>
                <w14:textFill>
                  <w14:solidFill>
                    <w14:schemeClr w14:val="tx1"/>
                  </w14:solidFill>
                </w14:textFill>
              </w:rPr>
            </w:pPr>
            <w:r>
              <w:rPr>
                <w:rFonts w:hint="eastAsia" w:eastAsiaTheme="minorEastAsia"/>
                <w:color w:val="000000" w:themeColor="text1"/>
                <w:sz w:val="24"/>
                <w:lang w:val="zh-CN"/>
                <w14:textFill>
                  <w14:solidFill>
                    <w14:schemeClr w14:val="tx1"/>
                  </w14:solidFill>
                </w14:textFill>
              </w:rPr>
              <w:t>总体来说，评价区域地表植被覆盖率一般，野生动物种类及数量均较少，无珍稀动植物种分布，评价区域生态环境质量较差，自身调节能力差，主要受人为因素控制。</w:t>
            </w:r>
          </w:p>
        </w:tc>
      </w:tr>
      <w:tr w14:paraId="493444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5" w:hRule="atLeast"/>
          <w:jc w:val="center"/>
        </w:trPr>
        <w:tc>
          <w:tcPr>
            <w:tcW w:w="800" w:type="dxa"/>
            <w:vAlign w:val="center"/>
          </w:tcPr>
          <w:p w14:paraId="5C471FCA">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环境</w:t>
            </w:r>
          </w:p>
          <w:p w14:paraId="46CDCC3F">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保护</w:t>
            </w:r>
          </w:p>
          <w:p w14:paraId="1FAFA776">
            <w:pPr>
              <w:adjustRightInd w:val="0"/>
              <w:snapToGrid w:val="0"/>
              <w:jc w:val="center"/>
              <w:rPr>
                <w:color w:val="000000" w:themeColor="text1"/>
                <w:kern w:val="0"/>
                <w:szCs w:val="21"/>
                <w14:textFill>
                  <w14:solidFill>
                    <w14:schemeClr w14:val="tx1"/>
                  </w14:solidFill>
                </w14:textFill>
              </w:rPr>
            </w:pPr>
            <w:r>
              <w:rPr>
                <w:color w:val="000000" w:themeColor="text1"/>
                <w:kern w:val="0"/>
                <w:sz w:val="24"/>
                <w14:textFill>
                  <w14:solidFill>
                    <w14:schemeClr w14:val="tx1"/>
                  </w14:solidFill>
                </w14:textFill>
              </w:rPr>
              <w:t>目标</w:t>
            </w:r>
          </w:p>
        </w:tc>
        <w:tc>
          <w:tcPr>
            <w:tcW w:w="8190" w:type="dxa"/>
            <w:vAlign w:val="center"/>
          </w:tcPr>
          <w:p w14:paraId="1BD0AEE3">
            <w:pPr>
              <w:spacing w:line="360" w:lineRule="auto"/>
              <w:ind w:firstLine="480" w:firstLineChars="200"/>
              <w:rPr>
                <w:color w:val="000000" w:themeColor="text1"/>
                <w:sz w:val="24"/>
                <w:szCs w:val="22"/>
                <w14:textFill>
                  <w14:solidFill>
                    <w14:schemeClr w14:val="tx1"/>
                  </w14:solidFill>
                </w14:textFill>
              </w:rPr>
            </w:pPr>
            <w:r>
              <w:rPr>
                <w:color w:val="000000" w:themeColor="text1"/>
                <w:sz w:val="24"/>
                <w:szCs w:val="22"/>
                <w14:textFill>
                  <w14:solidFill>
                    <w14:schemeClr w14:val="tx1"/>
                  </w14:solidFill>
                </w14:textFill>
              </w:rPr>
              <w:t>大气环境保护目标：大气环境评价范围为厂界外500m范围；</w:t>
            </w:r>
          </w:p>
          <w:p w14:paraId="64DA312A">
            <w:pPr>
              <w:tabs>
                <w:tab w:val="left" w:pos="4200"/>
              </w:tabs>
              <w:spacing w:line="360" w:lineRule="auto"/>
              <w:ind w:firstLine="480" w:firstLineChars="200"/>
              <w:rPr>
                <w:color w:val="000000" w:themeColor="text1"/>
                <w14:textFill>
                  <w14:solidFill>
                    <w14:schemeClr w14:val="tx1"/>
                  </w14:solidFill>
                </w14:textFill>
              </w:rPr>
            </w:pPr>
            <w:r>
              <w:rPr>
                <w:color w:val="000000" w:themeColor="text1"/>
                <w:sz w:val="24"/>
                <w:szCs w:val="22"/>
                <w14:textFill>
                  <w14:solidFill>
                    <w14:schemeClr w14:val="tx1"/>
                  </w14:solidFill>
                </w14:textFill>
              </w:rPr>
              <w:t>声环境保护目标：声环境评价范围为建设项目厂界外50m范围；</w:t>
            </w:r>
          </w:p>
          <w:p w14:paraId="4A413376">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color w:val="000000" w:themeColor="text1"/>
                <w:sz w:val="24"/>
                <w14:textFill>
                  <w14:solidFill>
                    <w14:schemeClr w14:val="tx1"/>
                  </w14:solidFill>
                </w14:textFill>
              </w:rPr>
              <w:t>地表水环境：</w:t>
            </w:r>
            <w:r>
              <w:rPr>
                <w:color w:val="000000" w:themeColor="text1"/>
                <w:sz w:val="24"/>
                <w14:textFill>
                  <w14:solidFill>
                    <w14:schemeClr w14:val="tx1"/>
                  </w14:solidFill>
                </w14:textFill>
              </w:rPr>
              <w:t>本项目所在区域主要地表水体为项目</w:t>
            </w:r>
            <w:r>
              <w:rPr>
                <w:rFonts w:hint="eastAsia"/>
                <w:color w:val="000000" w:themeColor="text1"/>
                <w:sz w:val="24"/>
                <w14:textFill>
                  <w14:solidFill>
                    <w14:schemeClr w14:val="tx1"/>
                  </w14:solidFill>
                </w14:textFill>
              </w:rPr>
              <w:t>北侧1200m</w:t>
            </w:r>
            <w:r>
              <w:rPr>
                <w:color w:val="000000" w:themeColor="text1"/>
                <w:sz w:val="24"/>
                <w14:textFill>
                  <w14:solidFill>
                    <w14:schemeClr w14:val="tx1"/>
                  </w14:solidFill>
                </w14:textFill>
              </w:rPr>
              <w:t>处的</w:t>
            </w:r>
            <w:r>
              <w:rPr>
                <w:rFonts w:hint="eastAsia"/>
                <w:color w:val="000000" w:themeColor="text1"/>
                <w:sz w:val="24"/>
                <w14:textFill>
                  <w14:solidFill>
                    <w14:schemeClr w14:val="tx1"/>
                  </w14:solidFill>
                </w14:textFill>
              </w:rPr>
              <w:t>谓所河</w:t>
            </w:r>
            <w:r>
              <w:rPr>
                <w:color w:val="000000" w:themeColor="text1"/>
                <w:kern w:val="0"/>
                <w:sz w:val="24"/>
                <w14:textFill>
                  <w14:solidFill>
                    <w14:schemeClr w14:val="tx1"/>
                  </w14:solidFill>
                </w14:textFill>
              </w:rPr>
              <w:t>。项目所在段不存在《环境影响评价技术导则地表水环境》（HJ2.3-2018）中的地表水环境保护目标（饮用水水源保护区、饮用水取水口，涉水的自然保护区、风景名胜区，重要湿地、重点保护与珍稀水生生物的栖息地、重要水生生物的自然产卵场及索饵场、越冬场和洄游通道，天然渔场等渔业水体，以及水产种质资源保护区等）</w:t>
            </w:r>
            <w:r>
              <w:rPr>
                <w:rFonts w:hint="eastAsia"/>
                <w:color w:val="000000" w:themeColor="text1"/>
                <w:kern w:val="0"/>
                <w:sz w:val="24"/>
                <w14:textFill>
                  <w14:solidFill>
                    <w14:schemeClr w14:val="tx1"/>
                  </w14:solidFill>
                </w14:textFill>
              </w:rPr>
              <w:t>。</w:t>
            </w:r>
          </w:p>
          <w:p w14:paraId="34E2CDCA">
            <w:pPr>
              <w:pStyle w:val="11"/>
              <w:snapToGrid w:val="0"/>
              <w:spacing w:after="0" w:line="360" w:lineRule="auto"/>
              <w:ind w:left="0" w:leftChars="0"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地下水环境：厂界外500m范围内无地下水集中式饮用水源和热水、矿泉水、温泉等特殊地下水敏感目标；</w:t>
            </w:r>
          </w:p>
          <w:p w14:paraId="150B899A">
            <w:pPr>
              <w:pStyle w:val="11"/>
              <w:snapToGrid w:val="0"/>
              <w:spacing w:after="0" w:line="360" w:lineRule="auto"/>
              <w:ind w:left="0" w:leftChars="0"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生态环境：项目在工业园区内，不新增用地，无生态环境保护目标。</w:t>
            </w:r>
          </w:p>
          <w:p w14:paraId="34502703">
            <w:pPr>
              <w:pStyle w:val="11"/>
              <w:snapToGrid w:val="0"/>
              <w:spacing w:after="0" w:line="360" w:lineRule="auto"/>
              <w:ind w:left="0" w:leftChars="0" w:firstLine="480" w:firstLineChars="200"/>
              <w:rPr>
                <w:color w:val="000000" w:themeColor="text1"/>
                <w14:textFill>
                  <w14:solidFill>
                    <w14:schemeClr w14:val="tx1"/>
                  </w14:solidFill>
                </w14:textFill>
              </w:rPr>
            </w:pPr>
            <w:r>
              <w:rPr>
                <w:color w:val="000000" w:themeColor="text1"/>
                <w14:textFill>
                  <w14:solidFill>
                    <w14:schemeClr w14:val="tx1"/>
                  </w14:solidFill>
                </w14:textFill>
              </w:rPr>
              <w:t>主要环境保护目标详见表3-</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：项目</w:t>
            </w:r>
            <w:r>
              <w:rPr>
                <w:rFonts w:hint="eastAsia"/>
                <w:color w:val="000000" w:themeColor="text1"/>
                <w14:textFill>
                  <w14:solidFill>
                    <w14:schemeClr w14:val="tx1"/>
                  </w14:solidFill>
                </w14:textFill>
              </w:rPr>
              <w:t>保护目标分布图</w:t>
            </w:r>
            <w:r>
              <w:rPr>
                <w:color w:val="000000" w:themeColor="text1"/>
                <w14:textFill>
                  <w14:solidFill>
                    <w14:schemeClr w14:val="tx1"/>
                  </w14:solidFill>
                </w14:textFill>
              </w:rPr>
              <w:t>详见附图</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w:t>
            </w:r>
          </w:p>
          <w:p w14:paraId="0E786E1F">
            <w:pPr>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表3-</w:t>
            </w:r>
            <w:r>
              <w:rPr>
                <w:rFonts w:hint="eastAsia"/>
                <w:b/>
                <w:color w:val="000000" w:themeColor="text1"/>
                <w:szCs w:val="21"/>
                <w14:textFill>
                  <w14:solidFill>
                    <w14:schemeClr w14:val="tx1"/>
                  </w14:solidFill>
                </w14:textFill>
              </w:rPr>
              <w:t>5</w:t>
            </w:r>
            <w:r>
              <w:rPr>
                <w:b/>
                <w:color w:val="000000" w:themeColor="text1"/>
                <w:szCs w:val="21"/>
                <w14:textFill>
                  <w14:solidFill>
                    <w14:schemeClr w14:val="tx1"/>
                  </w14:solidFill>
                </w14:textFill>
              </w:rPr>
              <w:t xml:space="preserve">  项目周边环境保护目标一览表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700"/>
              <w:gridCol w:w="1203"/>
              <w:gridCol w:w="1131"/>
              <w:gridCol w:w="773"/>
              <w:gridCol w:w="471"/>
              <w:gridCol w:w="877"/>
              <w:gridCol w:w="1045"/>
              <w:gridCol w:w="1106"/>
            </w:tblGrid>
            <w:tr w14:paraId="41B10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8" w:type="dxa"/>
                  <w:vMerge w:val="restart"/>
                  <w:tcBorders>
                    <w:top w:val="single" w:color="auto" w:sz="4" w:space="0"/>
                    <w:left w:val="single" w:color="auto" w:sz="4" w:space="0"/>
                    <w:right w:val="single" w:color="auto" w:sz="4" w:space="0"/>
                  </w:tcBorders>
                  <w:vAlign w:val="center"/>
                </w:tcPr>
                <w:p w14:paraId="228C5D62">
                  <w:pPr>
                    <w:autoSpaceDE w:val="0"/>
                    <w:autoSpaceDN w:val="0"/>
                    <w:contextualSpacing/>
                    <w:jc w:val="center"/>
                    <w:rPr>
                      <w:bCs/>
                      <w:color w:val="000000" w:themeColor="text1"/>
                      <w:szCs w:val="21"/>
                      <w14:textFill>
                        <w14:solidFill>
                          <w14:schemeClr w14:val="tx1"/>
                        </w14:solidFill>
                      </w14:textFill>
                    </w:rPr>
                  </w:pPr>
                  <w:r>
                    <w:rPr>
                      <w:bCs/>
                      <w:color w:val="000000" w:themeColor="text1"/>
                      <w:spacing w:val="-10"/>
                      <w:szCs w:val="21"/>
                      <w14:textFill>
                        <w14:solidFill>
                          <w14:schemeClr w14:val="tx1"/>
                        </w14:solidFill>
                      </w14:textFill>
                    </w:rPr>
                    <w:t>类别</w:t>
                  </w:r>
                </w:p>
              </w:tc>
              <w:tc>
                <w:tcPr>
                  <w:tcW w:w="700" w:type="dxa"/>
                  <w:vMerge w:val="restart"/>
                  <w:tcBorders>
                    <w:top w:val="single" w:color="auto" w:sz="4" w:space="0"/>
                    <w:left w:val="single" w:color="auto" w:sz="4" w:space="0"/>
                    <w:right w:val="single" w:color="auto" w:sz="4" w:space="0"/>
                  </w:tcBorders>
                  <w:vAlign w:val="center"/>
                </w:tcPr>
                <w:p w14:paraId="755A78B3">
                  <w:pPr>
                    <w:autoSpaceDE w:val="0"/>
                    <w:autoSpaceDN w:val="0"/>
                    <w:contextualSpacing/>
                    <w:jc w:val="center"/>
                    <w:rPr>
                      <w:bCs/>
                      <w:color w:val="000000" w:themeColor="text1"/>
                      <w:spacing w:val="-10"/>
                      <w:szCs w:val="21"/>
                      <w14:textFill>
                        <w14:solidFill>
                          <w14:schemeClr w14:val="tx1"/>
                        </w14:solidFill>
                      </w14:textFill>
                    </w:rPr>
                  </w:pPr>
                  <w:r>
                    <w:rPr>
                      <w:bCs/>
                      <w:color w:val="000000" w:themeColor="text1"/>
                      <w:spacing w:val="-10"/>
                      <w:szCs w:val="21"/>
                      <w14:textFill>
                        <w14:solidFill>
                          <w14:schemeClr w14:val="tx1"/>
                        </w14:solidFill>
                      </w14:textFill>
                    </w:rPr>
                    <w:t>保护</w:t>
                  </w:r>
                </w:p>
                <w:p w14:paraId="4BDCD420">
                  <w:pPr>
                    <w:autoSpaceDE w:val="0"/>
                    <w:autoSpaceDN w:val="0"/>
                    <w:contextualSpacing/>
                    <w:jc w:val="center"/>
                    <w:rPr>
                      <w:bCs/>
                      <w:color w:val="000000" w:themeColor="text1"/>
                      <w:szCs w:val="21"/>
                      <w14:textFill>
                        <w14:solidFill>
                          <w14:schemeClr w14:val="tx1"/>
                        </w14:solidFill>
                      </w14:textFill>
                    </w:rPr>
                  </w:pPr>
                  <w:r>
                    <w:rPr>
                      <w:bCs/>
                      <w:color w:val="000000" w:themeColor="text1"/>
                      <w:spacing w:val="-10"/>
                      <w:szCs w:val="21"/>
                      <w14:textFill>
                        <w14:solidFill>
                          <w14:schemeClr w14:val="tx1"/>
                        </w14:solidFill>
                      </w14:textFill>
                    </w:rPr>
                    <w:t>目标</w:t>
                  </w:r>
                </w:p>
              </w:tc>
              <w:tc>
                <w:tcPr>
                  <w:tcW w:w="3107" w:type="dxa"/>
                  <w:gridSpan w:val="3"/>
                  <w:tcBorders>
                    <w:top w:val="single" w:color="auto" w:sz="4" w:space="0"/>
                    <w:left w:val="single" w:color="auto" w:sz="4" w:space="0"/>
                    <w:bottom w:val="single" w:color="auto" w:sz="4" w:space="0"/>
                    <w:right w:val="single" w:color="auto" w:sz="4" w:space="0"/>
                  </w:tcBorders>
                  <w:vAlign w:val="center"/>
                </w:tcPr>
                <w:p w14:paraId="67584431">
                  <w:pPr>
                    <w:autoSpaceDE w:val="0"/>
                    <w:autoSpaceDN w:val="0"/>
                    <w:contextualSpacing/>
                    <w:jc w:val="center"/>
                    <w:rPr>
                      <w:bCs/>
                      <w:color w:val="000000" w:themeColor="text1"/>
                      <w:spacing w:val="-10"/>
                      <w:szCs w:val="21"/>
                      <w14:textFill>
                        <w14:solidFill>
                          <w14:schemeClr w14:val="tx1"/>
                        </w14:solidFill>
                      </w14:textFill>
                    </w:rPr>
                  </w:pPr>
                  <w:r>
                    <w:rPr>
                      <w:bCs/>
                      <w:color w:val="000000" w:themeColor="text1"/>
                      <w:spacing w:val="-10"/>
                      <w:szCs w:val="21"/>
                      <w14:textFill>
                        <w14:solidFill>
                          <w14:schemeClr w14:val="tx1"/>
                        </w14:solidFill>
                      </w14:textFill>
                    </w:rPr>
                    <w:t>经纬度</w:t>
                  </w:r>
                </w:p>
              </w:tc>
              <w:tc>
                <w:tcPr>
                  <w:tcW w:w="471" w:type="dxa"/>
                  <w:vMerge w:val="restart"/>
                  <w:tcBorders>
                    <w:top w:val="single" w:color="auto" w:sz="4" w:space="0"/>
                    <w:left w:val="single" w:color="auto" w:sz="4" w:space="0"/>
                    <w:right w:val="single" w:color="auto" w:sz="4" w:space="0"/>
                  </w:tcBorders>
                  <w:vAlign w:val="center"/>
                </w:tcPr>
                <w:p w14:paraId="5AC4BF83">
                  <w:pPr>
                    <w:autoSpaceDE w:val="0"/>
                    <w:autoSpaceDN w:val="0"/>
                    <w:contextualSpacing/>
                    <w:jc w:val="center"/>
                    <w:rPr>
                      <w:bCs/>
                      <w:color w:val="000000" w:themeColor="text1"/>
                      <w:spacing w:val="-10"/>
                      <w:szCs w:val="21"/>
                      <w14:textFill>
                        <w14:solidFill>
                          <w14:schemeClr w14:val="tx1"/>
                        </w14:solidFill>
                      </w14:textFill>
                    </w:rPr>
                  </w:pPr>
                  <w:r>
                    <w:rPr>
                      <w:bCs/>
                      <w:color w:val="000000" w:themeColor="text1"/>
                      <w:spacing w:val="-10"/>
                      <w:szCs w:val="21"/>
                      <w14:textFill>
                        <w14:solidFill>
                          <w14:schemeClr w14:val="tx1"/>
                        </w14:solidFill>
                      </w14:textFill>
                    </w:rPr>
                    <w:t>方位</w:t>
                  </w:r>
                </w:p>
              </w:tc>
              <w:tc>
                <w:tcPr>
                  <w:tcW w:w="877" w:type="dxa"/>
                  <w:vMerge w:val="restart"/>
                  <w:tcBorders>
                    <w:top w:val="single" w:color="auto" w:sz="4" w:space="0"/>
                    <w:left w:val="single" w:color="auto" w:sz="4" w:space="0"/>
                    <w:right w:val="single" w:color="auto" w:sz="4" w:space="0"/>
                  </w:tcBorders>
                  <w:vAlign w:val="center"/>
                </w:tcPr>
                <w:p w14:paraId="6BF16178">
                  <w:pPr>
                    <w:autoSpaceDE w:val="0"/>
                    <w:autoSpaceDN w:val="0"/>
                    <w:contextualSpacing/>
                    <w:jc w:val="center"/>
                    <w:rPr>
                      <w:bCs/>
                      <w:color w:val="000000" w:themeColor="text1"/>
                      <w:spacing w:val="-10"/>
                      <w:szCs w:val="21"/>
                      <w14:textFill>
                        <w14:solidFill>
                          <w14:schemeClr w14:val="tx1"/>
                        </w14:solidFill>
                      </w14:textFill>
                    </w:rPr>
                  </w:pPr>
                  <w:r>
                    <w:rPr>
                      <w:bCs/>
                      <w:color w:val="000000" w:themeColor="text1"/>
                      <w:spacing w:val="-10"/>
                      <w:szCs w:val="21"/>
                      <w14:textFill>
                        <w14:solidFill>
                          <w14:schemeClr w14:val="tx1"/>
                        </w14:solidFill>
                      </w14:textFill>
                    </w:rPr>
                    <w:t>与本项目的相对距离（m）</w:t>
                  </w:r>
                </w:p>
              </w:tc>
              <w:tc>
                <w:tcPr>
                  <w:tcW w:w="1045" w:type="dxa"/>
                  <w:vMerge w:val="restart"/>
                  <w:tcBorders>
                    <w:top w:val="single" w:color="auto" w:sz="4" w:space="0"/>
                    <w:left w:val="single" w:color="auto" w:sz="4" w:space="0"/>
                    <w:right w:val="single" w:color="auto" w:sz="4" w:space="0"/>
                  </w:tcBorders>
                  <w:vAlign w:val="center"/>
                </w:tcPr>
                <w:p w14:paraId="74D1EEBD">
                  <w:pPr>
                    <w:autoSpaceDE w:val="0"/>
                    <w:autoSpaceDN w:val="0"/>
                    <w:contextualSpacing/>
                    <w:jc w:val="center"/>
                    <w:rPr>
                      <w:bCs/>
                      <w:color w:val="000000" w:themeColor="text1"/>
                      <w:szCs w:val="21"/>
                      <w14:textFill>
                        <w14:solidFill>
                          <w14:schemeClr w14:val="tx1"/>
                        </w14:solidFill>
                      </w14:textFill>
                    </w:rPr>
                  </w:pPr>
                  <w:r>
                    <w:rPr>
                      <w:bCs/>
                      <w:color w:val="000000" w:themeColor="text1"/>
                      <w:szCs w:val="21"/>
                      <w14:textFill>
                        <w14:solidFill>
                          <w14:schemeClr w14:val="tx1"/>
                        </w14:solidFill>
                      </w14:textFill>
                    </w:rPr>
                    <w:t>保护对象及人数（人）</w:t>
                  </w:r>
                </w:p>
              </w:tc>
              <w:tc>
                <w:tcPr>
                  <w:tcW w:w="1106" w:type="dxa"/>
                  <w:vMerge w:val="restart"/>
                  <w:tcBorders>
                    <w:top w:val="single" w:color="auto" w:sz="4" w:space="0"/>
                    <w:left w:val="single" w:color="auto" w:sz="4" w:space="0"/>
                    <w:right w:val="single" w:color="auto" w:sz="4" w:space="0"/>
                  </w:tcBorders>
                  <w:vAlign w:val="center"/>
                </w:tcPr>
                <w:p w14:paraId="4ED753B4">
                  <w:pPr>
                    <w:autoSpaceDE w:val="0"/>
                    <w:autoSpaceDN w:val="0"/>
                    <w:contextualSpacing/>
                    <w:jc w:val="center"/>
                    <w:rPr>
                      <w:bCs/>
                      <w:color w:val="000000" w:themeColor="text1"/>
                      <w:szCs w:val="21"/>
                      <w14:textFill>
                        <w14:solidFill>
                          <w14:schemeClr w14:val="tx1"/>
                        </w14:solidFill>
                      </w14:textFill>
                    </w:rPr>
                  </w:pPr>
                  <w:r>
                    <w:rPr>
                      <w:bCs/>
                      <w:color w:val="000000" w:themeColor="text1"/>
                      <w:spacing w:val="-10"/>
                      <w:szCs w:val="21"/>
                      <w14:textFill>
                        <w14:solidFill>
                          <w14:schemeClr w14:val="tx1"/>
                        </w14:solidFill>
                      </w14:textFill>
                    </w:rPr>
                    <w:t>保护级别</w:t>
                  </w:r>
                </w:p>
              </w:tc>
            </w:tr>
            <w:tr w14:paraId="33A3F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8" w:type="dxa"/>
                  <w:vMerge w:val="continue"/>
                  <w:tcBorders>
                    <w:left w:val="single" w:color="auto" w:sz="4" w:space="0"/>
                    <w:bottom w:val="single" w:color="auto" w:sz="4" w:space="0"/>
                    <w:right w:val="single" w:color="auto" w:sz="4" w:space="0"/>
                  </w:tcBorders>
                  <w:vAlign w:val="center"/>
                </w:tcPr>
                <w:p w14:paraId="54E20E3F">
                  <w:pPr>
                    <w:autoSpaceDE w:val="0"/>
                    <w:autoSpaceDN w:val="0"/>
                    <w:contextualSpacing/>
                    <w:jc w:val="center"/>
                    <w:rPr>
                      <w:color w:val="000000" w:themeColor="text1"/>
                      <w:szCs w:val="21"/>
                      <w14:textFill>
                        <w14:solidFill>
                          <w14:schemeClr w14:val="tx1"/>
                        </w14:solidFill>
                      </w14:textFill>
                    </w:rPr>
                  </w:pPr>
                </w:p>
              </w:tc>
              <w:tc>
                <w:tcPr>
                  <w:tcW w:w="700" w:type="dxa"/>
                  <w:vMerge w:val="continue"/>
                  <w:tcBorders>
                    <w:left w:val="single" w:color="auto" w:sz="4" w:space="0"/>
                    <w:bottom w:val="single" w:color="auto" w:sz="4" w:space="0"/>
                    <w:right w:val="single" w:color="auto" w:sz="4" w:space="0"/>
                  </w:tcBorders>
                  <w:vAlign w:val="center"/>
                </w:tcPr>
                <w:p w14:paraId="7E2E300A">
                  <w:pPr>
                    <w:autoSpaceDE w:val="0"/>
                    <w:autoSpaceDN w:val="0"/>
                    <w:contextualSpacing/>
                    <w:jc w:val="center"/>
                    <w:rPr>
                      <w:color w:val="000000" w:themeColor="text1"/>
                      <w:szCs w:val="21"/>
                      <w14:textFill>
                        <w14:solidFill>
                          <w14:schemeClr w14:val="tx1"/>
                        </w14:solidFill>
                      </w14:textFill>
                    </w:rPr>
                  </w:pPr>
                </w:p>
              </w:tc>
              <w:tc>
                <w:tcPr>
                  <w:tcW w:w="1203" w:type="dxa"/>
                  <w:tcBorders>
                    <w:top w:val="single" w:color="auto" w:sz="4" w:space="0"/>
                    <w:left w:val="single" w:color="auto" w:sz="4" w:space="0"/>
                    <w:bottom w:val="single" w:color="auto" w:sz="4" w:space="0"/>
                    <w:right w:val="single" w:color="auto" w:sz="4" w:space="0"/>
                  </w:tcBorders>
                  <w:vAlign w:val="center"/>
                </w:tcPr>
                <w:p w14:paraId="3141A5F6">
                  <w:pPr>
                    <w:autoSpaceDE w:val="0"/>
                    <w:autoSpaceDN w:val="0"/>
                    <w:contextualSpacing/>
                    <w:jc w:val="center"/>
                    <w:rPr>
                      <w:bCs/>
                      <w:color w:val="000000" w:themeColor="text1"/>
                      <w:spacing w:val="-10"/>
                      <w:szCs w:val="21"/>
                      <w14:textFill>
                        <w14:solidFill>
                          <w14:schemeClr w14:val="tx1"/>
                        </w14:solidFill>
                      </w14:textFill>
                    </w:rPr>
                  </w:pPr>
                  <w:r>
                    <w:rPr>
                      <w:bCs/>
                      <w:color w:val="000000" w:themeColor="text1"/>
                      <w:spacing w:val="-10"/>
                      <w:szCs w:val="21"/>
                      <w14:textFill>
                        <w14:solidFill>
                          <w14:schemeClr w14:val="tx1"/>
                        </w14:solidFill>
                      </w14:textFill>
                    </w:rPr>
                    <w:t>经度</w:t>
                  </w:r>
                  <w:r>
                    <w:rPr>
                      <w:rFonts w:hint="eastAsia"/>
                      <w:bCs/>
                      <w:color w:val="000000" w:themeColor="text1"/>
                      <w:spacing w:val="-10"/>
                      <w:szCs w:val="21"/>
                      <w14:textFill>
                        <w14:solidFill>
                          <w14:schemeClr w14:val="tx1"/>
                        </w14:solidFill>
                      </w14:textFill>
                    </w:rPr>
                    <w:t>（</w:t>
                  </w:r>
                  <w:r>
                    <w:rPr>
                      <w:bCs/>
                      <w:color w:val="000000" w:themeColor="text1"/>
                      <w:spacing w:val="-10"/>
                      <w:szCs w:val="21"/>
                      <w14:textFill>
                        <w14:solidFill>
                          <w14:schemeClr w14:val="tx1"/>
                        </w14:solidFill>
                      </w14:textFill>
                    </w:rPr>
                    <w:t>°</w:t>
                  </w:r>
                  <w:r>
                    <w:rPr>
                      <w:rFonts w:hint="eastAsia"/>
                      <w:bCs/>
                      <w:color w:val="000000" w:themeColor="text1"/>
                      <w:spacing w:val="-10"/>
                      <w:szCs w:val="21"/>
                      <w14:textFill>
                        <w14:solidFill>
                          <w14:schemeClr w14:val="tx1"/>
                        </w14:solidFill>
                      </w14:textFill>
                    </w:rPr>
                    <w:t>）</w:t>
                  </w:r>
                </w:p>
              </w:tc>
              <w:tc>
                <w:tcPr>
                  <w:tcW w:w="1131" w:type="dxa"/>
                  <w:tcBorders>
                    <w:top w:val="single" w:color="auto" w:sz="4" w:space="0"/>
                    <w:left w:val="single" w:color="auto" w:sz="4" w:space="0"/>
                    <w:bottom w:val="single" w:color="auto" w:sz="4" w:space="0"/>
                    <w:right w:val="single" w:color="auto" w:sz="4" w:space="0"/>
                  </w:tcBorders>
                  <w:vAlign w:val="center"/>
                </w:tcPr>
                <w:p w14:paraId="50B1D919">
                  <w:pPr>
                    <w:autoSpaceDE w:val="0"/>
                    <w:autoSpaceDN w:val="0"/>
                    <w:contextualSpacing/>
                    <w:jc w:val="center"/>
                    <w:rPr>
                      <w:bCs/>
                      <w:color w:val="000000" w:themeColor="text1"/>
                      <w:spacing w:val="-10"/>
                      <w:szCs w:val="21"/>
                      <w14:textFill>
                        <w14:solidFill>
                          <w14:schemeClr w14:val="tx1"/>
                        </w14:solidFill>
                      </w14:textFill>
                    </w:rPr>
                  </w:pPr>
                  <w:r>
                    <w:rPr>
                      <w:bCs/>
                      <w:color w:val="000000" w:themeColor="text1"/>
                      <w:spacing w:val="-10"/>
                      <w:szCs w:val="21"/>
                      <w14:textFill>
                        <w14:solidFill>
                          <w14:schemeClr w14:val="tx1"/>
                        </w14:solidFill>
                      </w14:textFill>
                    </w:rPr>
                    <w:t>纬度</w:t>
                  </w:r>
                  <w:r>
                    <w:rPr>
                      <w:rFonts w:hint="eastAsia"/>
                      <w:bCs/>
                      <w:color w:val="000000" w:themeColor="text1"/>
                      <w:spacing w:val="-10"/>
                      <w:szCs w:val="21"/>
                      <w14:textFill>
                        <w14:solidFill>
                          <w14:schemeClr w14:val="tx1"/>
                        </w14:solidFill>
                      </w14:textFill>
                    </w:rPr>
                    <w:t>（</w:t>
                  </w:r>
                  <w:r>
                    <w:rPr>
                      <w:bCs/>
                      <w:color w:val="000000" w:themeColor="text1"/>
                      <w:spacing w:val="-10"/>
                      <w:szCs w:val="21"/>
                      <w14:textFill>
                        <w14:solidFill>
                          <w14:schemeClr w14:val="tx1"/>
                        </w14:solidFill>
                      </w14:textFill>
                    </w:rPr>
                    <w:t>°</w:t>
                  </w:r>
                  <w:r>
                    <w:rPr>
                      <w:rFonts w:hint="eastAsia"/>
                      <w:bCs/>
                      <w:color w:val="000000" w:themeColor="text1"/>
                      <w:spacing w:val="-10"/>
                      <w:szCs w:val="21"/>
                      <w14:textFill>
                        <w14:solidFill>
                          <w14:schemeClr w14:val="tx1"/>
                        </w14:solidFill>
                      </w14:textFill>
                    </w:rPr>
                    <w:t>）</w:t>
                  </w:r>
                </w:p>
              </w:tc>
              <w:tc>
                <w:tcPr>
                  <w:tcW w:w="773" w:type="dxa"/>
                  <w:tcBorders>
                    <w:top w:val="single" w:color="auto" w:sz="4" w:space="0"/>
                    <w:left w:val="single" w:color="auto" w:sz="4" w:space="0"/>
                    <w:bottom w:val="single" w:color="auto" w:sz="4" w:space="0"/>
                    <w:right w:val="single" w:color="auto" w:sz="4" w:space="0"/>
                  </w:tcBorders>
                  <w:vAlign w:val="center"/>
                </w:tcPr>
                <w:p w14:paraId="35BBE4DD">
                  <w:pPr>
                    <w:autoSpaceDE w:val="0"/>
                    <w:autoSpaceDN w:val="0"/>
                    <w:contextualSpacing/>
                    <w:jc w:val="center"/>
                    <w:rPr>
                      <w:bCs/>
                      <w:color w:val="000000" w:themeColor="text1"/>
                      <w:spacing w:val="-10"/>
                      <w:szCs w:val="21"/>
                      <w14:textFill>
                        <w14:solidFill>
                          <w14:schemeClr w14:val="tx1"/>
                        </w14:solidFill>
                      </w14:textFill>
                    </w:rPr>
                  </w:pPr>
                  <w:r>
                    <w:rPr>
                      <w:bCs/>
                      <w:color w:val="000000" w:themeColor="text1"/>
                      <w:spacing w:val="-10"/>
                      <w:szCs w:val="21"/>
                      <w14:textFill>
                        <w14:solidFill>
                          <w14:schemeClr w14:val="tx1"/>
                        </w14:solidFill>
                      </w14:textFill>
                    </w:rPr>
                    <w:t>高程(m)</w:t>
                  </w:r>
                </w:p>
              </w:tc>
              <w:tc>
                <w:tcPr>
                  <w:tcW w:w="471" w:type="dxa"/>
                  <w:vMerge w:val="continue"/>
                  <w:tcBorders>
                    <w:left w:val="single" w:color="auto" w:sz="4" w:space="0"/>
                    <w:bottom w:val="single" w:color="auto" w:sz="4" w:space="0"/>
                    <w:right w:val="single" w:color="auto" w:sz="4" w:space="0"/>
                  </w:tcBorders>
                  <w:vAlign w:val="center"/>
                </w:tcPr>
                <w:p w14:paraId="0851B6E6">
                  <w:pPr>
                    <w:autoSpaceDE w:val="0"/>
                    <w:autoSpaceDN w:val="0"/>
                    <w:contextualSpacing/>
                    <w:jc w:val="center"/>
                    <w:rPr>
                      <w:b/>
                      <w:color w:val="000000" w:themeColor="text1"/>
                      <w:spacing w:val="-10"/>
                      <w:szCs w:val="21"/>
                      <w14:textFill>
                        <w14:solidFill>
                          <w14:schemeClr w14:val="tx1"/>
                        </w14:solidFill>
                      </w14:textFill>
                    </w:rPr>
                  </w:pPr>
                </w:p>
              </w:tc>
              <w:tc>
                <w:tcPr>
                  <w:tcW w:w="877" w:type="dxa"/>
                  <w:vMerge w:val="continue"/>
                  <w:tcBorders>
                    <w:left w:val="single" w:color="auto" w:sz="4" w:space="0"/>
                    <w:bottom w:val="single" w:color="auto" w:sz="4" w:space="0"/>
                    <w:right w:val="single" w:color="auto" w:sz="4" w:space="0"/>
                  </w:tcBorders>
                  <w:vAlign w:val="center"/>
                </w:tcPr>
                <w:p w14:paraId="63E776A7">
                  <w:pPr>
                    <w:autoSpaceDE w:val="0"/>
                    <w:autoSpaceDN w:val="0"/>
                    <w:contextualSpacing/>
                    <w:jc w:val="center"/>
                    <w:rPr>
                      <w:b/>
                      <w:color w:val="000000" w:themeColor="text1"/>
                      <w:spacing w:val="-10"/>
                      <w:szCs w:val="21"/>
                      <w14:textFill>
                        <w14:solidFill>
                          <w14:schemeClr w14:val="tx1"/>
                        </w14:solidFill>
                      </w14:textFill>
                    </w:rPr>
                  </w:pPr>
                </w:p>
              </w:tc>
              <w:tc>
                <w:tcPr>
                  <w:tcW w:w="1045" w:type="dxa"/>
                  <w:vMerge w:val="continue"/>
                  <w:tcBorders>
                    <w:left w:val="single" w:color="auto" w:sz="4" w:space="0"/>
                    <w:bottom w:val="single" w:color="auto" w:sz="4" w:space="0"/>
                    <w:right w:val="single" w:color="auto" w:sz="4" w:space="0"/>
                  </w:tcBorders>
                  <w:vAlign w:val="center"/>
                </w:tcPr>
                <w:p w14:paraId="2552AB73">
                  <w:pPr>
                    <w:autoSpaceDE w:val="0"/>
                    <w:autoSpaceDN w:val="0"/>
                    <w:contextualSpacing/>
                    <w:jc w:val="center"/>
                    <w:rPr>
                      <w:b/>
                      <w:color w:val="000000" w:themeColor="text1"/>
                      <w:spacing w:val="-10"/>
                      <w:szCs w:val="21"/>
                      <w14:textFill>
                        <w14:solidFill>
                          <w14:schemeClr w14:val="tx1"/>
                        </w14:solidFill>
                      </w14:textFill>
                    </w:rPr>
                  </w:pPr>
                </w:p>
              </w:tc>
              <w:tc>
                <w:tcPr>
                  <w:tcW w:w="1106" w:type="dxa"/>
                  <w:vMerge w:val="continue"/>
                  <w:tcBorders>
                    <w:left w:val="single" w:color="auto" w:sz="4" w:space="0"/>
                    <w:bottom w:val="single" w:color="auto" w:sz="4" w:space="0"/>
                    <w:right w:val="single" w:color="auto" w:sz="4" w:space="0"/>
                  </w:tcBorders>
                  <w:vAlign w:val="center"/>
                </w:tcPr>
                <w:p w14:paraId="095FDF94">
                  <w:pPr>
                    <w:autoSpaceDE w:val="0"/>
                    <w:autoSpaceDN w:val="0"/>
                    <w:contextualSpacing/>
                    <w:jc w:val="center"/>
                    <w:rPr>
                      <w:b/>
                      <w:color w:val="000000" w:themeColor="text1"/>
                      <w:spacing w:val="-10"/>
                      <w:szCs w:val="21"/>
                      <w14:textFill>
                        <w14:solidFill>
                          <w14:schemeClr w14:val="tx1"/>
                        </w14:solidFill>
                      </w14:textFill>
                    </w:rPr>
                  </w:pPr>
                </w:p>
              </w:tc>
            </w:tr>
            <w:tr w14:paraId="6E1BA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8" w:type="dxa"/>
                  <w:vMerge w:val="restart"/>
                  <w:tcBorders>
                    <w:top w:val="single" w:color="auto" w:sz="4" w:space="0"/>
                    <w:left w:val="single" w:color="auto" w:sz="4" w:space="0"/>
                    <w:right w:val="single" w:color="auto" w:sz="4" w:space="0"/>
                  </w:tcBorders>
                  <w:vAlign w:val="center"/>
                </w:tcPr>
                <w:p w14:paraId="2EE2524F">
                  <w:pPr>
                    <w:autoSpaceDE w:val="0"/>
                    <w:autoSpaceDN w:val="0"/>
                    <w:contextualSpacing/>
                    <w:jc w:val="center"/>
                    <w:rPr>
                      <w:color w:val="000000" w:themeColor="text1"/>
                      <w:spacing w:val="-10"/>
                      <w:szCs w:val="21"/>
                      <w14:textFill>
                        <w14:solidFill>
                          <w14:schemeClr w14:val="tx1"/>
                        </w14:solidFill>
                      </w14:textFill>
                    </w:rPr>
                  </w:pPr>
                  <w:r>
                    <w:rPr>
                      <w:color w:val="000000" w:themeColor="text1"/>
                      <w:spacing w:val="-10"/>
                      <w:szCs w:val="21"/>
                      <w14:textFill>
                        <w14:solidFill>
                          <w14:schemeClr w14:val="tx1"/>
                        </w14:solidFill>
                      </w14:textFill>
                    </w:rPr>
                    <w:t>大气环境</w:t>
                  </w:r>
                </w:p>
              </w:tc>
              <w:tc>
                <w:tcPr>
                  <w:tcW w:w="700" w:type="dxa"/>
                  <w:tcBorders>
                    <w:top w:val="single" w:color="auto" w:sz="4" w:space="0"/>
                    <w:left w:val="single" w:color="auto" w:sz="4" w:space="0"/>
                    <w:bottom w:val="single" w:color="auto" w:sz="4" w:space="0"/>
                    <w:right w:val="single" w:color="auto" w:sz="4" w:space="0"/>
                  </w:tcBorders>
                  <w:vAlign w:val="center"/>
                </w:tcPr>
                <w:p w14:paraId="29F2C29B">
                  <w:pPr>
                    <w:jc w:val="center"/>
                    <w:rPr>
                      <w:snapToGrid w:val="0"/>
                      <w:color w:val="000000" w:themeColor="text1"/>
                      <w:kern w:val="0"/>
                      <w:szCs w:val="21"/>
                      <w14:textFill>
                        <w14:solidFill>
                          <w14:schemeClr w14:val="tx1"/>
                        </w14:solidFill>
                      </w14:textFill>
                    </w:rPr>
                  </w:pPr>
                  <w:r>
                    <w:rPr>
                      <w:rFonts w:hint="eastAsia"/>
                      <w:color w:val="000000" w:themeColor="text1"/>
                      <w:szCs w:val="21"/>
                      <w14:textFill>
                        <w14:solidFill>
                          <w14:schemeClr w14:val="tx1"/>
                        </w14:solidFill>
                      </w14:textFill>
                    </w:rPr>
                    <w:t>散户1</w:t>
                  </w:r>
                </w:p>
              </w:tc>
              <w:tc>
                <w:tcPr>
                  <w:tcW w:w="1203" w:type="dxa"/>
                  <w:tcBorders>
                    <w:top w:val="single" w:color="auto" w:sz="4" w:space="0"/>
                    <w:left w:val="single" w:color="auto" w:sz="4" w:space="0"/>
                    <w:bottom w:val="single" w:color="auto" w:sz="4" w:space="0"/>
                    <w:right w:val="single" w:color="auto" w:sz="4" w:space="0"/>
                  </w:tcBorders>
                  <w:vAlign w:val="center"/>
                </w:tcPr>
                <w:p w14:paraId="283C1FC8">
                  <w:pPr>
                    <w:jc w:val="center"/>
                    <w:rPr>
                      <w:color w:val="000000" w:themeColor="text1"/>
                      <w:szCs w:val="22"/>
                      <w14:textFill>
                        <w14:solidFill>
                          <w14:schemeClr w14:val="tx1"/>
                        </w14:solidFill>
                      </w14:textFill>
                    </w:rPr>
                  </w:pPr>
                  <w:r>
                    <w:rPr>
                      <w:color w:val="000000" w:themeColor="text1"/>
                      <w:szCs w:val="21"/>
                      <w14:textFill>
                        <w14:solidFill>
                          <w14:schemeClr w14:val="tx1"/>
                        </w14:solidFill>
                      </w14:textFill>
                    </w:rPr>
                    <w:t>10</w:t>
                  </w:r>
                  <w:r>
                    <w:rPr>
                      <w:rFonts w:hint="eastAsia"/>
                      <w:color w:val="000000" w:themeColor="text1"/>
                      <w:szCs w:val="21"/>
                      <w14:textFill>
                        <w14:solidFill>
                          <w14:schemeClr w14:val="tx1"/>
                        </w14:solidFill>
                      </w14:textFill>
                    </w:rPr>
                    <w:t>3.112485</w:t>
                  </w:r>
                  <w:r>
                    <w:rPr>
                      <w:color w:val="000000" w:themeColor="text1"/>
                      <w:szCs w:val="21"/>
                      <w14:textFill>
                        <w14:solidFill>
                          <w14:schemeClr w14:val="tx1"/>
                        </w14:solidFill>
                      </w14:textFill>
                    </w:rPr>
                    <w:t>E</w:t>
                  </w:r>
                </w:p>
              </w:tc>
              <w:tc>
                <w:tcPr>
                  <w:tcW w:w="1131" w:type="dxa"/>
                  <w:tcBorders>
                    <w:top w:val="single" w:color="auto" w:sz="4" w:space="0"/>
                    <w:left w:val="single" w:color="auto" w:sz="4" w:space="0"/>
                    <w:bottom w:val="single" w:color="auto" w:sz="4" w:space="0"/>
                    <w:right w:val="single" w:color="auto" w:sz="4" w:space="0"/>
                  </w:tcBorders>
                  <w:vAlign w:val="center"/>
                </w:tcPr>
                <w:p w14:paraId="077ED97B">
                  <w:pPr>
                    <w:jc w:val="center"/>
                    <w:rPr>
                      <w:snapToGrid w:val="0"/>
                      <w:color w:val="000000" w:themeColor="text1"/>
                      <w:kern w:val="0"/>
                      <w:szCs w:val="21"/>
                      <w14:textFill>
                        <w14:solidFill>
                          <w14:schemeClr w14:val="tx1"/>
                        </w14:solidFill>
                      </w14:textFill>
                    </w:rPr>
                  </w:pPr>
                  <w:r>
                    <w:rPr>
                      <w:color w:val="000000" w:themeColor="text1"/>
                      <w:szCs w:val="21"/>
                      <w14:textFill>
                        <w14:solidFill>
                          <w14:schemeClr w14:val="tx1"/>
                        </w14:solidFill>
                      </w14:textFill>
                    </w:rPr>
                    <w:t>2</w:t>
                  </w:r>
                  <w:r>
                    <w:rPr>
                      <w:rFonts w:hint="eastAsia"/>
                      <w:color w:val="000000" w:themeColor="text1"/>
                      <w:szCs w:val="21"/>
                      <w14:textFill>
                        <w14:solidFill>
                          <w14:schemeClr w14:val="tx1"/>
                        </w14:solidFill>
                      </w14:textFill>
                    </w:rPr>
                    <w:t>5.3404</w:t>
                  </w:r>
                  <w:r>
                    <w:rPr>
                      <w:color w:val="000000" w:themeColor="text1"/>
                      <w:szCs w:val="21"/>
                      <w14:textFill>
                        <w14:solidFill>
                          <w14:schemeClr w14:val="tx1"/>
                        </w14:solidFill>
                      </w14:textFill>
                    </w:rPr>
                    <w:t>N</w:t>
                  </w:r>
                </w:p>
              </w:tc>
              <w:tc>
                <w:tcPr>
                  <w:tcW w:w="773" w:type="dxa"/>
                  <w:tcBorders>
                    <w:top w:val="single" w:color="auto" w:sz="4" w:space="0"/>
                    <w:left w:val="single" w:color="auto" w:sz="4" w:space="0"/>
                    <w:bottom w:val="single" w:color="auto" w:sz="4" w:space="0"/>
                    <w:right w:val="single" w:color="auto" w:sz="4" w:space="0"/>
                  </w:tcBorders>
                  <w:vAlign w:val="center"/>
                </w:tcPr>
                <w:p w14:paraId="5270572B">
                  <w:pPr>
                    <w:jc w:val="center"/>
                    <w:rPr>
                      <w:snapToGrid w:val="0"/>
                      <w:color w:val="000000" w:themeColor="text1"/>
                      <w:kern w:val="0"/>
                      <w:szCs w:val="21"/>
                      <w14:textFill>
                        <w14:solidFill>
                          <w14:schemeClr w14:val="tx1"/>
                        </w14:solidFill>
                      </w14:textFill>
                    </w:rPr>
                  </w:pPr>
                  <w:r>
                    <w:rPr>
                      <w:rFonts w:hint="eastAsia"/>
                      <w:snapToGrid w:val="0"/>
                      <w:color w:val="000000" w:themeColor="text1"/>
                      <w:kern w:val="0"/>
                      <w:szCs w:val="21"/>
                      <w14:textFill>
                        <w14:solidFill>
                          <w14:schemeClr w14:val="tx1"/>
                        </w14:solidFill>
                      </w14:textFill>
                    </w:rPr>
                    <w:t>2012</w:t>
                  </w:r>
                </w:p>
              </w:tc>
              <w:tc>
                <w:tcPr>
                  <w:tcW w:w="471" w:type="dxa"/>
                  <w:tcBorders>
                    <w:top w:val="single" w:color="auto" w:sz="4" w:space="0"/>
                    <w:left w:val="single" w:color="auto" w:sz="4" w:space="0"/>
                    <w:bottom w:val="single" w:color="auto" w:sz="4" w:space="0"/>
                    <w:right w:val="single" w:color="auto" w:sz="4" w:space="0"/>
                  </w:tcBorders>
                  <w:vAlign w:val="center"/>
                </w:tcPr>
                <w:p w14:paraId="5E1FF46A">
                  <w:pPr>
                    <w:jc w:val="center"/>
                    <w:rPr>
                      <w:snapToGrid w:val="0"/>
                      <w:color w:val="000000" w:themeColor="text1"/>
                      <w:kern w:val="0"/>
                      <w:szCs w:val="21"/>
                      <w14:textFill>
                        <w14:solidFill>
                          <w14:schemeClr w14:val="tx1"/>
                        </w14:solidFill>
                      </w14:textFill>
                    </w:rPr>
                  </w:pPr>
                  <w:r>
                    <w:rPr>
                      <w:rFonts w:hint="eastAsia"/>
                      <w:color w:val="000000" w:themeColor="text1"/>
                      <w:szCs w:val="21"/>
                      <w14:textFill>
                        <w14:solidFill>
                          <w14:schemeClr w14:val="tx1"/>
                        </w14:solidFill>
                      </w14:textFill>
                    </w:rPr>
                    <w:t>西</w:t>
                  </w:r>
                  <w:r>
                    <w:rPr>
                      <w:color w:val="000000" w:themeColor="text1"/>
                      <w:szCs w:val="21"/>
                      <w14:textFill>
                        <w14:solidFill>
                          <w14:schemeClr w14:val="tx1"/>
                        </w14:solidFill>
                      </w14:textFill>
                    </w:rPr>
                    <w:t>北面</w:t>
                  </w:r>
                </w:p>
              </w:tc>
              <w:tc>
                <w:tcPr>
                  <w:tcW w:w="877" w:type="dxa"/>
                  <w:tcBorders>
                    <w:top w:val="single" w:color="auto" w:sz="4" w:space="0"/>
                    <w:left w:val="single" w:color="auto" w:sz="4" w:space="0"/>
                    <w:bottom w:val="single" w:color="auto" w:sz="4" w:space="0"/>
                    <w:right w:val="single" w:color="auto" w:sz="4" w:space="0"/>
                  </w:tcBorders>
                  <w:vAlign w:val="center"/>
                </w:tcPr>
                <w:p w14:paraId="674213C9">
                  <w:pPr>
                    <w:jc w:val="center"/>
                    <w:rPr>
                      <w:snapToGrid w:val="0"/>
                      <w:color w:val="000000" w:themeColor="text1"/>
                      <w:kern w:val="0"/>
                      <w:szCs w:val="21"/>
                      <w14:textFill>
                        <w14:solidFill>
                          <w14:schemeClr w14:val="tx1"/>
                        </w14:solidFill>
                      </w14:textFill>
                    </w:rPr>
                  </w:pPr>
                  <w:r>
                    <w:rPr>
                      <w:rFonts w:hint="eastAsia"/>
                      <w:color w:val="000000" w:themeColor="text1"/>
                      <w:szCs w:val="21"/>
                      <w14:textFill>
                        <w14:solidFill>
                          <w14:schemeClr w14:val="tx1"/>
                        </w14:solidFill>
                      </w14:textFill>
                    </w:rPr>
                    <w:t>330</w:t>
                  </w:r>
                </w:p>
              </w:tc>
              <w:tc>
                <w:tcPr>
                  <w:tcW w:w="1045" w:type="dxa"/>
                  <w:tcBorders>
                    <w:top w:val="single" w:color="auto" w:sz="4" w:space="0"/>
                    <w:left w:val="single" w:color="auto" w:sz="4" w:space="0"/>
                    <w:bottom w:val="single" w:color="auto" w:sz="4" w:space="0"/>
                    <w:right w:val="single" w:color="auto" w:sz="4" w:space="0"/>
                  </w:tcBorders>
                  <w:vAlign w:val="center"/>
                </w:tcPr>
                <w:p w14:paraId="6139D897">
                  <w:pPr>
                    <w:jc w:val="center"/>
                    <w:rPr>
                      <w:color w:val="000000" w:themeColor="text1"/>
                      <w:spacing w:val="-10"/>
                      <w:szCs w:val="21"/>
                      <w14:textFill>
                        <w14:solidFill>
                          <w14:schemeClr w14:val="tx1"/>
                        </w14:solidFill>
                      </w14:textFill>
                    </w:rPr>
                  </w:pPr>
                  <w:r>
                    <w:rPr>
                      <w:color w:val="000000" w:themeColor="text1"/>
                      <w:szCs w:val="21"/>
                      <w14:textFill>
                        <w14:solidFill>
                          <w14:schemeClr w14:val="tx1"/>
                        </w14:solidFill>
                      </w14:textFill>
                    </w:rPr>
                    <w:t>村民，约</w:t>
                  </w:r>
                  <w:r>
                    <w:rPr>
                      <w:rFonts w:hint="eastAsia"/>
                      <w:color w:val="000000" w:themeColor="text1"/>
                      <w:szCs w:val="21"/>
                      <w14:textFill>
                        <w14:solidFill>
                          <w14:schemeClr w14:val="tx1"/>
                        </w14:solidFill>
                      </w14:textFill>
                    </w:rPr>
                    <w:t>2户7</w:t>
                  </w:r>
                  <w:r>
                    <w:rPr>
                      <w:color w:val="000000" w:themeColor="text1"/>
                      <w:szCs w:val="21"/>
                      <w14:textFill>
                        <w14:solidFill>
                          <w14:schemeClr w14:val="tx1"/>
                        </w14:solidFill>
                      </w14:textFill>
                    </w:rPr>
                    <w:t>人</w:t>
                  </w:r>
                </w:p>
              </w:tc>
              <w:tc>
                <w:tcPr>
                  <w:tcW w:w="1106" w:type="dxa"/>
                  <w:vMerge w:val="restart"/>
                  <w:tcBorders>
                    <w:top w:val="single" w:color="auto" w:sz="4" w:space="0"/>
                    <w:left w:val="single" w:color="auto" w:sz="4" w:space="0"/>
                    <w:right w:val="single" w:color="auto" w:sz="4" w:space="0"/>
                  </w:tcBorders>
                  <w:vAlign w:val="center"/>
                </w:tcPr>
                <w:p w14:paraId="2AE2D18F">
                  <w:pPr>
                    <w:tabs>
                      <w:tab w:val="center" w:pos="4153"/>
                      <w:tab w:val="right" w:pos="8306"/>
                    </w:tabs>
                    <w:contextualSpacing/>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GB3095-20</w:t>
                  </w:r>
                  <w:r>
                    <w:rPr>
                      <w:rFonts w:hint="eastAsia"/>
                      <w:color w:val="000000" w:themeColor="text1"/>
                      <w:szCs w:val="21"/>
                      <w14:textFill>
                        <w14:solidFill>
                          <w14:schemeClr w14:val="tx1"/>
                        </w14:solidFill>
                      </w14:textFill>
                    </w:rPr>
                    <w:t>26</w:t>
                  </w:r>
                  <w:r>
                    <w:rPr>
                      <w:color w:val="000000" w:themeColor="text1"/>
                      <w:szCs w:val="21"/>
                      <w14:textFill>
                        <w14:solidFill>
                          <w14:schemeClr w14:val="tx1"/>
                        </w14:solidFill>
                      </w14:textFill>
                    </w:rPr>
                    <w:t>《环境空气质量</w:t>
                  </w:r>
                </w:p>
                <w:p w14:paraId="3B2B6878">
                  <w:pPr>
                    <w:tabs>
                      <w:tab w:val="center" w:pos="4153"/>
                      <w:tab w:val="right" w:pos="8306"/>
                    </w:tabs>
                    <w:contextualSpacing/>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标准》二级标准</w:t>
                  </w:r>
                </w:p>
              </w:tc>
            </w:tr>
            <w:tr w14:paraId="64C45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8" w:type="dxa"/>
                  <w:vMerge w:val="continue"/>
                  <w:tcBorders>
                    <w:left w:val="single" w:color="auto" w:sz="4" w:space="0"/>
                    <w:right w:val="single" w:color="auto" w:sz="4" w:space="0"/>
                  </w:tcBorders>
                  <w:vAlign w:val="center"/>
                </w:tcPr>
                <w:p w14:paraId="3290F7D5">
                  <w:pPr>
                    <w:autoSpaceDE w:val="0"/>
                    <w:autoSpaceDN w:val="0"/>
                    <w:contextualSpacing/>
                    <w:jc w:val="center"/>
                    <w:rPr>
                      <w:color w:val="000000" w:themeColor="text1"/>
                      <w:spacing w:val="-10"/>
                      <w:szCs w:val="21"/>
                      <w14:textFill>
                        <w14:solidFill>
                          <w14:schemeClr w14:val="tx1"/>
                        </w14:solidFill>
                      </w14:textFill>
                    </w:rPr>
                  </w:pPr>
                </w:p>
              </w:tc>
              <w:tc>
                <w:tcPr>
                  <w:tcW w:w="700" w:type="dxa"/>
                  <w:tcBorders>
                    <w:top w:val="single" w:color="auto" w:sz="4" w:space="0"/>
                    <w:left w:val="single" w:color="auto" w:sz="4" w:space="0"/>
                    <w:bottom w:val="single" w:color="auto" w:sz="4" w:space="0"/>
                    <w:right w:val="single" w:color="auto" w:sz="4" w:space="0"/>
                  </w:tcBorders>
                  <w:vAlign w:val="center"/>
                </w:tcPr>
                <w:p w14:paraId="4BAB84DF">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散户2</w:t>
                  </w:r>
                </w:p>
              </w:tc>
              <w:tc>
                <w:tcPr>
                  <w:tcW w:w="1203" w:type="dxa"/>
                  <w:tcBorders>
                    <w:top w:val="single" w:color="auto" w:sz="4" w:space="0"/>
                    <w:left w:val="single" w:color="auto" w:sz="4" w:space="0"/>
                    <w:bottom w:val="single" w:color="auto" w:sz="4" w:space="0"/>
                    <w:right w:val="single" w:color="auto" w:sz="4" w:space="0"/>
                  </w:tcBorders>
                  <w:vAlign w:val="center"/>
                </w:tcPr>
                <w:p w14:paraId="43C6504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10</w:t>
                  </w:r>
                  <w:r>
                    <w:rPr>
                      <w:rFonts w:hint="eastAsia"/>
                      <w:color w:val="000000" w:themeColor="text1"/>
                      <w:szCs w:val="21"/>
                      <w14:textFill>
                        <w14:solidFill>
                          <w14:schemeClr w14:val="tx1"/>
                        </w14:solidFill>
                      </w14:textFill>
                    </w:rPr>
                    <w:t>3.113970</w:t>
                  </w:r>
                  <w:r>
                    <w:rPr>
                      <w:color w:val="000000" w:themeColor="text1"/>
                      <w:szCs w:val="21"/>
                      <w14:textFill>
                        <w14:solidFill>
                          <w14:schemeClr w14:val="tx1"/>
                        </w14:solidFill>
                      </w14:textFill>
                    </w:rPr>
                    <w:t>E</w:t>
                  </w:r>
                </w:p>
              </w:tc>
              <w:tc>
                <w:tcPr>
                  <w:tcW w:w="1131" w:type="dxa"/>
                  <w:tcBorders>
                    <w:top w:val="single" w:color="auto" w:sz="4" w:space="0"/>
                    <w:left w:val="single" w:color="auto" w:sz="4" w:space="0"/>
                    <w:bottom w:val="single" w:color="auto" w:sz="4" w:space="0"/>
                    <w:right w:val="single" w:color="auto" w:sz="4" w:space="0"/>
                  </w:tcBorders>
                  <w:vAlign w:val="center"/>
                </w:tcPr>
                <w:p w14:paraId="1786AD1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w:t>
                  </w:r>
                  <w:r>
                    <w:rPr>
                      <w:rFonts w:hint="eastAsia"/>
                      <w:color w:val="000000" w:themeColor="text1"/>
                      <w:szCs w:val="21"/>
                      <w14:textFill>
                        <w14:solidFill>
                          <w14:schemeClr w14:val="tx1"/>
                        </w14:solidFill>
                      </w14:textFill>
                    </w:rPr>
                    <w:t>5.3349</w:t>
                  </w:r>
                  <w:r>
                    <w:rPr>
                      <w:color w:val="000000" w:themeColor="text1"/>
                      <w:szCs w:val="21"/>
                      <w14:textFill>
                        <w14:solidFill>
                          <w14:schemeClr w14:val="tx1"/>
                        </w14:solidFill>
                      </w14:textFill>
                    </w:rPr>
                    <w:t>N</w:t>
                  </w:r>
                </w:p>
              </w:tc>
              <w:tc>
                <w:tcPr>
                  <w:tcW w:w="773" w:type="dxa"/>
                  <w:tcBorders>
                    <w:top w:val="single" w:color="auto" w:sz="4" w:space="0"/>
                    <w:left w:val="single" w:color="auto" w:sz="4" w:space="0"/>
                    <w:bottom w:val="single" w:color="auto" w:sz="4" w:space="0"/>
                    <w:right w:val="single" w:color="auto" w:sz="4" w:space="0"/>
                  </w:tcBorders>
                  <w:vAlign w:val="center"/>
                </w:tcPr>
                <w:p w14:paraId="057E3DE9">
                  <w:pPr>
                    <w:jc w:val="center"/>
                    <w:rPr>
                      <w:snapToGrid w:val="0"/>
                      <w:color w:val="000000" w:themeColor="text1"/>
                      <w:kern w:val="0"/>
                      <w:szCs w:val="21"/>
                      <w14:textFill>
                        <w14:solidFill>
                          <w14:schemeClr w14:val="tx1"/>
                        </w14:solidFill>
                      </w14:textFill>
                    </w:rPr>
                  </w:pPr>
                  <w:r>
                    <w:rPr>
                      <w:rFonts w:hint="eastAsia"/>
                      <w:snapToGrid w:val="0"/>
                      <w:color w:val="000000" w:themeColor="text1"/>
                      <w:kern w:val="0"/>
                      <w:szCs w:val="21"/>
                      <w14:textFill>
                        <w14:solidFill>
                          <w14:schemeClr w14:val="tx1"/>
                        </w14:solidFill>
                      </w14:textFill>
                    </w:rPr>
                    <w:t>2036</w:t>
                  </w:r>
                </w:p>
              </w:tc>
              <w:tc>
                <w:tcPr>
                  <w:tcW w:w="471" w:type="dxa"/>
                  <w:tcBorders>
                    <w:top w:val="single" w:color="auto" w:sz="4" w:space="0"/>
                    <w:left w:val="single" w:color="auto" w:sz="4" w:space="0"/>
                    <w:bottom w:val="single" w:color="auto" w:sz="4" w:space="0"/>
                    <w:right w:val="single" w:color="auto" w:sz="4" w:space="0"/>
                  </w:tcBorders>
                  <w:vAlign w:val="center"/>
                </w:tcPr>
                <w:p w14:paraId="38BB0EF2">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东</w:t>
                  </w:r>
                  <w:r>
                    <w:rPr>
                      <w:color w:val="000000" w:themeColor="text1"/>
                      <w:szCs w:val="21"/>
                      <w14:textFill>
                        <w14:solidFill>
                          <w14:schemeClr w14:val="tx1"/>
                        </w14:solidFill>
                      </w14:textFill>
                    </w:rPr>
                    <w:t>面</w:t>
                  </w:r>
                </w:p>
              </w:tc>
              <w:tc>
                <w:tcPr>
                  <w:tcW w:w="877" w:type="dxa"/>
                  <w:tcBorders>
                    <w:top w:val="single" w:color="auto" w:sz="4" w:space="0"/>
                    <w:left w:val="single" w:color="auto" w:sz="4" w:space="0"/>
                    <w:bottom w:val="single" w:color="auto" w:sz="4" w:space="0"/>
                    <w:right w:val="single" w:color="auto" w:sz="4" w:space="0"/>
                  </w:tcBorders>
                  <w:vAlign w:val="center"/>
                </w:tcPr>
                <w:p w14:paraId="74A546B0">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257</w:t>
                  </w:r>
                </w:p>
              </w:tc>
              <w:tc>
                <w:tcPr>
                  <w:tcW w:w="1045" w:type="dxa"/>
                  <w:tcBorders>
                    <w:top w:val="single" w:color="auto" w:sz="4" w:space="0"/>
                    <w:left w:val="single" w:color="auto" w:sz="4" w:space="0"/>
                    <w:bottom w:val="single" w:color="auto" w:sz="4" w:space="0"/>
                    <w:right w:val="single" w:color="auto" w:sz="4" w:space="0"/>
                  </w:tcBorders>
                  <w:vAlign w:val="center"/>
                </w:tcPr>
                <w:p w14:paraId="52B2763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村民，约</w:t>
                  </w:r>
                  <w:r>
                    <w:rPr>
                      <w:rFonts w:hint="eastAsia"/>
                      <w:color w:val="000000" w:themeColor="text1"/>
                      <w:szCs w:val="21"/>
                      <w14:textFill>
                        <w14:solidFill>
                          <w14:schemeClr w14:val="tx1"/>
                        </w14:solidFill>
                      </w14:textFill>
                    </w:rPr>
                    <w:t>2户7</w:t>
                  </w:r>
                  <w:r>
                    <w:rPr>
                      <w:color w:val="000000" w:themeColor="text1"/>
                      <w:szCs w:val="21"/>
                      <w14:textFill>
                        <w14:solidFill>
                          <w14:schemeClr w14:val="tx1"/>
                        </w14:solidFill>
                      </w14:textFill>
                    </w:rPr>
                    <w:t>人</w:t>
                  </w:r>
                </w:p>
              </w:tc>
              <w:tc>
                <w:tcPr>
                  <w:tcW w:w="1106" w:type="dxa"/>
                  <w:vMerge w:val="continue"/>
                  <w:tcBorders>
                    <w:left w:val="single" w:color="auto" w:sz="4" w:space="0"/>
                    <w:right w:val="single" w:color="auto" w:sz="4" w:space="0"/>
                  </w:tcBorders>
                  <w:vAlign w:val="center"/>
                </w:tcPr>
                <w:p w14:paraId="5B217607">
                  <w:pPr>
                    <w:tabs>
                      <w:tab w:val="center" w:pos="4153"/>
                      <w:tab w:val="right" w:pos="8306"/>
                    </w:tabs>
                    <w:contextualSpacing/>
                    <w:jc w:val="center"/>
                    <w:rPr>
                      <w:color w:val="000000" w:themeColor="text1"/>
                      <w:szCs w:val="21"/>
                      <w14:textFill>
                        <w14:solidFill>
                          <w14:schemeClr w14:val="tx1"/>
                        </w14:solidFill>
                      </w14:textFill>
                    </w:rPr>
                  </w:pPr>
                </w:p>
              </w:tc>
            </w:tr>
            <w:tr w14:paraId="546B6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8" w:type="dxa"/>
                  <w:vMerge w:val="continue"/>
                  <w:tcBorders>
                    <w:left w:val="single" w:color="auto" w:sz="4" w:space="0"/>
                    <w:right w:val="single" w:color="auto" w:sz="4" w:space="0"/>
                  </w:tcBorders>
                  <w:vAlign w:val="center"/>
                </w:tcPr>
                <w:p w14:paraId="1BB973B5">
                  <w:pPr>
                    <w:autoSpaceDE w:val="0"/>
                    <w:autoSpaceDN w:val="0"/>
                    <w:contextualSpacing/>
                    <w:jc w:val="center"/>
                    <w:rPr>
                      <w:color w:val="000000" w:themeColor="text1"/>
                      <w:spacing w:val="-10"/>
                      <w:szCs w:val="21"/>
                      <w14:textFill>
                        <w14:solidFill>
                          <w14:schemeClr w14:val="tx1"/>
                        </w14:solidFill>
                      </w14:textFill>
                    </w:rPr>
                  </w:pPr>
                </w:p>
              </w:tc>
              <w:tc>
                <w:tcPr>
                  <w:tcW w:w="700" w:type="dxa"/>
                  <w:tcBorders>
                    <w:top w:val="single" w:color="auto" w:sz="4" w:space="0"/>
                    <w:left w:val="single" w:color="auto" w:sz="4" w:space="0"/>
                    <w:bottom w:val="single" w:color="auto" w:sz="4" w:space="0"/>
                    <w:right w:val="single" w:color="auto" w:sz="4" w:space="0"/>
                  </w:tcBorders>
                  <w:vAlign w:val="center"/>
                </w:tcPr>
                <w:p w14:paraId="52C721A1">
                  <w:pPr>
                    <w:jc w:val="center"/>
                    <w:rPr>
                      <w:snapToGrid w:val="0"/>
                      <w:color w:val="000000" w:themeColor="text1"/>
                      <w:kern w:val="0"/>
                      <w:szCs w:val="21"/>
                      <w14:textFill>
                        <w14:solidFill>
                          <w14:schemeClr w14:val="tx1"/>
                        </w14:solidFill>
                      </w14:textFill>
                    </w:rPr>
                  </w:pPr>
                  <w:r>
                    <w:rPr>
                      <w:rFonts w:hint="eastAsia"/>
                      <w:color w:val="000000" w:themeColor="text1"/>
                      <w:szCs w:val="21"/>
                      <w14:textFill>
                        <w14:solidFill>
                          <w14:schemeClr w14:val="tx1"/>
                        </w14:solidFill>
                      </w14:textFill>
                    </w:rPr>
                    <w:t>竹沟</w:t>
                  </w:r>
                  <w:r>
                    <w:rPr>
                      <w:color w:val="000000" w:themeColor="text1"/>
                      <w:szCs w:val="21"/>
                      <w14:textFill>
                        <w14:solidFill>
                          <w14:schemeClr w14:val="tx1"/>
                        </w14:solidFill>
                      </w14:textFill>
                    </w:rPr>
                    <w:t>村</w:t>
                  </w:r>
                </w:p>
              </w:tc>
              <w:tc>
                <w:tcPr>
                  <w:tcW w:w="1203" w:type="dxa"/>
                  <w:tcBorders>
                    <w:top w:val="single" w:color="auto" w:sz="4" w:space="0"/>
                    <w:left w:val="single" w:color="auto" w:sz="4" w:space="0"/>
                    <w:bottom w:val="single" w:color="auto" w:sz="4" w:space="0"/>
                    <w:right w:val="single" w:color="auto" w:sz="4" w:space="0"/>
                  </w:tcBorders>
                  <w:vAlign w:val="center"/>
                </w:tcPr>
                <w:p w14:paraId="1C56BEB8">
                  <w:pPr>
                    <w:jc w:val="center"/>
                    <w:rPr>
                      <w:color w:val="000000" w:themeColor="text1"/>
                      <w:szCs w:val="22"/>
                      <w14:textFill>
                        <w14:solidFill>
                          <w14:schemeClr w14:val="tx1"/>
                        </w14:solidFill>
                      </w14:textFill>
                    </w:rPr>
                  </w:pPr>
                  <w:r>
                    <w:rPr>
                      <w:color w:val="000000" w:themeColor="text1"/>
                      <w:szCs w:val="21"/>
                      <w14:textFill>
                        <w14:solidFill>
                          <w14:schemeClr w14:val="tx1"/>
                        </w14:solidFill>
                      </w14:textFill>
                    </w:rPr>
                    <w:t>10</w:t>
                  </w:r>
                  <w:r>
                    <w:rPr>
                      <w:rFonts w:hint="eastAsia"/>
                      <w:color w:val="000000" w:themeColor="text1"/>
                      <w:szCs w:val="21"/>
                      <w14:textFill>
                        <w14:solidFill>
                          <w14:schemeClr w14:val="tx1"/>
                        </w14:solidFill>
                      </w14:textFill>
                    </w:rPr>
                    <w:t>3.113325</w:t>
                  </w:r>
                  <w:r>
                    <w:rPr>
                      <w:color w:val="000000" w:themeColor="text1"/>
                      <w:szCs w:val="21"/>
                      <w14:textFill>
                        <w14:solidFill>
                          <w14:schemeClr w14:val="tx1"/>
                        </w14:solidFill>
                      </w14:textFill>
                    </w:rPr>
                    <w:t>E</w:t>
                  </w:r>
                </w:p>
              </w:tc>
              <w:tc>
                <w:tcPr>
                  <w:tcW w:w="1131" w:type="dxa"/>
                  <w:tcBorders>
                    <w:top w:val="single" w:color="auto" w:sz="4" w:space="0"/>
                    <w:left w:val="single" w:color="auto" w:sz="4" w:space="0"/>
                    <w:bottom w:val="single" w:color="auto" w:sz="4" w:space="0"/>
                    <w:right w:val="single" w:color="auto" w:sz="4" w:space="0"/>
                  </w:tcBorders>
                  <w:vAlign w:val="center"/>
                </w:tcPr>
                <w:p w14:paraId="76D76FF0">
                  <w:pPr>
                    <w:jc w:val="center"/>
                    <w:rPr>
                      <w:snapToGrid w:val="0"/>
                      <w:color w:val="000000" w:themeColor="text1"/>
                      <w:kern w:val="0"/>
                      <w:szCs w:val="21"/>
                      <w14:textFill>
                        <w14:solidFill>
                          <w14:schemeClr w14:val="tx1"/>
                        </w14:solidFill>
                      </w14:textFill>
                    </w:rPr>
                  </w:pPr>
                  <w:r>
                    <w:rPr>
                      <w:rFonts w:hint="eastAsia"/>
                      <w:color w:val="000000" w:themeColor="text1"/>
                      <w:szCs w:val="21"/>
                      <w14:textFill>
                        <w14:solidFill>
                          <w14:schemeClr w14:val="tx1"/>
                        </w14:solidFill>
                      </w14:textFill>
                    </w:rPr>
                    <w:t>25.3407</w:t>
                  </w:r>
                  <w:r>
                    <w:rPr>
                      <w:color w:val="000000" w:themeColor="text1"/>
                      <w:szCs w:val="21"/>
                      <w14:textFill>
                        <w14:solidFill>
                          <w14:schemeClr w14:val="tx1"/>
                        </w14:solidFill>
                      </w14:textFill>
                    </w:rPr>
                    <w:t>N</w:t>
                  </w:r>
                </w:p>
              </w:tc>
              <w:tc>
                <w:tcPr>
                  <w:tcW w:w="773" w:type="dxa"/>
                  <w:tcBorders>
                    <w:top w:val="single" w:color="auto" w:sz="4" w:space="0"/>
                    <w:left w:val="single" w:color="auto" w:sz="4" w:space="0"/>
                    <w:bottom w:val="single" w:color="auto" w:sz="4" w:space="0"/>
                    <w:right w:val="single" w:color="auto" w:sz="4" w:space="0"/>
                  </w:tcBorders>
                  <w:vAlign w:val="center"/>
                </w:tcPr>
                <w:p w14:paraId="5796D1CC">
                  <w:pPr>
                    <w:jc w:val="center"/>
                    <w:rPr>
                      <w:snapToGrid w:val="0"/>
                      <w:color w:val="000000" w:themeColor="text1"/>
                      <w:kern w:val="0"/>
                      <w:szCs w:val="21"/>
                      <w14:textFill>
                        <w14:solidFill>
                          <w14:schemeClr w14:val="tx1"/>
                        </w14:solidFill>
                      </w14:textFill>
                    </w:rPr>
                  </w:pPr>
                  <w:r>
                    <w:rPr>
                      <w:rFonts w:hint="eastAsia"/>
                      <w:snapToGrid w:val="0"/>
                      <w:color w:val="000000" w:themeColor="text1"/>
                      <w:kern w:val="0"/>
                      <w:szCs w:val="21"/>
                      <w14:textFill>
                        <w14:solidFill>
                          <w14:schemeClr w14:val="tx1"/>
                        </w14:solidFill>
                      </w14:textFill>
                    </w:rPr>
                    <w:t>2014</w:t>
                  </w:r>
                </w:p>
              </w:tc>
              <w:tc>
                <w:tcPr>
                  <w:tcW w:w="471" w:type="dxa"/>
                  <w:tcBorders>
                    <w:top w:val="single" w:color="auto" w:sz="4" w:space="0"/>
                    <w:left w:val="single" w:color="auto" w:sz="4" w:space="0"/>
                    <w:bottom w:val="single" w:color="auto" w:sz="4" w:space="0"/>
                    <w:right w:val="single" w:color="auto" w:sz="4" w:space="0"/>
                  </w:tcBorders>
                  <w:vAlign w:val="center"/>
                </w:tcPr>
                <w:p w14:paraId="698F3A58">
                  <w:pPr>
                    <w:jc w:val="center"/>
                    <w:rPr>
                      <w:snapToGrid w:val="0"/>
                      <w:color w:val="000000" w:themeColor="text1"/>
                      <w:kern w:val="0"/>
                      <w:szCs w:val="21"/>
                      <w14:textFill>
                        <w14:solidFill>
                          <w14:schemeClr w14:val="tx1"/>
                        </w14:solidFill>
                      </w14:textFill>
                    </w:rPr>
                  </w:pPr>
                  <w:r>
                    <w:rPr>
                      <w:rFonts w:hint="eastAsia"/>
                      <w:color w:val="000000" w:themeColor="text1"/>
                      <w:szCs w:val="21"/>
                      <w14:textFill>
                        <w14:solidFill>
                          <w14:schemeClr w14:val="tx1"/>
                        </w14:solidFill>
                      </w14:textFill>
                    </w:rPr>
                    <w:t>北</w:t>
                  </w:r>
                  <w:r>
                    <w:rPr>
                      <w:color w:val="000000" w:themeColor="text1"/>
                      <w:szCs w:val="21"/>
                      <w14:textFill>
                        <w14:solidFill>
                          <w14:schemeClr w14:val="tx1"/>
                        </w14:solidFill>
                      </w14:textFill>
                    </w:rPr>
                    <w:t>面</w:t>
                  </w:r>
                </w:p>
              </w:tc>
              <w:tc>
                <w:tcPr>
                  <w:tcW w:w="877" w:type="dxa"/>
                  <w:tcBorders>
                    <w:top w:val="single" w:color="auto" w:sz="4" w:space="0"/>
                    <w:left w:val="single" w:color="auto" w:sz="4" w:space="0"/>
                    <w:bottom w:val="single" w:color="auto" w:sz="4" w:space="0"/>
                    <w:right w:val="single" w:color="auto" w:sz="4" w:space="0"/>
                  </w:tcBorders>
                  <w:vAlign w:val="center"/>
                </w:tcPr>
                <w:p w14:paraId="73EE58BF">
                  <w:pPr>
                    <w:jc w:val="center"/>
                    <w:rPr>
                      <w:snapToGrid w:val="0"/>
                      <w:color w:val="000000" w:themeColor="text1"/>
                      <w:kern w:val="0"/>
                      <w:szCs w:val="21"/>
                      <w14:textFill>
                        <w14:solidFill>
                          <w14:schemeClr w14:val="tx1"/>
                        </w14:solidFill>
                      </w14:textFill>
                    </w:rPr>
                  </w:pPr>
                  <w:r>
                    <w:rPr>
                      <w:rFonts w:hint="eastAsia"/>
                      <w:color w:val="000000" w:themeColor="text1"/>
                      <w:szCs w:val="21"/>
                      <w14:textFill>
                        <w14:solidFill>
                          <w14:schemeClr w14:val="tx1"/>
                        </w14:solidFill>
                      </w14:textFill>
                    </w:rPr>
                    <w:t>430</w:t>
                  </w:r>
                </w:p>
              </w:tc>
              <w:tc>
                <w:tcPr>
                  <w:tcW w:w="1045" w:type="dxa"/>
                  <w:tcBorders>
                    <w:top w:val="single" w:color="auto" w:sz="4" w:space="0"/>
                    <w:left w:val="single" w:color="auto" w:sz="4" w:space="0"/>
                    <w:bottom w:val="single" w:color="auto" w:sz="4" w:space="0"/>
                    <w:right w:val="single" w:color="auto" w:sz="4" w:space="0"/>
                  </w:tcBorders>
                  <w:vAlign w:val="center"/>
                </w:tcPr>
                <w:p w14:paraId="2793F18F">
                  <w:pPr>
                    <w:jc w:val="center"/>
                    <w:rPr>
                      <w:color w:val="000000" w:themeColor="text1"/>
                      <w:spacing w:val="-10"/>
                      <w:szCs w:val="21"/>
                      <w14:textFill>
                        <w14:solidFill>
                          <w14:schemeClr w14:val="tx1"/>
                        </w14:solidFill>
                      </w14:textFill>
                    </w:rPr>
                  </w:pPr>
                  <w:r>
                    <w:rPr>
                      <w:color w:val="000000" w:themeColor="text1"/>
                      <w:szCs w:val="21"/>
                      <w14:textFill>
                        <w14:solidFill>
                          <w14:schemeClr w14:val="tx1"/>
                        </w14:solidFill>
                      </w14:textFill>
                    </w:rPr>
                    <w:t>村民，约300人</w:t>
                  </w:r>
                </w:p>
              </w:tc>
              <w:tc>
                <w:tcPr>
                  <w:tcW w:w="1106" w:type="dxa"/>
                  <w:vMerge w:val="continue"/>
                  <w:tcBorders>
                    <w:left w:val="single" w:color="auto" w:sz="4" w:space="0"/>
                    <w:right w:val="single" w:color="auto" w:sz="4" w:space="0"/>
                  </w:tcBorders>
                  <w:vAlign w:val="center"/>
                </w:tcPr>
                <w:p w14:paraId="04833566">
                  <w:pPr>
                    <w:tabs>
                      <w:tab w:val="center" w:pos="4153"/>
                      <w:tab w:val="right" w:pos="8306"/>
                    </w:tabs>
                    <w:contextualSpacing/>
                    <w:jc w:val="center"/>
                    <w:rPr>
                      <w:color w:val="000000" w:themeColor="text1"/>
                      <w:szCs w:val="21"/>
                      <w14:textFill>
                        <w14:solidFill>
                          <w14:schemeClr w14:val="tx1"/>
                        </w14:solidFill>
                      </w14:textFill>
                    </w:rPr>
                  </w:pPr>
                </w:p>
              </w:tc>
            </w:tr>
            <w:tr w14:paraId="3554D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8" w:type="dxa"/>
                  <w:tcBorders>
                    <w:left w:val="single" w:color="auto" w:sz="4" w:space="0"/>
                    <w:right w:val="single" w:color="auto" w:sz="4" w:space="0"/>
                  </w:tcBorders>
                  <w:vAlign w:val="center"/>
                </w:tcPr>
                <w:p w14:paraId="65DF3B43">
                  <w:pPr>
                    <w:autoSpaceDE w:val="0"/>
                    <w:autoSpaceDN w:val="0"/>
                    <w:contextualSpacing/>
                    <w:jc w:val="center"/>
                    <w:rPr>
                      <w:color w:val="000000" w:themeColor="text1"/>
                      <w:spacing w:val="-10"/>
                      <w:szCs w:val="21"/>
                      <w14:textFill>
                        <w14:solidFill>
                          <w14:schemeClr w14:val="tx1"/>
                        </w14:solidFill>
                      </w14:textFill>
                    </w:rPr>
                  </w:pPr>
                  <w:r>
                    <w:rPr>
                      <w:rFonts w:hint="eastAsia"/>
                      <w:color w:val="000000" w:themeColor="text1"/>
                      <w:spacing w:val="-10"/>
                      <w:szCs w:val="21"/>
                      <w14:textFill>
                        <w14:solidFill>
                          <w14:schemeClr w14:val="tx1"/>
                        </w14:solidFill>
                      </w14:textFill>
                    </w:rPr>
                    <w:t>地表水</w:t>
                  </w:r>
                </w:p>
              </w:tc>
              <w:tc>
                <w:tcPr>
                  <w:tcW w:w="700" w:type="dxa"/>
                  <w:tcBorders>
                    <w:top w:val="single" w:color="auto" w:sz="4" w:space="0"/>
                    <w:left w:val="single" w:color="auto" w:sz="4" w:space="0"/>
                    <w:bottom w:val="single" w:color="auto" w:sz="4" w:space="0"/>
                    <w:right w:val="single" w:color="auto" w:sz="4" w:space="0"/>
                  </w:tcBorders>
                  <w:vAlign w:val="center"/>
                </w:tcPr>
                <w:p w14:paraId="0DC431EC">
                  <w:pPr>
                    <w:contextualSpacing/>
                    <w:jc w:val="center"/>
                    <w:rPr>
                      <w:snapToGrid w:val="0"/>
                      <w:color w:val="000000" w:themeColor="text1"/>
                      <w:kern w:val="0"/>
                      <w:szCs w:val="21"/>
                      <w14:textFill>
                        <w14:solidFill>
                          <w14:schemeClr w14:val="tx1"/>
                        </w14:solidFill>
                      </w14:textFill>
                    </w:rPr>
                  </w:pPr>
                  <w:r>
                    <w:rPr>
                      <w:rFonts w:hint="eastAsia"/>
                      <w:snapToGrid w:val="0"/>
                      <w:color w:val="000000" w:themeColor="text1"/>
                      <w:kern w:val="0"/>
                      <w:szCs w:val="21"/>
                      <w14:textFill>
                        <w14:solidFill>
                          <w14:schemeClr w14:val="tx1"/>
                        </w14:solidFill>
                      </w14:textFill>
                    </w:rPr>
                    <w:t>谓所河</w:t>
                  </w:r>
                </w:p>
              </w:tc>
              <w:tc>
                <w:tcPr>
                  <w:tcW w:w="1203" w:type="dxa"/>
                  <w:tcBorders>
                    <w:top w:val="single" w:color="auto" w:sz="4" w:space="0"/>
                    <w:left w:val="single" w:color="auto" w:sz="4" w:space="0"/>
                    <w:bottom w:val="single" w:color="auto" w:sz="4" w:space="0"/>
                    <w:right w:val="single" w:color="auto" w:sz="4" w:space="0"/>
                  </w:tcBorders>
                  <w:vAlign w:val="center"/>
                </w:tcPr>
                <w:p w14:paraId="5F7EE2EC">
                  <w:pPr>
                    <w:pStyle w:val="21"/>
                    <w:spacing w:before="0" w:beforeAutospacing="0" w:after="0" w:afterAutospacing="0"/>
                    <w:jc w:val="center"/>
                    <w:rPr>
                      <w:rFonts w:ascii="Times New Roman" w:hAnsi="Times New Roman"/>
                      <w:color w:val="000000" w:themeColor="text1"/>
                      <w:kern w:val="2"/>
                      <w:sz w:val="21"/>
                      <w:szCs w:val="22"/>
                      <w14:textFill>
                        <w14:solidFill>
                          <w14:schemeClr w14:val="tx1"/>
                        </w14:solidFill>
                      </w14:textFill>
                    </w:rPr>
                  </w:pPr>
                  <w:r>
                    <w:rPr>
                      <w:rFonts w:hint="eastAsia" w:ascii="Times New Roman" w:hAnsi="Times New Roman"/>
                      <w:color w:val="000000" w:themeColor="text1"/>
                      <w:kern w:val="2"/>
                      <w:sz w:val="21"/>
                      <w:szCs w:val="22"/>
                      <w14:textFill>
                        <w14:solidFill>
                          <w14:schemeClr w14:val="tx1"/>
                        </w14:solidFill>
                      </w14:textFill>
                    </w:rPr>
                    <w:t>/</w:t>
                  </w:r>
                </w:p>
              </w:tc>
              <w:tc>
                <w:tcPr>
                  <w:tcW w:w="1131" w:type="dxa"/>
                  <w:tcBorders>
                    <w:top w:val="single" w:color="auto" w:sz="4" w:space="0"/>
                    <w:left w:val="single" w:color="auto" w:sz="4" w:space="0"/>
                    <w:bottom w:val="single" w:color="auto" w:sz="4" w:space="0"/>
                    <w:right w:val="single" w:color="auto" w:sz="4" w:space="0"/>
                  </w:tcBorders>
                  <w:vAlign w:val="center"/>
                </w:tcPr>
                <w:p w14:paraId="4FF575B8">
                  <w:pPr>
                    <w:contextualSpacing/>
                    <w:jc w:val="center"/>
                    <w:rPr>
                      <w:snapToGrid w:val="0"/>
                      <w:color w:val="000000" w:themeColor="text1"/>
                      <w:kern w:val="0"/>
                      <w:szCs w:val="21"/>
                      <w14:textFill>
                        <w14:solidFill>
                          <w14:schemeClr w14:val="tx1"/>
                        </w14:solidFill>
                      </w14:textFill>
                    </w:rPr>
                  </w:pPr>
                  <w:r>
                    <w:rPr>
                      <w:rFonts w:hint="eastAsia"/>
                      <w:snapToGrid w:val="0"/>
                      <w:color w:val="000000" w:themeColor="text1"/>
                      <w:kern w:val="0"/>
                      <w:szCs w:val="21"/>
                      <w14:textFill>
                        <w14:solidFill>
                          <w14:schemeClr w14:val="tx1"/>
                        </w14:solidFill>
                      </w14:textFill>
                    </w:rPr>
                    <w:t>/</w:t>
                  </w:r>
                </w:p>
              </w:tc>
              <w:tc>
                <w:tcPr>
                  <w:tcW w:w="773" w:type="dxa"/>
                  <w:tcBorders>
                    <w:top w:val="single" w:color="auto" w:sz="4" w:space="0"/>
                    <w:left w:val="single" w:color="auto" w:sz="4" w:space="0"/>
                    <w:bottom w:val="single" w:color="auto" w:sz="4" w:space="0"/>
                    <w:right w:val="single" w:color="auto" w:sz="4" w:space="0"/>
                  </w:tcBorders>
                  <w:vAlign w:val="center"/>
                </w:tcPr>
                <w:p w14:paraId="5942A494">
                  <w:pPr>
                    <w:contextualSpacing/>
                    <w:jc w:val="center"/>
                    <w:rPr>
                      <w:snapToGrid w:val="0"/>
                      <w:color w:val="000000" w:themeColor="text1"/>
                      <w:kern w:val="0"/>
                      <w:szCs w:val="21"/>
                      <w14:textFill>
                        <w14:solidFill>
                          <w14:schemeClr w14:val="tx1"/>
                        </w14:solidFill>
                      </w14:textFill>
                    </w:rPr>
                  </w:pPr>
                  <w:r>
                    <w:rPr>
                      <w:rFonts w:hint="eastAsia"/>
                      <w:snapToGrid w:val="0"/>
                      <w:color w:val="000000" w:themeColor="text1"/>
                      <w:kern w:val="0"/>
                      <w:szCs w:val="21"/>
                      <w14:textFill>
                        <w14:solidFill>
                          <w14:schemeClr w14:val="tx1"/>
                        </w14:solidFill>
                      </w14:textFill>
                    </w:rPr>
                    <w:t>2004</w:t>
                  </w:r>
                </w:p>
              </w:tc>
              <w:tc>
                <w:tcPr>
                  <w:tcW w:w="471" w:type="dxa"/>
                  <w:tcBorders>
                    <w:top w:val="single" w:color="auto" w:sz="4" w:space="0"/>
                    <w:left w:val="single" w:color="auto" w:sz="4" w:space="0"/>
                    <w:bottom w:val="single" w:color="auto" w:sz="4" w:space="0"/>
                    <w:right w:val="single" w:color="auto" w:sz="4" w:space="0"/>
                  </w:tcBorders>
                  <w:vAlign w:val="center"/>
                </w:tcPr>
                <w:p w14:paraId="38090AAF">
                  <w:pPr>
                    <w:contextualSpacing/>
                    <w:jc w:val="center"/>
                    <w:rPr>
                      <w:snapToGrid w:val="0"/>
                      <w:color w:val="000000" w:themeColor="text1"/>
                      <w:kern w:val="0"/>
                      <w:szCs w:val="21"/>
                      <w14:textFill>
                        <w14:solidFill>
                          <w14:schemeClr w14:val="tx1"/>
                        </w14:solidFill>
                      </w14:textFill>
                    </w:rPr>
                  </w:pPr>
                  <w:r>
                    <w:rPr>
                      <w:rFonts w:hint="eastAsia"/>
                      <w:snapToGrid w:val="0"/>
                      <w:color w:val="000000" w:themeColor="text1"/>
                      <w:kern w:val="0"/>
                      <w:szCs w:val="21"/>
                      <w14:textFill>
                        <w14:solidFill>
                          <w14:schemeClr w14:val="tx1"/>
                        </w14:solidFill>
                      </w14:textFill>
                    </w:rPr>
                    <w:t>北</w:t>
                  </w:r>
                </w:p>
              </w:tc>
              <w:tc>
                <w:tcPr>
                  <w:tcW w:w="877" w:type="dxa"/>
                  <w:tcBorders>
                    <w:top w:val="single" w:color="auto" w:sz="4" w:space="0"/>
                    <w:left w:val="single" w:color="auto" w:sz="4" w:space="0"/>
                    <w:bottom w:val="single" w:color="auto" w:sz="4" w:space="0"/>
                    <w:right w:val="single" w:color="auto" w:sz="4" w:space="0"/>
                  </w:tcBorders>
                  <w:vAlign w:val="center"/>
                </w:tcPr>
                <w:p w14:paraId="0009C90C">
                  <w:pPr>
                    <w:contextualSpacing/>
                    <w:jc w:val="center"/>
                    <w:rPr>
                      <w:snapToGrid w:val="0"/>
                      <w:color w:val="000000" w:themeColor="text1"/>
                      <w:kern w:val="0"/>
                      <w:szCs w:val="21"/>
                      <w14:textFill>
                        <w14:solidFill>
                          <w14:schemeClr w14:val="tx1"/>
                        </w14:solidFill>
                      </w14:textFill>
                    </w:rPr>
                  </w:pPr>
                  <w:r>
                    <w:rPr>
                      <w:rFonts w:hint="eastAsia"/>
                      <w:snapToGrid w:val="0"/>
                      <w:color w:val="000000" w:themeColor="text1"/>
                      <w:kern w:val="0"/>
                      <w:szCs w:val="21"/>
                      <w14:textFill>
                        <w14:solidFill>
                          <w14:schemeClr w14:val="tx1"/>
                        </w14:solidFill>
                      </w14:textFill>
                    </w:rPr>
                    <w:t>1200</w:t>
                  </w:r>
                </w:p>
              </w:tc>
              <w:tc>
                <w:tcPr>
                  <w:tcW w:w="1045" w:type="dxa"/>
                  <w:tcBorders>
                    <w:top w:val="single" w:color="auto" w:sz="4" w:space="0"/>
                    <w:left w:val="single" w:color="auto" w:sz="4" w:space="0"/>
                    <w:bottom w:val="single" w:color="auto" w:sz="4" w:space="0"/>
                    <w:right w:val="single" w:color="auto" w:sz="4" w:space="0"/>
                  </w:tcBorders>
                  <w:vAlign w:val="center"/>
                </w:tcPr>
                <w:p w14:paraId="6257F8F6">
                  <w:pPr>
                    <w:autoSpaceDE w:val="0"/>
                    <w:autoSpaceDN w:val="0"/>
                    <w:contextualSpacing/>
                    <w:jc w:val="center"/>
                    <w:rPr>
                      <w:color w:val="000000" w:themeColor="text1"/>
                      <w:spacing w:val="-10"/>
                      <w:szCs w:val="21"/>
                      <w14:textFill>
                        <w14:solidFill>
                          <w14:schemeClr w14:val="tx1"/>
                        </w14:solidFill>
                      </w14:textFill>
                    </w:rPr>
                  </w:pPr>
                  <w:r>
                    <w:rPr>
                      <w:rFonts w:hint="eastAsia"/>
                      <w:color w:val="000000" w:themeColor="text1"/>
                      <w:spacing w:val="-10"/>
                      <w:szCs w:val="21"/>
                      <w14:textFill>
                        <w14:solidFill>
                          <w14:schemeClr w14:val="tx1"/>
                        </w14:solidFill>
                      </w14:textFill>
                    </w:rPr>
                    <w:t>主要功能为农业用水</w:t>
                  </w:r>
                </w:p>
              </w:tc>
              <w:tc>
                <w:tcPr>
                  <w:tcW w:w="1106" w:type="dxa"/>
                  <w:tcBorders>
                    <w:left w:val="single" w:color="auto" w:sz="4" w:space="0"/>
                    <w:right w:val="single" w:color="auto" w:sz="4" w:space="0"/>
                  </w:tcBorders>
                  <w:vAlign w:val="center"/>
                </w:tcPr>
                <w:p w14:paraId="512D0A1C">
                  <w:pPr>
                    <w:tabs>
                      <w:tab w:val="center" w:pos="4153"/>
                      <w:tab w:val="right" w:pos="8306"/>
                    </w:tabs>
                    <w:contextualSpacing/>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《地表水环境质量标准》（GB3838-2002）中的Ⅲ类水质</w:t>
                  </w:r>
                </w:p>
              </w:tc>
            </w:tr>
            <w:tr w14:paraId="106F9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8" w:type="dxa"/>
                  <w:tcBorders>
                    <w:left w:val="single" w:color="auto" w:sz="4" w:space="0"/>
                    <w:right w:val="single" w:color="auto" w:sz="4" w:space="0"/>
                  </w:tcBorders>
                  <w:vAlign w:val="center"/>
                </w:tcPr>
                <w:p w14:paraId="4E891B18">
                  <w:pPr>
                    <w:autoSpaceDE w:val="0"/>
                    <w:autoSpaceDN w:val="0"/>
                    <w:contextualSpacing/>
                    <w:jc w:val="center"/>
                    <w:rPr>
                      <w:color w:val="000000" w:themeColor="text1"/>
                      <w:spacing w:val="-10"/>
                      <w:szCs w:val="21"/>
                      <w14:textFill>
                        <w14:solidFill>
                          <w14:schemeClr w14:val="tx1"/>
                        </w14:solidFill>
                      </w14:textFill>
                    </w:rPr>
                  </w:pPr>
                  <w:r>
                    <w:rPr>
                      <w:rFonts w:hint="eastAsia"/>
                      <w:color w:val="000000" w:themeColor="text1"/>
                      <w:spacing w:val="-10"/>
                      <w:szCs w:val="21"/>
                      <w14:textFill>
                        <w14:solidFill>
                          <w14:schemeClr w14:val="tx1"/>
                        </w14:solidFill>
                      </w14:textFill>
                    </w:rPr>
                    <w:t>地下水</w:t>
                  </w:r>
                </w:p>
              </w:tc>
              <w:tc>
                <w:tcPr>
                  <w:tcW w:w="7306" w:type="dxa"/>
                  <w:gridSpan w:val="8"/>
                  <w:tcBorders>
                    <w:top w:val="single" w:color="auto" w:sz="4" w:space="0"/>
                    <w:left w:val="single" w:color="auto" w:sz="4" w:space="0"/>
                    <w:bottom w:val="single" w:color="auto" w:sz="4" w:space="0"/>
                    <w:right w:val="single" w:color="auto" w:sz="4" w:space="0"/>
                  </w:tcBorders>
                  <w:vAlign w:val="center"/>
                </w:tcPr>
                <w:p w14:paraId="5A7D4A29">
                  <w:pPr>
                    <w:tabs>
                      <w:tab w:val="center" w:pos="4153"/>
                      <w:tab w:val="right" w:pos="8306"/>
                    </w:tabs>
                    <w:contextualSpacing/>
                    <w:jc w:val="center"/>
                    <w:rPr>
                      <w:color w:val="000000" w:themeColor="text1"/>
                      <w:szCs w:val="21"/>
                      <w14:textFill>
                        <w14:solidFill>
                          <w14:schemeClr w14:val="tx1"/>
                        </w14:solidFill>
                      </w14:textFill>
                    </w:rPr>
                  </w:pPr>
                  <w:r>
                    <w:rPr>
                      <w:rFonts w:hint="eastAsia"/>
                      <w:color w:val="000000" w:themeColor="text1"/>
                      <w:spacing w:val="-10"/>
                      <w:szCs w:val="21"/>
                      <w14:textFill>
                        <w14:solidFill>
                          <w14:schemeClr w14:val="tx1"/>
                        </w14:solidFill>
                      </w14:textFill>
                    </w:rPr>
                    <w:t>厂界外500m范围内无地下水集中式饮用水源和热水、矿泉水、温泉等特殊地下水敏感目标</w:t>
                  </w:r>
                </w:p>
              </w:tc>
            </w:tr>
          </w:tbl>
          <w:p w14:paraId="68B58DB8">
            <w:pPr>
              <w:adjustRightInd w:val="0"/>
              <w:snapToGrid w:val="0"/>
              <w:rPr>
                <w:color w:val="000000" w:themeColor="text1"/>
                <w:kern w:val="0"/>
                <w:szCs w:val="21"/>
                <w14:textFill>
                  <w14:solidFill>
                    <w14:schemeClr w14:val="tx1"/>
                  </w14:solidFill>
                </w14:textFill>
              </w:rPr>
            </w:pPr>
          </w:p>
        </w:tc>
      </w:tr>
      <w:tr w14:paraId="66DBF1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800" w:type="dxa"/>
            <w:tcMar>
              <w:left w:w="28" w:type="dxa"/>
              <w:right w:w="28" w:type="dxa"/>
            </w:tcMar>
            <w:vAlign w:val="center"/>
          </w:tcPr>
          <w:p w14:paraId="52EC0C54">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污染</w:t>
            </w:r>
          </w:p>
          <w:p w14:paraId="0D37175E">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物排</w:t>
            </w:r>
          </w:p>
          <w:p w14:paraId="74382C3E">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放控</w:t>
            </w:r>
          </w:p>
          <w:p w14:paraId="43DAD796">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制标</w:t>
            </w:r>
          </w:p>
          <w:p w14:paraId="75BB92CF">
            <w:pPr>
              <w:adjustRightInd w:val="0"/>
              <w:snapToGrid w:val="0"/>
              <w:jc w:val="center"/>
              <w:rPr>
                <w:color w:val="000000" w:themeColor="text1"/>
                <w:kern w:val="0"/>
                <w:szCs w:val="21"/>
                <w14:textFill>
                  <w14:solidFill>
                    <w14:schemeClr w14:val="tx1"/>
                  </w14:solidFill>
                </w14:textFill>
              </w:rPr>
            </w:pPr>
            <w:r>
              <w:rPr>
                <w:color w:val="000000" w:themeColor="text1"/>
                <w:kern w:val="0"/>
                <w:sz w:val="24"/>
                <w14:textFill>
                  <w14:solidFill>
                    <w14:schemeClr w14:val="tx1"/>
                  </w14:solidFill>
                </w14:textFill>
              </w:rPr>
              <w:t>准</w:t>
            </w:r>
          </w:p>
        </w:tc>
        <w:tc>
          <w:tcPr>
            <w:tcW w:w="8190" w:type="dxa"/>
            <w:vAlign w:val="center"/>
          </w:tcPr>
          <w:p w14:paraId="2CB35D70">
            <w:pPr>
              <w:adjustRightInd w:val="0"/>
              <w:snapToGrid w:val="0"/>
              <w:spacing w:line="360" w:lineRule="auto"/>
              <w:jc w:val="left"/>
              <w:rPr>
                <w:b/>
                <w:color w:val="000000" w:themeColor="text1"/>
                <w:sz w:val="24"/>
                <w:lang w:val="zh-CN"/>
                <w14:textFill>
                  <w14:solidFill>
                    <w14:schemeClr w14:val="tx1"/>
                  </w14:solidFill>
                </w14:textFill>
              </w:rPr>
            </w:pPr>
            <w:r>
              <w:rPr>
                <w:b/>
                <w:color w:val="000000" w:themeColor="text1"/>
                <w:sz w:val="24"/>
                <w:lang w:val="zh-CN"/>
                <w14:textFill>
                  <w14:solidFill>
                    <w14:schemeClr w14:val="tx1"/>
                  </w14:solidFill>
                </w14:textFill>
              </w:rPr>
              <w:t>施工期</w:t>
            </w:r>
            <w:r>
              <w:rPr>
                <w:b/>
                <w:color w:val="000000" w:themeColor="text1"/>
                <w:sz w:val="24"/>
                <w14:textFill>
                  <w14:solidFill>
                    <w14:schemeClr w14:val="tx1"/>
                  </w14:solidFill>
                </w14:textFill>
              </w:rPr>
              <w:t>污染物排放标准：</w:t>
            </w:r>
          </w:p>
          <w:p w14:paraId="0A074B8A">
            <w:pPr>
              <w:adjustRightInd w:val="0"/>
              <w:snapToGrid w:val="0"/>
              <w:spacing w:line="360" w:lineRule="auto"/>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1、大气污染物排放标准</w:t>
            </w:r>
          </w:p>
          <w:p w14:paraId="08228F4A">
            <w:pPr>
              <w:adjustRightInd w:val="0"/>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施工期粉尘排放执行《大气污染物综合排放标准》（GB16297-1996）中的二级标准，标准限值见表3-</w:t>
            </w:r>
            <w:r>
              <w:rPr>
                <w:rFonts w:hint="eastAsia"/>
                <w:color w:val="000000" w:themeColor="text1"/>
                <w:sz w:val="24"/>
                <w14:textFill>
                  <w14:solidFill>
                    <w14:schemeClr w14:val="tx1"/>
                  </w14:solidFill>
                </w14:textFill>
              </w:rPr>
              <w:t>6</w:t>
            </w:r>
            <w:r>
              <w:rPr>
                <w:color w:val="000000" w:themeColor="text1"/>
                <w:sz w:val="24"/>
                <w14:textFill>
                  <w14:solidFill>
                    <w14:schemeClr w14:val="tx1"/>
                  </w14:solidFill>
                </w14:textFill>
              </w:rPr>
              <w:t>。</w:t>
            </w:r>
          </w:p>
          <w:p w14:paraId="20333DA1">
            <w:pPr>
              <w:adjustRightInd w:val="0"/>
              <w:snapToGrid w:val="0"/>
              <w:jc w:val="center"/>
              <w:rPr>
                <w:b/>
                <w:color w:val="000000" w:themeColor="text1"/>
                <w14:textFill>
                  <w14:solidFill>
                    <w14:schemeClr w14:val="tx1"/>
                  </w14:solidFill>
                </w14:textFill>
              </w:rPr>
            </w:pPr>
            <w:r>
              <w:rPr>
                <w:b/>
                <w:color w:val="000000" w:themeColor="text1"/>
                <w14:textFill>
                  <w14:solidFill>
                    <w14:schemeClr w14:val="tx1"/>
                  </w14:solidFill>
                </w14:textFill>
              </w:rPr>
              <w:t>表3-</w:t>
            </w:r>
            <w:r>
              <w:rPr>
                <w:rFonts w:hint="eastAsia"/>
                <w:b/>
                <w:color w:val="000000" w:themeColor="text1"/>
                <w14:textFill>
                  <w14:solidFill>
                    <w14:schemeClr w14:val="tx1"/>
                  </w14:solidFill>
                </w14:textFill>
              </w:rPr>
              <w:t>6</w:t>
            </w:r>
            <w:r>
              <w:rPr>
                <w:b/>
                <w:color w:val="000000" w:themeColor="text1"/>
                <w14:textFill>
                  <w14:solidFill>
                    <w14:schemeClr w14:val="tx1"/>
                  </w14:solidFill>
                </w14:textFill>
              </w:rPr>
              <w:t xml:space="preserve">   大气污染物综合排放标准</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3"/>
              <w:gridCol w:w="5811"/>
            </w:tblGrid>
            <w:tr w14:paraId="75899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222" w:type="dxa"/>
                  <w:tcBorders>
                    <w:top w:val="single" w:color="auto" w:sz="4" w:space="0"/>
                    <w:left w:val="single" w:color="auto" w:sz="4" w:space="0"/>
                    <w:bottom w:val="single" w:color="auto" w:sz="4" w:space="0"/>
                    <w:right w:val="single" w:color="auto" w:sz="4" w:space="0"/>
                  </w:tcBorders>
                  <w:vAlign w:val="center"/>
                </w:tcPr>
                <w:p w14:paraId="003A7B53">
                  <w:pPr>
                    <w:snapToGrid w:val="0"/>
                    <w:jc w:val="center"/>
                    <w:rPr>
                      <w:bCs/>
                      <w:color w:val="000000" w:themeColor="text1"/>
                      <w14:textFill>
                        <w14:solidFill>
                          <w14:schemeClr w14:val="tx1"/>
                        </w14:solidFill>
                      </w14:textFill>
                    </w:rPr>
                  </w:pPr>
                  <w:r>
                    <w:rPr>
                      <w:bCs/>
                      <w:color w:val="000000" w:themeColor="text1"/>
                      <w14:textFill>
                        <w14:solidFill>
                          <w14:schemeClr w14:val="tx1"/>
                        </w14:solidFill>
                      </w14:textFill>
                    </w:rPr>
                    <w:t>污染物</w:t>
                  </w:r>
                </w:p>
              </w:tc>
              <w:tc>
                <w:tcPr>
                  <w:tcW w:w="6012" w:type="dxa"/>
                  <w:tcBorders>
                    <w:top w:val="single" w:color="auto" w:sz="4" w:space="0"/>
                    <w:left w:val="single" w:color="auto" w:sz="4" w:space="0"/>
                    <w:right w:val="single" w:color="auto" w:sz="4" w:space="0"/>
                  </w:tcBorders>
                  <w:vAlign w:val="center"/>
                </w:tcPr>
                <w:p w14:paraId="151823C6">
                  <w:pPr>
                    <w:snapToGrid w:val="0"/>
                    <w:jc w:val="center"/>
                    <w:rPr>
                      <w:bCs/>
                      <w:color w:val="000000" w:themeColor="text1"/>
                      <w14:textFill>
                        <w14:solidFill>
                          <w14:schemeClr w14:val="tx1"/>
                        </w14:solidFill>
                      </w14:textFill>
                    </w:rPr>
                  </w:pPr>
                  <w:r>
                    <w:rPr>
                      <w:bCs/>
                      <w:color w:val="000000" w:themeColor="text1"/>
                      <w14:textFill>
                        <w14:solidFill>
                          <w14:schemeClr w14:val="tx1"/>
                        </w14:solidFill>
                      </w14:textFill>
                    </w:rPr>
                    <w:t>无组织排放监控浓度限值（mg/m</w:t>
                  </w:r>
                  <w:r>
                    <w:rPr>
                      <w:bCs/>
                      <w:color w:val="000000" w:themeColor="text1"/>
                      <w:vertAlign w:val="superscript"/>
                      <w14:textFill>
                        <w14:solidFill>
                          <w14:schemeClr w14:val="tx1"/>
                        </w14:solidFill>
                      </w14:textFill>
                    </w:rPr>
                    <w:t>3</w:t>
                  </w:r>
                  <w:r>
                    <w:rPr>
                      <w:bCs/>
                      <w:color w:val="000000" w:themeColor="text1"/>
                      <w14:textFill>
                        <w14:solidFill>
                          <w14:schemeClr w14:val="tx1"/>
                        </w14:solidFill>
                      </w14:textFill>
                    </w:rPr>
                    <w:t>）</w:t>
                  </w:r>
                </w:p>
              </w:tc>
            </w:tr>
            <w:tr w14:paraId="34CC4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222" w:type="dxa"/>
                  <w:tcBorders>
                    <w:top w:val="single" w:color="auto" w:sz="4" w:space="0"/>
                    <w:left w:val="single" w:color="auto" w:sz="4" w:space="0"/>
                    <w:bottom w:val="single" w:color="auto" w:sz="4" w:space="0"/>
                    <w:right w:val="single" w:color="auto" w:sz="4" w:space="0"/>
                  </w:tcBorders>
                  <w:vAlign w:val="center"/>
                </w:tcPr>
                <w:p w14:paraId="5AC0B6FA">
                  <w:pPr>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颗粒物</w:t>
                  </w:r>
                </w:p>
              </w:tc>
              <w:tc>
                <w:tcPr>
                  <w:tcW w:w="6012" w:type="dxa"/>
                  <w:tcBorders>
                    <w:top w:val="single" w:color="auto" w:sz="4" w:space="0"/>
                    <w:left w:val="single" w:color="auto" w:sz="4" w:space="0"/>
                    <w:bottom w:val="single" w:color="auto" w:sz="4" w:space="0"/>
                    <w:right w:val="single" w:color="auto" w:sz="4" w:space="0"/>
                  </w:tcBorders>
                  <w:vAlign w:val="center"/>
                </w:tcPr>
                <w:p w14:paraId="2B8D328D">
                  <w:pPr>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1.0</w:t>
                  </w:r>
                </w:p>
              </w:tc>
            </w:tr>
          </w:tbl>
          <w:p w14:paraId="373A2856">
            <w:pPr>
              <w:snapToGrid w:val="0"/>
              <w:spacing w:before="120" w:beforeLines="50" w:line="360" w:lineRule="auto"/>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2、</w:t>
            </w:r>
            <w:bookmarkStart w:id="26" w:name="_Toc7851"/>
            <w:r>
              <w:rPr>
                <w:b/>
                <w:color w:val="000000" w:themeColor="text1"/>
                <w:sz w:val="24"/>
                <w14:textFill>
                  <w14:solidFill>
                    <w14:schemeClr w14:val="tx1"/>
                  </w14:solidFill>
                </w14:textFill>
              </w:rPr>
              <w:t>噪声</w:t>
            </w:r>
            <w:bookmarkEnd w:id="26"/>
            <w:r>
              <w:rPr>
                <w:b/>
                <w:color w:val="000000" w:themeColor="text1"/>
                <w:sz w:val="24"/>
                <w14:textFill>
                  <w14:solidFill>
                    <w14:schemeClr w14:val="tx1"/>
                  </w14:solidFill>
                </w14:textFill>
              </w:rPr>
              <w:t>排放标准</w:t>
            </w:r>
          </w:p>
          <w:p w14:paraId="726D156A">
            <w:pPr>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项目施工期噪声排放执行《建筑施工噪声排放标准》（GB12523-20</w:t>
            </w:r>
            <w:r>
              <w:rPr>
                <w:rFonts w:hint="eastAsia"/>
                <w:color w:val="000000" w:themeColor="text1"/>
                <w:sz w:val="24"/>
                <w14:textFill>
                  <w14:solidFill>
                    <w14:schemeClr w14:val="tx1"/>
                  </w14:solidFill>
                </w14:textFill>
              </w:rPr>
              <w:t>25</w:t>
            </w:r>
            <w:r>
              <w:rPr>
                <w:color w:val="000000" w:themeColor="text1"/>
                <w:sz w:val="24"/>
                <w14:textFill>
                  <w14:solidFill>
                    <w14:schemeClr w14:val="tx1"/>
                  </w14:solidFill>
                </w14:textFill>
              </w:rPr>
              <w:t>）标准，标准限值见表3-</w:t>
            </w:r>
            <w:r>
              <w:rPr>
                <w:rFonts w:hint="eastAsia"/>
                <w:color w:val="000000" w:themeColor="text1"/>
                <w:sz w:val="24"/>
                <w14:textFill>
                  <w14:solidFill>
                    <w14:schemeClr w14:val="tx1"/>
                  </w14:solidFill>
                </w14:textFill>
              </w:rPr>
              <w:t>7</w:t>
            </w:r>
            <w:r>
              <w:rPr>
                <w:color w:val="000000" w:themeColor="text1"/>
                <w:sz w:val="24"/>
                <w14:textFill>
                  <w14:solidFill>
                    <w14:schemeClr w14:val="tx1"/>
                  </w14:solidFill>
                </w14:textFill>
              </w:rPr>
              <w:t>。</w:t>
            </w:r>
          </w:p>
          <w:p w14:paraId="7CDBBE49">
            <w:pPr>
              <w:snapToGrid w:val="0"/>
              <w:jc w:val="center"/>
              <w:rPr>
                <w:b/>
                <w:color w:val="000000" w:themeColor="text1"/>
                <w14:textFill>
                  <w14:solidFill>
                    <w14:schemeClr w14:val="tx1"/>
                  </w14:solidFill>
                </w14:textFill>
              </w:rPr>
            </w:pPr>
            <w:r>
              <w:rPr>
                <w:b/>
                <w:color w:val="000000" w:themeColor="text1"/>
                <w14:textFill>
                  <w14:solidFill>
                    <w14:schemeClr w14:val="tx1"/>
                  </w14:solidFill>
                </w14:textFill>
              </w:rPr>
              <w:t>表3-</w:t>
            </w:r>
            <w:r>
              <w:rPr>
                <w:rFonts w:hint="eastAsia"/>
                <w:b/>
                <w:color w:val="000000" w:themeColor="text1"/>
                <w14:textFill>
                  <w14:solidFill>
                    <w14:schemeClr w14:val="tx1"/>
                  </w14:solidFill>
                </w14:textFill>
              </w:rPr>
              <w:t>7</w:t>
            </w:r>
            <w:r>
              <w:rPr>
                <w:b/>
                <w:color w:val="000000" w:themeColor="text1"/>
                <w14:textFill>
                  <w14:solidFill>
                    <w14:schemeClr w14:val="tx1"/>
                  </w14:solidFill>
                </w14:textFill>
              </w:rPr>
              <w:t xml:space="preserve">   建筑施工噪声排放限值  单位：dB（A）</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47"/>
              <w:gridCol w:w="4117"/>
            </w:tblGrid>
            <w:tr w14:paraId="3DF06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3977" w:type="dxa"/>
                  <w:tcBorders>
                    <w:top w:val="single" w:color="auto" w:sz="4" w:space="0"/>
                    <w:left w:val="single" w:color="auto" w:sz="4" w:space="0"/>
                    <w:bottom w:val="single" w:color="auto" w:sz="4" w:space="0"/>
                    <w:right w:val="single" w:color="auto" w:sz="4" w:space="0"/>
                  </w:tcBorders>
                  <w:vAlign w:val="center"/>
                </w:tcPr>
                <w:p w14:paraId="664A5E60">
                  <w:pPr>
                    <w:snapToGrid w:val="0"/>
                    <w:jc w:val="center"/>
                    <w:rPr>
                      <w:bCs/>
                      <w:color w:val="000000" w:themeColor="text1"/>
                      <w14:textFill>
                        <w14:solidFill>
                          <w14:schemeClr w14:val="tx1"/>
                        </w14:solidFill>
                      </w14:textFill>
                    </w:rPr>
                  </w:pPr>
                  <w:r>
                    <w:rPr>
                      <w:bCs/>
                      <w:color w:val="000000" w:themeColor="text1"/>
                      <w14:textFill>
                        <w14:solidFill>
                          <w14:schemeClr w14:val="tx1"/>
                        </w14:solidFill>
                      </w14:textFill>
                    </w:rPr>
                    <w:t>昼间</w:t>
                  </w:r>
                </w:p>
              </w:tc>
              <w:tc>
                <w:tcPr>
                  <w:tcW w:w="4257" w:type="dxa"/>
                  <w:tcBorders>
                    <w:top w:val="single" w:color="auto" w:sz="4" w:space="0"/>
                    <w:left w:val="single" w:color="auto" w:sz="4" w:space="0"/>
                    <w:bottom w:val="single" w:color="auto" w:sz="4" w:space="0"/>
                    <w:right w:val="single" w:color="auto" w:sz="4" w:space="0"/>
                  </w:tcBorders>
                  <w:vAlign w:val="center"/>
                </w:tcPr>
                <w:p w14:paraId="2FF23C29">
                  <w:pPr>
                    <w:snapToGrid w:val="0"/>
                    <w:jc w:val="center"/>
                    <w:rPr>
                      <w:bCs/>
                      <w:color w:val="000000" w:themeColor="text1"/>
                      <w14:textFill>
                        <w14:solidFill>
                          <w14:schemeClr w14:val="tx1"/>
                        </w14:solidFill>
                      </w14:textFill>
                    </w:rPr>
                  </w:pPr>
                  <w:r>
                    <w:rPr>
                      <w:bCs/>
                      <w:color w:val="000000" w:themeColor="text1"/>
                      <w14:textFill>
                        <w14:solidFill>
                          <w14:schemeClr w14:val="tx1"/>
                        </w14:solidFill>
                      </w14:textFill>
                    </w:rPr>
                    <w:t>夜间</w:t>
                  </w:r>
                </w:p>
              </w:tc>
            </w:tr>
            <w:tr w14:paraId="0118E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3977" w:type="dxa"/>
                  <w:tcBorders>
                    <w:top w:val="single" w:color="auto" w:sz="4" w:space="0"/>
                    <w:left w:val="single" w:color="auto" w:sz="4" w:space="0"/>
                    <w:bottom w:val="single" w:color="auto" w:sz="4" w:space="0"/>
                    <w:right w:val="single" w:color="auto" w:sz="4" w:space="0"/>
                  </w:tcBorders>
                  <w:vAlign w:val="center"/>
                </w:tcPr>
                <w:p w14:paraId="18431BF5">
                  <w:pPr>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70</w:t>
                  </w:r>
                </w:p>
              </w:tc>
              <w:tc>
                <w:tcPr>
                  <w:tcW w:w="4257" w:type="dxa"/>
                  <w:tcBorders>
                    <w:top w:val="single" w:color="auto" w:sz="4" w:space="0"/>
                    <w:left w:val="single" w:color="auto" w:sz="4" w:space="0"/>
                    <w:bottom w:val="single" w:color="auto" w:sz="4" w:space="0"/>
                    <w:right w:val="single" w:color="auto" w:sz="4" w:space="0"/>
                  </w:tcBorders>
                  <w:vAlign w:val="center"/>
                </w:tcPr>
                <w:p w14:paraId="6186114F">
                  <w:pPr>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55</w:t>
                  </w:r>
                </w:p>
              </w:tc>
            </w:tr>
          </w:tbl>
          <w:p w14:paraId="6A73AF92">
            <w:pPr>
              <w:snapToGrid w:val="0"/>
              <w:spacing w:before="120" w:beforeLines="50" w:line="360" w:lineRule="auto"/>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3、废水排放标准</w:t>
            </w:r>
          </w:p>
          <w:p w14:paraId="1BAC4324">
            <w:pPr>
              <w:snapToGrid w:val="0"/>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项目施工期现场不设施工生活营地，施工产生的施工废水经沉淀处理后全部回用于施工场地洒水降尘，不外排。</w:t>
            </w:r>
          </w:p>
          <w:p w14:paraId="131F60AE">
            <w:pPr>
              <w:snapToGrid w:val="0"/>
              <w:spacing w:line="360" w:lineRule="auto"/>
              <w:jc w:val="left"/>
              <w:rPr>
                <w:b/>
                <w:color w:val="000000" w:themeColor="text1"/>
                <w:sz w:val="24"/>
                <w:lang w:val="zh-CN"/>
                <w14:textFill>
                  <w14:solidFill>
                    <w14:schemeClr w14:val="tx1"/>
                  </w14:solidFill>
                </w14:textFill>
              </w:rPr>
            </w:pPr>
            <w:r>
              <w:rPr>
                <w:b/>
                <w:color w:val="000000" w:themeColor="text1"/>
                <w:sz w:val="24"/>
                <w:lang w:val="zh-CN"/>
                <w14:textFill>
                  <w14:solidFill>
                    <w14:schemeClr w14:val="tx1"/>
                  </w14:solidFill>
                </w14:textFill>
              </w:rPr>
              <w:t>运营期</w:t>
            </w:r>
            <w:r>
              <w:rPr>
                <w:b/>
                <w:color w:val="000000" w:themeColor="text1"/>
                <w:sz w:val="24"/>
                <w14:textFill>
                  <w14:solidFill>
                    <w14:schemeClr w14:val="tx1"/>
                  </w14:solidFill>
                </w14:textFill>
              </w:rPr>
              <w:t>污染物排放标准：</w:t>
            </w:r>
          </w:p>
          <w:p w14:paraId="17F6233E">
            <w:pPr>
              <w:snapToGrid w:val="0"/>
              <w:spacing w:line="360" w:lineRule="auto"/>
              <w:ind w:firstLine="482" w:firstLineChars="200"/>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1、大气污染物排放标准</w:t>
            </w:r>
          </w:p>
          <w:p w14:paraId="2EEDBC19">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营运期无组织排放粉尘执行《大气污染物综合排放标准》（GB16297-1996）表2中无组织排放标准限值要求，</w:t>
            </w:r>
            <w:r>
              <w:rPr>
                <w:rFonts w:hint="eastAsia"/>
                <w:color w:val="000000" w:themeColor="text1"/>
                <w:sz w:val="24"/>
                <w14:textFill>
                  <w14:solidFill>
                    <w14:schemeClr w14:val="tx1"/>
                  </w14:solidFill>
                </w14:textFill>
              </w:rPr>
              <w:t>无组织</w:t>
            </w:r>
            <w:r>
              <w:rPr>
                <w:color w:val="000000" w:themeColor="text1"/>
                <w:sz w:val="24"/>
                <w14:textFill>
                  <w14:solidFill>
                    <w14:schemeClr w14:val="tx1"/>
                  </w14:solidFill>
                </w14:textFill>
              </w:rPr>
              <w:t>恶臭污染物执行《恶臭污染物排放标准》(GB14554-93)表</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中</w:t>
            </w:r>
            <w:r>
              <w:rPr>
                <w:rFonts w:hint="eastAsia"/>
                <w:color w:val="000000" w:themeColor="text1"/>
                <w:sz w:val="24"/>
                <w14:textFill>
                  <w14:solidFill>
                    <w14:schemeClr w14:val="tx1"/>
                  </w14:solidFill>
                </w14:textFill>
              </w:rPr>
              <w:t>二级</w:t>
            </w:r>
            <w:r>
              <w:rPr>
                <w:color w:val="000000" w:themeColor="text1"/>
                <w:sz w:val="24"/>
                <w14:textFill>
                  <w14:solidFill>
                    <w14:schemeClr w14:val="tx1"/>
                  </w14:solidFill>
                </w14:textFill>
              </w:rPr>
              <w:t>标准</w:t>
            </w:r>
            <w:r>
              <w:rPr>
                <w:rFonts w:hint="eastAsia"/>
                <w:color w:val="000000" w:themeColor="text1"/>
                <w:sz w:val="24"/>
                <w14:textFill>
                  <w14:solidFill>
                    <w14:schemeClr w14:val="tx1"/>
                  </w14:solidFill>
                </w14:textFill>
              </w:rPr>
              <w:t>。</w:t>
            </w:r>
          </w:p>
          <w:p w14:paraId="0642758D">
            <w:pPr>
              <w:snapToGrid w:val="0"/>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表3-</w:t>
            </w:r>
            <w:r>
              <w:rPr>
                <w:rFonts w:hint="eastAsia"/>
                <w:b/>
                <w:color w:val="000000" w:themeColor="text1"/>
                <w:szCs w:val="21"/>
                <w14:textFill>
                  <w14:solidFill>
                    <w14:schemeClr w14:val="tx1"/>
                  </w14:solidFill>
                </w14:textFill>
              </w:rPr>
              <w:t>8</w:t>
            </w:r>
            <w:r>
              <w:rPr>
                <w:b/>
                <w:color w:val="000000" w:themeColor="text1"/>
                <w:szCs w:val="21"/>
                <w14:textFill>
                  <w14:solidFill>
                    <w14:schemeClr w14:val="tx1"/>
                  </w14:solidFill>
                </w14:textFill>
              </w:rPr>
              <w:t xml:space="preserve">   废气排放标准</w:t>
            </w:r>
          </w:p>
          <w:tbl>
            <w:tblPr>
              <w:tblStyle w:val="25"/>
              <w:tblW w:w="470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2"/>
              <w:gridCol w:w="1167"/>
              <w:gridCol w:w="1933"/>
              <w:gridCol w:w="2802"/>
            </w:tblGrid>
            <w:tr w14:paraId="25C2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760" w:type="dxa"/>
                  <w:gridSpan w:val="2"/>
                  <w:vMerge w:val="restart"/>
                  <w:vAlign w:val="center"/>
                </w:tcPr>
                <w:p w14:paraId="30B8967E">
                  <w:pPr>
                    <w:jc w:val="center"/>
                    <w:textAlignment w:val="baseline"/>
                    <w:rPr>
                      <w:rFonts w:eastAsiaTheme="minorEastAsia"/>
                      <w:bCs/>
                      <w:color w:val="000000" w:themeColor="text1"/>
                      <w:spacing w:val="-11"/>
                      <w:kern w:val="0"/>
                      <w:szCs w:val="22"/>
                      <w14:textFill>
                        <w14:solidFill>
                          <w14:schemeClr w14:val="tx1"/>
                        </w14:solidFill>
                      </w14:textFill>
                    </w:rPr>
                  </w:pPr>
                  <w:r>
                    <w:rPr>
                      <w:rFonts w:eastAsiaTheme="minorEastAsia"/>
                      <w:bCs/>
                      <w:color w:val="000000" w:themeColor="text1"/>
                      <w:spacing w:val="-11"/>
                      <w:kern w:val="0"/>
                      <w:szCs w:val="22"/>
                      <w14:textFill>
                        <w14:solidFill>
                          <w14:schemeClr w14:val="tx1"/>
                        </w14:solidFill>
                      </w14:textFill>
                    </w:rPr>
                    <w:t>污染物</w:t>
                  </w:r>
                </w:p>
              </w:tc>
              <w:tc>
                <w:tcPr>
                  <w:tcW w:w="1933" w:type="dxa"/>
                  <w:vMerge w:val="restart"/>
                  <w:vAlign w:val="center"/>
                </w:tcPr>
                <w:p w14:paraId="25E5B26E">
                  <w:pPr>
                    <w:textAlignment w:val="baseline"/>
                    <w:rPr>
                      <w:rFonts w:eastAsiaTheme="minorEastAsia"/>
                      <w:bCs/>
                      <w:color w:val="000000" w:themeColor="text1"/>
                      <w:spacing w:val="-11"/>
                      <w:kern w:val="0"/>
                      <w:szCs w:val="22"/>
                      <w14:textFill>
                        <w14:solidFill>
                          <w14:schemeClr w14:val="tx1"/>
                        </w14:solidFill>
                      </w14:textFill>
                    </w:rPr>
                  </w:pPr>
                  <w:r>
                    <w:rPr>
                      <w:rFonts w:eastAsiaTheme="minorEastAsia"/>
                      <w:bCs/>
                      <w:color w:val="000000" w:themeColor="text1"/>
                      <w:spacing w:val="-11"/>
                      <w:kern w:val="0"/>
                      <w:szCs w:val="22"/>
                      <w14:textFill>
                        <w14:solidFill>
                          <w14:schemeClr w14:val="tx1"/>
                        </w14:solidFill>
                      </w14:textFill>
                    </w:rPr>
                    <w:t>无组织排放监控浓度限值（mg/m</w:t>
                  </w:r>
                  <w:r>
                    <w:rPr>
                      <w:rFonts w:eastAsiaTheme="minorEastAsia"/>
                      <w:bCs/>
                      <w:color w:val="000000" w:themeColor="text1"/>
                      <w:spacing w:val="-11"/>
                      <w:kern w:val="0"/>
                      <w:szCs w:val="22"/>
                      <w:vertAlign w:val="superscript"/>
                      <w14:textFill>
                        <w14:solidFill>
                          <w14:schemeClr w14:val="tx1"/>
                        </w14:solidFill>
                      </w14:textFill>
                    </w:rPr>
                    <w:t>3</w:t>
                  </w:r>
                  <w:r>
                    <w:rPr>
                      <w:rFonts w:eastAsiaTheme="minorEastAsia"/>
                      <w:bCs/>
                      <w:color w:val="000000" w:themeColor="text1"/>
                      <w:spacing w:val="-11"/>
                      <w:kern w:val="0"/>
                      <w:szCs w:val="22"/>
                      <w14:textFill>
                        <w14:solidFill>
                          <w14:schemeClr w14:val="tx1"/>
                        </w14:solidFill>
                      </w14:textFill>
                    </w:rPr>
                    <w:t>）</w:t>
                  </w:r>
                </w:p>
              </w:tc>
              <w:tc>
                <w:tcPr>
                  <w:tcW w:w="2802" w:type="dxa"/>
                  <w:vMerge w:val="restart"/>
                  <w:vAlign w:val="center"/>
                </w:tcPr>
                <w:p w14:paraId="3976CA2D">
                  <w:pPr>
                    <w:jc w:val="center"/>
                    <w:textAlignment w:val="baseline"/>
                    <w:rPr>
                      <w:rFonts w:eastAsiaTheme="minorEastAsia"/>
                      <w:bCs/>
                      <w:color w:val="000000" w:themeColor="text1"/>
                      <w:spacing w:val="-11"/>
                      <w:kern w:val="0"/>
                      <w:szCs w:val="22"/>
                      <w14:textFill>
                        <w14:solidFill>
                          <w14:schemeClr w14:val="tx1"/>
                        </w14:solidFill>
                      </w14:textFill>
                    </w:rPr>
                  </w:pPr>
                  <w:r>
                    <w:rPr>
                      <w:rFonts w:eastAsiaTheme="minorEastAsia"/>
                      <w:bCs/>
                      <w:color w:val="000000" w:themeColor="text1"/>
                      <w:spacing w:val="-11"/>
                      <w:kern w:val="0"/>
                      <w:szCs w:val="22"/>
                      <w14:textFill>
                        <w14:solidFill>
                          <w14:schemeClr w14:val="tx1"/>
                        </w14:solidFill>
                      </w14:textFill>
                    </w:rPr>
                    <w:t>标准来源</w:t>
                  </w:r>
                </w:p>
              </w:tc>
            </w:tr>
            <w:tr w14:paraId="1C612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760" w:type="dxa"/>
                  <w:gridSpan w:val="2"/>
                  <w:vMerge w:val="continue"/>
                  <w:vAlign w:val="center"/>
                </w:tcPr>
                <w:p w14:paraId="20E6407F">
                  <w:pPr>
                    <w:jc w:val="center"/>
                    <w:textAlignment w:val="baseline"/>
                    <w:rPr>
                      <w:rFonts w:eastAsiaTheme="minorEastAsia"/>
                      <w:bCs/>
                      <w:color w:val="000000" w:themeColor="text1"/>
                      <w:spacing w:val="-11"/>
                      <w:kern w:val="0"/>
                      <w:szCs w:val="22"/>
                      <w14:textFill>
                        <w14:solidFill>
                          <w14:schemeClr w14:val="tx1"/>
                        </w14:solidFill>
                      </w14:textFill>
                    </w:rPr>
                  </w:pPr>
                </w:p>
              </w:tc>
              <w:tc>
                <w:tcPr>
                  <w:tcW w:w="1933" w:type="dxa"/>
                  <w:vMerge w:val="continue"/>
                  <w:vAlign w:val="center"/>
                </w:tcPr>
                <w:p w14:paraId="65AE443D">
                  <w:pPr>
                    <w:jc w:val="center"/>
                    <w:textAlignment w:val="baseline"/>
                    <w:rPr>
                      <w:rFonts w:eastAsiaTheme="minorEastAsia"/>
                      <w:bCs/>
                      <w:color w:val="000000" w:themeColor="text1"/>
                      <w:spacing w:val="-11"/>
                      <w:kern w:val="0"/>
                      <w:szCs w:val="22"/>
                      <w14:textFill>
                        <w14:solidFill>
                          <w14:schemeClr w14:val="tx1"/>
                        </w14:solidFill>
                      </w14:textFill>
                    </w:rPr>
                  </w:pPr>
                </w:p>
              </w:tc>
              <w:tc>
                <w:tcPr>
                  <w:tcW w:w="2802" w:type="dxa"/>
                  <w:vMerge w:val="continue"/>
                  <w:vAlign w:val="center"/>
                </w:tcPr>
                <w:p w14:paraId="1C0E5C84">
                  <w:pPr>
                    <w:jc w:val="center"/>
                    <w:textAlignment w:val="baseline"/>
                    <w:rPr>
                      <w:rFonts w:eastAsiaTheme="minorEastAsia"/>
                      <w:bCs/>
                      <w:color w:val="000000" w:themeColor="text1"/>
                      <w:spacing w:val="-11"/>
                      <w:kern w:val="0"/>
                      <w:szCs w:val="22"/>
                      <w14:textFill>
                        <w14:solidFill>
                          <w14:schemeClr w14:val="tx1"/>
                        </w14:solidFill>
                      </w14:textFill>
                    </w:rPr>
                  </w:pPr>
                </w:p>
              </w:tc>
            </w:tr>
            <w:tr w14:paraId="5401C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93" w:type="dxa"/>
                  <w:vMerge w:val="restart"/>
                  <w:vAlign w:val="center"/>
                </w:tcPr>
                <w:p w14:paraId="3854715F">
                  <w:pPr>
                    <w:jc w:val="center"/>
                    <w:rPr>
                      <w:rFonts w:eastAsiaTheme="minorEastAsia"/>
                      <w:bCs/>
                      <w:color w:val="000000" w:themeColor="text1"/>
                      <w14:textFill>
                        <w14:solidFill>
                          <w14:schemeClr w14:val="tx1"/>
                        </w14:solidFill>
                      </w14:textFill>
                    </w:rPr>
                  </w:pPr>
                  <w:r>
                    <w:rPr>
                      <w:rFonts w:hint="eastAsia" w:eastAsiaTheme="minorEastAsia"/>
                      <w:bCs/>
                      <w:color w:val="000000" w:themeColor="text1"/>
                      <w14:textFill>
                        <w14:solidFill>
                          <w14:schemeClr w14:val="tx1"/>
                        </w14:solidFill>
                      </w14:textFill>
                    </w:rPr>
                    <w:t>恶臭废气</w:t>
                  </w:r>
                </w:p>
              </w:tc>
              <w:tc>
                <w:tcPr>
                  <w:tcW w:w="1167" w:type="dxa"/>
                  <w:vAlign w:val="center"/>
                </w:tcPr>
                <w:p w14:paraId="09EF12FF">
                  <w:pPr>
                    <w:jc w:val="center"/>
                    <w:rPr>
                      <w:rFonts w:eastAsiaTheme="minorEastAsia"/>
                      <w:bCs/>
                      <w:color w:val="000000" w:themeColor="text1"/>
                      <w14:textFill>
                        <w14:solidFill>
                          <w14:schemeClr w14:val="tx1"/>
                        </w14:solidFill>
                      </w14:textFill>
                    </w:rPr>
                  </w:pPr>
                  <w:r>
                    <w:rPr>
                      <w:rFonts w:eastAsiaTheme="minorEastAsia"/>
                      <w:bCs/>
                      <w:color w:val="000000" w:themeColor="text1"/>
                      <w14:textFill>
                        <w14:solidFill>
                          <w14:schemeClr w14:val="tx1"/>
                        </w14:solidFill>
                      </w14:textFill>
                    </w:rPr>
                    <w:t>NH</w:t>
                  </w:r>
                  <w:r>
                    <w:rPr>
                      <w:rFonts w:eastAsiaTheme="minorEastAsia"/>
                      <w:bCs/>
                      <w:color w:val="000000" w:themeColor="text1"/>
                      <w:vertAlign w:val="subscript"/>
                      <w14:textFill>
                        <w14:solidFill>
                          <w14:schemeClr w14:val="tx1"/>
                        </w14:solidFill>
                      </w14:textFill>
                    </w:rPr>
                    <w:t>3</w:t>
                  </w:r>
                </w:p>
              </w:tc>
              <w:tc>
                <w:tcPr>
                  <w:tcW w:w="1933" w:type="dxa"/>
                  <w:vAlign w:val="center"/>
                </w:tcPr>
                <w:p w14:paraId="78DF5AB5">
                  <w:pPr>
                    <w:jc w:val="center"/>
                    <w:textAlignment w:val="baseline"/>
                    <w:rPr>
                      <w:rFonts w:eastAsiaTheme="minorEastAsia"/>
                      <w:bCs/>
                      <w:color w:val="000000" w:themeColor="text1"/>
                      <w:spacing w:val="-11"/>
                      <w:kern w:val="0"/>
                      <w:szCs w:val="22"/>
                      <w14:textFill>
                        <w14:solidFill>
                          <w14:schemeClr w14:val="tx1"/>
                        </w14:solidFill>
                      </w14:textFill>
                    </w:rPr>
                  </w:pPr>
                  <w:r>
                    <w:rPr>
                      <w:rFonts w:eastAsiaTheme="minorEastAsia"/>
                      <w:bCs/>
                      <w:color w:val="000000" w:themeColor="text1"/>
                      <w:spacing w:val="-11"/>
                      <w:kern w:val="0"/>
                      <w:szCs w:val="22"/>
                      <w14:textFill>
                        <w14:solidFill>
                          <w14:schemeClr w14:val="tx1"/>
                        </w14:solidFill>
                      </w14:textFill>
                    </w:rPr>
                    <w:t>1.5</w:t>
                  </w:r>
                </w:p>
              </w:tc>
              <w:tc>
                <w:tcPr>
                  <w:tcW w:w="2802" w:type="dxa"/>
                  <w:vMerge w:val="restart"/>
                  <w:vAlign w:val="center"/>
                </w:tcPr>
                <w:p w14:paraId="105799B9">
                  <w:pPr>
                    <w:textAlignment w:val="baseline"/>
                    <w:rPr>
                      <w:rFonts w:eastAsiaTheme="minorEastAsia"/>
                      <w:bCs/>
                      <w:color w:val="000000" w:themeColor="text1"/>
                      <w:spacing w:val="-11"/>
                      <w:kern w:val="0"/>
                      <w:szCs w:val="22"/>
                      <w14:textFill>
                        <w14:solidFill>
                          <w14:schemeClr w14:val="tx1"/>
                        </w14:solidFill>
                      </w14:textFill>
                    </w:rPr>
                  </w:pPr>
                  <w:r>
                    <w:rPr>
                      <w:rFonts w:eastAsiaTheme="minorEastAsia"/>
                      <w:bCs/>
                      <w:color w:val="000000" w:themeColor="text1"/>
                      <w:spacing w:val="-11"/>
                      <w:kern w:val="0"/>
                      <w:szCs w:val="22"/>
                      <w14:textFill>
                        <w14:solidFill>
                          <w14:schemeClr w14:val="tx1"/>
                        </w14:solidFill>
                      </w14:textFill>
                    </w:rPr>
                    <w:t>GB14554-93《恶臭污染物排放标准》表</w:t>
                  </w:r>
                  <w:r>
                    <w:rPr>
                      <w:rFonts w:hint="eastAsia" w:eastAsiaTheme="minorEastAsia"/>
                      <w:bCs/>
                      <w:color w:val="000000" w:themeColor="text1"/>
                      <w:spacing w:val="-11"/>
                      <w:kern w:val="0"/>
                      <w:szCs w:val="22"/>
                      <w14:textFill>
                        <w14:solidFill>
                          <w14:schemeClr w14:val="tx1"/>
                        </w14:solidFill>
                      </w14:textFill>
                    </w:rPr>
                    <w:t>1</w:t>
                  </w:r>
                  <w:r>
                    <w:rPr>
                      <w:rFonts w:eastAsiaTheme="minorEastAsia"/>
                      <w:bCs/>
                      <w:color w:val="000000" w:themeColor="text1"/>
                      <w:spacing w:val="-11"/>
                      <w:kern w:val="0"/>
                      <w:szCs w:val="22"/>
                      <w14:textFill>
                        <w14:solidFill>
                          <w14:schemeClr w14:val="tx1"/>
                        </w14:solidFill>
                      </w14:textFill>
                    </w:rPr>
                    <w:t>中标准</w:t>
                  </w:r>
                </w:p>
              </w:tc>
            </w:tr>
            <w:tr w14:paraId="7BE0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93" w:type="dxa"/>
                  <w:vMerge w:val="continue"/>
                  <w:vAlign w:val="center"/>
                </w:tcPr>
                <w:p w14:paraId="022A3A2E">
                  <w:pPr>
                    <w:jc w:val="center"/>
                    <w:rPr>
                      <w:rFonts w:eastAsiaTheme="minorEastAsia"/>
                      <w:bCs/>
                      <w:color w:val="000000" w:themeColor="text1"/>
                      <w14:textFill>
                        <w14:solidFill>
                          <w14:schemeClr w14:val="tx1"/>
                        </w14:solidFill>
                      </w14:textFill>
                    </w:rPr>
                  </w:pPr>
                </w:p>
              </w:tc>
              <w:tc>
                <w:tcPr>
                  <w:tcW w:w="1167" w:type="dxa"/>
                  <w:vAlign w:val="center"/>
                </w:tcPr>
                <w:p w14:paraId="54CDC3E4">
                  <w:pPr>
                    <w:jc w:val="center"/>
                    <w:rPr>
                      <w:rFonts w:eastAsiaTheme="minorEastAsia"/>
                      <w:bCs/>
                      <w:color w:val="000000" w:themeColor="text1"/>
                      <w14:textFill>
                        <w14:solidFill>
                          <w14:schemeClr w14:val="tx1"/>
                        </w14:solidFill>
                      </w14:textFill>
                    </w:rPr>
                  </w:pPr>
                  <w:r>
                    <w:rPr>
                      <w:rFonts w:eastAsiaTheme="minorEastAsia"/>
                      <w:bCs/>
                      <w:color w:val="000000" w:themeColor="text1"/>
                      <w14:textFill>
                        <w14:solidFill>
                          <w14:schemeClr w14:val="tx1"/>
                        </w14:solidFill>
                      </w14:textFill>
                    </w:rPr>
                    <w:t>H</w:t>
                  </w:r>
                  <w:r>
                    <w:rPr>
                      <w:rFonts w:eastAsiaTheme="minorEastAsia"/>
                      <w:bCs/>
                      <w:color w:val="000000" w:themeColor="text1"/>
                      <w:vertAlign w:val="subscript"/>
                      <w14:textFill>
                        <w14:solidFill>
                          <w14:schemeClr w14:val="tx1"/>
                        </w14:solidFill>
                      </w14:textFill>
                    </w:rPr>
                    <w:t>2</w:t>
                  </w:r>
                  <w:r>
                    <w:rPr>
                      <w:rFonts w:eastAsiaTheme="minorEastAsia"/>
                      <w:bCs/>
                      <w:color w:val="000000" w:themeColor="text1"/>
                      <w14:textFill>
                        <w14:solidFill>
                          <w14:schemeClr w14:val="tx1"/>
                        </w14:solidFill>
                      </w14:textFill>
                    </w:rPr>
                    <w:t>S</w:t>
                  </w:r>
                </w:p>
              </w:tc>
              <w:tc>
                <w:tcPr>
                  <w:tcW w:w="1933" w:type="dxa"/>
                  <w:vAlign w:val="center"/>
                </w:tcPr>
                <w:p w14:paraId="18B7294A">
                  <w:pPr>
                    <w:jc w:val="center"/>
                    <w:textAlignment w:val="baseline"/>
                    <w:rPr>
                      <w:rFonts w:eastAsiaTheme="minorEastAsia"/>
                      <w:bCs/>
                      <w:color w:val="000000" w:themeColor="text1"/>
                      <w:spacing w:val="-11"/>
                      <w:kern w:val="0"/>
                      <w:szCs w:val="22"/>
                      <w14:textFill>
                        <w14:solidFill>
                          <w14:schemeClr w14:val="tx1"/>
                        </w14:solidFill>
                      </w14:textFill>
                    </w:rPr>
                  </w:pPr>
                  <w:r>
                    <w:rPr>
                      <w:rFonts w:eastAsiaTheme="minorEastAsia"/>
                      <w:bCs/>
                      <w:color w:val="000000" w:themeColor="text1"/>
                      <w:spacing w:val="-11"/>
                      <w:kern w:val="0"/>
                      <w:szCs w:val="22"/>
                      <w14:textFill>
                        <w14:solidFill>
                          <w14:schemeClr w14:val="tx1"/>
                        </w14:solidFill>
                      </w14:textFill>
                    </w:rPr>
                    <w:t>0.06</w:t>
                  </w:r>
                </w:p>
              </w:tc>
              <w:tc>
                <w:tcPr>
                  <w:tcW w:w="2802" w:type="dxa"/>
                  <w:vMerge w:val="continue"/>
                  <w:vAlign w:val="center"/>
                </w:tcPr>
                <w:p w14:paraId="276AF67F">
                  <w:pPr>
                    <w:textAlignment w:val="baseline"/>
                    <w:rPr>
                      <w:rFonts w:eastAsiaTheme="minorEastAsia"/>
                      <w:bCs/>
                      <w:color w:val="000000" w:themeColor="text1"/>
                      <w:spacing w:val="-11"/>
                      <w:kern w:val="0"/>
                      <w:szCs w:val="22"/>
                      <w14:textFill>
                        <w14:solidFill>
                          <w14:schemeClr w14:val="tx1"/>
                        </w14:solidFill>
                      </w14:textFill>
                    </w:rPr>
                  </w:pPr>
                </w:p>
              </w:tc>
            </w:tr>
            <w:tr w14:paraId="682BB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93" w:type="dxa"/>
                  <w:vMerge w:val="continue"/>
                  <w:vAlign w:val="center"/>
                </w:tcPr>
                <w:p w14:paraId="5E99362F">
                  <w:pPr>
                    <w:jc w:val="center"/>
                    <w:rPr>
                      <w:rFonts w:eastAsiaTheme="minorEastAsia"/>
                      <w:bCs/>
                      <w:color w:val="000000" w:themeColor="text1"/>
                      <w14:textFill>
                        <w14:solidFill>
                          <w14:schemeClr w14:val="tx1"/>
                        </w14:solidFill>
                      </w14:textFill>
                    </w:rPr>
                  </w:pPr>
                </w:p>
              </w:tc>
              <w:tc>
                <w:tcPr>
                  <w:tcW w:w="1167" w:type="dxa"/>
                  <w:vAlign w:val="center"/>
                </w:tcPr>
                <w:p w14:paraId="7FAD5B58">
                  <w:pPr>
                    <w:jc w:val="center"/>
                    <w:rPr>
                      <w:rFonts w:eastAsiaTheme="minorEastAsia"/>
                      <w:bCs/>
                      <w:color w:val="000000" w:themeColor="text1"/>
                      <w14:textFill>
                        <w14:solidFill>
                          <w14:schemeClr w14:val="tx1"/>
                        </w14:solidFill>
                      </w14:textFill>
                    </w:rPr>
                  </w:pPr>
                  <w:r>
                    <w:rPr>
                      <w:rFonts w:hint="eastAsia" w:eastAsiaTheme="minorEastAsia"/>
                      <w:bCs/>
                      <w:color w:val="000000" w:themeColor="text1"/>
                      <w14:textFill>
                        <w14:solidFill>
                          <w14:schemeClr w14:val="tx1"/>
                        </w14:solidFill>
                      </w14:textFill>
                    </w:rPr>
                    <w:t>臭气浓度</w:t>
                  </w:r>
                </w:p>
              </w:tc>
              <w:tc>
                <w:tcPr>
                  <w:tcW w:w="1933" w:type="dxa"/>
                  <w:vAlign w:val="center"/>
                </w:tcPr>
                <w:p w14:paraId="480D0867">
                  <w:pPr>
                    <w:jc w:val="center"/>
                    <w:textAlignment w:val="baseline"/>
                    <w:rPr>
                      <w:rFonts w:eastAsiaTheme="minorEastAsia"/>
                      <w:bCs/>
                      <w:color w:val="000000" w:themeColor="text1"/>
                      <w:spacing w:val="-11"/>
                      <w:kern w:val="0"/>
                      <w:szCs w:val="22"/>
                      <w14:textFill>
                        <w14:solidFill>
                          <w14:schemeClr w14:val="tx1"/>
                        </w14:solidFill>
                      </w14:textFill>
                    </w:rPr>
                  </w:pPr>
                  <w:r>
                    <w:rPr>
                      <w:rFonts w:hint="eastAsia" w:eastAsiaTheme="minorEastAsia"/>
                      <w:bCs/>
                      <w:color w:val="000000" w:themeColor="text1"/>
                      <w:spacing w:val="-11"/>
                      <w:kern w:val="0"/>
                      <w:szCs w:val="22"/>
                      <w14:textFill>
                        <w14:solidFill>
                          <w14:schemeClr w14:val="tx1"/>
                        </w14:solidFill>
                      </w14:textFill>
                    </w:rPr>
                    <w:t>20（无量纲）</w:t>
                  </w:r>
                </w:p>
              </w:tc>
              <w:tc>
                <w:tcPr>
                  <w:tcW w:w="2802" w:type="dxa"/>
                  <w:vMerge w:val="continue"/>
                  <w:vAlign w:val="center"/>
                </w:tcPr>
                <w:p w14:paraId="1B9B2616">
                  <w:pPr>
                    <w:textAlignment w:val="baseline"/>
                    <w:rPr>
                      <w:rFonts w:eastAsiaTheme="minorEastAsia"/>
                      <w:bCs/>
                      <w:color w:val="000000" w:themeColor="text1"/>
                      <w:spacing w:val="-11"/>
                      <w:kern w:val="0"/>
                      <w:szCs w:val="22"/>
                      <w14:textFill>
                        <w14:solidFill>
                          <w14:schemeClr w14:val="tx1"/>
                        </w14:solidFill>
                      </w14:textFill>
                    </w:rPr>
                  </w:pPr>
                </w:p>
              </w:tc>
            </w:tr>
            <w:tr w14:paraId="35AF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593" w:type="dxa"/>
                  <w:vAlign w:val="center"/>
                </w:tcPr>
                <w:p w14:paraId="3F93D601">
                  <w:pPr>
                    <w:jc w:val="center"/>
                    <w:rPr>
                      <w:rFonts w:eastAsiaTheme="minorEastAsia"/>
                      <w:bCs/>
                      <w:color w:val="000000" w:themeColor="text1"/>
                      <w14:textFill>
                        <w14:solidFill>
                          <w14:schemeClr w14:val="tx1"/>
                        </w14:solidFill>
                      </w14:textFill>
                    </w:rPr>
                  </w:pPr>
                  <w:r>
                    <w:rPr>
                      <w:rFonts w:eastAsiaTheme="minorEastAsia"/>
                      <w:bCs/>
                      <w:color w:val="000000" w:themeColor="text1"/>
                      <w14:textFill>
                        <w14:solidFill>
                          <w14:schemeClr w14:val="tx1"/>
                        </w14:solidFill>
                      </w14:textFill>
                    </w:rPr>
                    <w:t>生产工序粉尘</w:t>
                  </w:r>
                </w:p>
              </w:tc>
              <w:tc>
                <w:tcPr>
                  <w:tcW w:w="1167" w:type="dxa"/>
                  <w:vAlign w:val="center"/>
                </w:tcPr>
                <w:p w14:paraId="23E35F32">
                  <w:pPr>
                    <w:jc w:val="center"/>
                    <w:rPr>
                      <w:rFonts w:eastAsiaTheme="minorEastAsia"/>
                      <w:bCs/>
                      <w:color w:val="000000" w:themeColor="text1"/>
                      <w14:textFill>
                        <w14:solidFill>
                          <w14:schemeClr w14:val="tx1"/>
                        </w14:solidFill>
                      </w14:textFill>
                    </w:rPr>
                  </w:pPr>
                  <w:r>
                    <w:rPr>
                      <w:rFonts w:eastAsiaTheme="minorEastAsia"/>
                      <w:bCs/>
                      <w:color w:val="000000" w:themeColor="text1"/>
                      <w14:textFill>
                        <w14:solidFill>
                          <w14:schemeClr w14:val="tx1"/>
                        </w14:solidFill>
                      </w14:textFill>
                    </w:rPr>
                    <w:t>颗粒物</w:t>
                  </w:r>
                </w:p>
              </w:tc>
              <w:tc>
                <w:tcPr>
                  <w:tcW w:w="1933" w:type="dxa"/>
                  <w:vAlign w:val="center"/>
                </w:tcPr>
                <w:p w14:paraId="194BDAB4">
                  <w:pPr>
                    <w:jc w:val="center"/>
                    <w:rPr>
                      <w:rFonts w:eastAsiaTheme="minorEastAsia"/>
                      <w:color w:val="000000" w:themeColor="text1"/>
                      <w:kern w:val="0"/>
                      <w14:textFill>
                        <w14:solidFill>
                          <w14:schemeClr w14:val="tx1"/>
                        </w14:solidFill>
                      </w14:textFill>
                    </w:rPr>
                  </w:pPr>
                  <w:r>
                    <w:rPr>
                      <w:rFonts w:eastAsiaTheme="minorEastAsia"/>
                      <w:color w:val="000000" w:themeColor="text1"/>
                      <w:kern w:val="0"/>
                      <w14:textFill>
                        <w14:solidFill>
                          <w14:schemeClr w14:val="tx1"/>
                        </w14:solidFill>
                      </w14:textFill>
                    </w:rPr>
                    <w:t>1.0</w:t>
                  </w:r>
                </w:p>
              </w:tc>
              <w:tc>
                <w:tcPr>
                  <w:tcW w:w="2802" w:type="dxa"/>
                  <w:vAlign w:val="center"/>
                </w:tcPr>
                <w:p w14:paraId="19B140BA">
                  <w:pPr>
                    <w:rPr>
                      <w:rFonts w:eastAsiaTheme="minorEastAsia"/>
                      <w:color w:val="000000" w:themeColor="text1"/>
                      <w:kern w:val="0"/>
                      <w14:textFill>
                        <w14:solidFill>
                          <w14:schemeClr w14:val="tx1"/>
                        </w14:solidFill>
                      </w14:textFill>
                    </w:rPr>
                  </w:pPr>
                  <w:r>
                    <w:rPr>
                      <w:rFonts w:eastAsiaTheme="minorEastAsia"/>
                      <w:bCs/>
                      <w:color w:val="000000" w:themeColor="text1"/>
                      <w:kern w:val="0"/>
                      <w14:textFill>
                        <w14:solidFill>
                          <w14:schemeClr w14:val="tx1"/>
                        </w14:solidFill>
                      </w14:textFill>
                    </w:rPr>
                    <w:t>GB16297－1996《大气污染物综合排放标准》表</w:t>
                  </w:r>
                  <w:r>
                    <w:rPr>
                      <w:rFonts w:hint="eastAsia" w:eastAsiaTheme="minorEastAsia"/>
                      <w:bCs/>
                      <w:color w:val="000000" w:themeColor="text1"/>
                      <w:kern w:val="0"/>
                      <w14:textFill>
                        <w14:solidFill>
                          <w14:schemeClr w14:val="tx1"/>
                        </w14:solidFill>
                      </w14:textFill>
                    </w:rPr>
                    <w:t>1</w:t>
                  </w:r>
                  <w:r>
                    <w:rPr>
                      <w:rFonts w:eastAsiaTheme="minorEastAsia"/>
                      <w:bCs/>
                      <w:color w:val="000000" w:themeColor="text1"/>
                      <w:kern w:val="0"/>
                      <w14:textFill>
                        <w14:solidFill>
                          <w14:schemeClr w14:val="tx1"/>
                        </w14:solidFill>
                      </w14:textFill>
                    </w:rPr>
                    <w:t>中的二级标准</w:t>
                  </w:r>
                </w:p>
              </w:tc>
            </w:tr>
          </w:tbl>
          <w:p w14:paraId="6A0926BB">
            <w:pPr>
              <w:adjustRightInd w:val="0"/>
              <w:snapToGrid w:val="0"/>
              <w:spacing w:before="120" w:beforeLines="50" w:line="360" w:lineRule="auto"/>
              <w:ind w:firstLine="482" w:firstLineChars="200"/>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2、厂界噪声排放标准</w:t>
            </w:r>
          </w:p>
          <w:p w14:paraId="5719EF63">
            <w:pPr>
              <w:widowControl/>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项目营运期</w:t>
            </w:r>
            <w:r>
              <w:rPr>
                <w:bCs/>
                <w:snapToGrid w:val="0"/>
                <w:color w:val="000000" w:themeColor="text1"/>
                <w:kern w:val="0"/>
                <w:sz w:val="24"/>
                <w:szCs w:val="21"/>
                <w14:textFill>
                  <w14:solidFill>
                    <w14:schemeClr w14:val="tx1"/>
                  </w14:solidFill>
                </w14:textFill>
              </w:rPr>
              <w:t>厂界噪声</w:t>
            </w:r>
            <w:r>
              <w:rPr>
                <w:color w:val="000000" w:themeColor="text1"/>
                <w:sz w:val="24"/>
                <w14:textFill>
                  <w14:solidFill>
                    <w14:schemeClr w14:val="tx1"/>
                  </w14:solidFill>
                </w14:textFill>
              </w:rPr>
              <w:t>执行《工业企业厂界环境噪声排放标准》（GB12348-2008）中的</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类标准，标准限值见表3-</w:t>
            </w:r>
            <w:r>
              <w:rPr>
                <w:rFonts w:hint="eastAsia"/>
                <w:color w:val="000000" w:themeColor="text1"/>
                <w:sz w:val="24"/>
                <w14:textFill>
                  <w14:solidFill>
                    <w14:schemeClr w14:val="tx1"/>
                  </w14:solidFill>
                </w14:textFill>
              </w:rPr>
              <w:t>9</w:t>
            </w:r>
            <w:r>
              <w:rPr>
                <w:color w:val="000000" w:themeColor="text1"/>
                <w:sz w:val="24"/>
                <w14:textFill>
                  <w14:solidFill>
                    <w14:schemeClr w14:val="tx1"/>
                  </w14:solidFill>
                </w14:textFill>
              </w:rPr>
              <w:t>。</w:t>
            </w:r>
          </w:p>
          <w:p w14:paraId="668634EE">
            <w:pPr>
              <w:snapToGrid w:val="0"/>
              <w:jc w:val="center"/>
              <w:rPr>
                <w:b/>
                <w:color w:val="000000" w:themeColor="text1"/>
                <w14:textFill>
                  <w14:solidFill>
                    <w14:schemeClr w14:val="tx1"/>
                  </w14:solidFill>
                </w14:textFill>
              </w:rPr>
            </w:pPr>
            <w:r>
              <w:rPr>
                <w:b/>
                <w:color w:val="000000" w:themeColor="text1"/>
                <w14:textFill>
                  <w14:solidFill>
                    <w14:schemeClr w14:val="tx1"/>
                  </w14:solidFill>
                </w14:textFill>
              </w:rPr>
              <w:t>表3-</w:t>
            </w:r>
            <w:r>
              <w:rPr>
                <w:rFonts w:hint="eastAsia"/>
                <w:b/>
                <w:color w:val="000000" w:themeColor="text1"/>
                <w14:textFill>
                  <w14:solidFill>
                    <w14:schemeClr w14:val="tx1"/>
                  </w14:solidFill>
                </w14:textFill>
              </w:rPr>
              <w:t>9</w:t>
            </w:r>
            <w:r>
              <w:rPr>
                <w:b/>
                <w:color w:val="000000" w:themeColor="text1"/>
                <w14:textFill>
                  <w14:solidFill>
                    <w14:schemeClr w14:val="tx1"/>
                  </w14:solidFill>
                </w14:textFill>
              </w:rPr>
              <w:t xml:space="preserve">   工业企业厂界环境噪声排放标准   单位：dB(A)</w:t>
            </w:r>
          </w:p>
          <w:tbl>
            <w:tblPr>
              <w:tblStyle w:val="25"/>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739"/>
              <w:gridCol w:w="2564"/>
              <w:gridCol w:w="2697"/>
            </w:tblGrid>
            <w:tr w14:paraId="4EE375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2739" w:type="dxa"/>
                  <w:vAlign w:val="center"/>
                </w:tcPr>
                <w:p w14:paraId="104015F1">
                  <w:pPr>
                    <w:snapToGrid w:val="0"/>
                    <w:jc w:val="center"/>
                    <w:rPr>
                      <w:bCs/>
                      <w:color w:val="000000" w:themeColor="text1"/>
                      <w14:textFill>
                        <w14:solidFill>
                          <w14:schemeClr w14:val="tx1"/>
                        </w14:solidFill>
                      </w14:textFill>
                    </w:rPr>
                  </w:pPr>
                  <w:r>
                    <w:rPr>
                      <w:bCs/>
                      <w:color w:val="000000" w:themeColor="text1"/>
                      <w14:textFill>
                        <w14:solidFill>
                          <w14:schemeClr w14:val="tx1"/>
                        </w14:solidFill>
                      </w14:textFill>
                    </w:rPr>
                    <w:t>类别</w:t>
                  </w:r>
                </w:p>
              </w:tc>
              <w:tc>
                <w:tcPr>
                  <w:tcW w:w="2564" w:type="dxa"/>
                  <w:vAlign w:val="center"/>
                </w:tcPr>
                <w:p w14:paraId="2297EC22">
                  <w:pPr>
                    <w:snapToGrid w:val="0"/>
                    <w:jc w:val="center"/>
                    <w:rPr>
                      <w:bCs/>
                      <w:color w:val="000000" w:themeColor="text1"/>
                      <w14:textFill>
                        <w14:solidFill>
                          <w14:schemeClr w14:val="tx1"/>
                        </w14:solidFill>
                      </w14:textFill>
                    </w:rPr>
                  </w:pPr>
                  <w:r>
                    <w:rPr>
                      <w:bCs/>
                      <w:color w:val="000000" w:themeColor="text1"/>
                      <w14:textFill>
                        <w14:solidFill>
                          <w14:schemeClr w14:val="tx1"/>
                        </w14:solidFill>
                      </w14:textFill>
                    </w:rPr>
                    <w:t>昼间</w:t>
                  </w:r>
                </w:p>
              </w:tc>
              <w:tc>
                <w:tcPr>
                  <w:tcW w:w="2697" w:type="dxa"/>
                  <w:vAlign w:val="center"/>
                </w:tcPr>
                <w:p w14:paraId="321A3CB4">
                  <w:pPr>
                    <w:snapToGrid w:val="0"/>
                    <w:jc w:val="center"/>
                    <w:rPr>
                      <w:bCs/>
                      <w:color w:val="000000" w:themeColor="text1"/>
                      <w14:textFill>
                        <w14:solidFill>
                          <w14:schemeClr w14:val="tx1"/>
                        </w14:solidFill>
                      </w14:textFill>
                    </w:rPr>
                  </w:pPr>
                  <w:r>
                    <w:rPr>
                      <w:bCs/>
                      <w:color w:val="000000" w:themeColor="text1"/>
                      <w14:textFill>
                        <w14:solidFill>
                          <w14:schemeClr w14:val="tx1"/>
                        </w14:solidFill>
                      </w14:textFill>
                    </w:rPr>
                    <w:t>夜间</w:t>
                  </w:r>
                </w:p>
              </w:tc>
            </w:tr>
            <w:tr w14:paraId="123557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97" w:hRule="exact"/>
                <w:jc w:val="center"/>
              </w:trPr>
              <w:tc>
                <w:tcPr>
                  <w:tcW w:w="2739" w:type="dxa"/>
                  <w:vAlign w:val="center"/>
                </w:tcPr>
                <w:p w14:paraId="23724E1B">
                  <w:pPr>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3</w:t>
                  </w:r>
                </w:p>
              </w:tc>
              <w:tc>
                <w:tcPr>
                  <w:tcW w:w="2564" w:type="dxa"/>
                  <w:vAlign w:val="center"/>
                </w:tcPr>
                <w:p w14:paraId="25719517">
                  <w:pPr>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2697" w:type="dxa"/>
                  <w:vAlign w:val="center"/>
                </w:tcPr>
                <w:p w14:paraId="74DE990C">
                  <w:pPr>
                    <w:snapToGrid w:val="0"/>
                    <w:jc w:val="center"/>
                    <w:rPr>
                      <w:color w:val="000000" w:themeColor="text1"/>
                      <w14:textFill>
                        <w14:solidFill>
                          <w14:schemeClr w14:val="tx1"/>
                        </w14:solidFill>
                      </w14:textFill>
                    </w:rPr>
                  </w:pPr>
                  <w:r>
                    <w:rPr>
                      <w:color w:val="000000" w:themeColor="text1"/>
                      <w14:textFill>
                        <w14:solidFill>
                          <w14:schemeClr w14:val="tx1"/>
                        </w14:solidFill>
                      </w14:textFill>
                    </w:rPr>
                    <w:t>5</w:t>
                  </w:r>
                  <w:r>
                    <w:rPr>
                      <w:rFonts w:hint="eastAsia"/>
                      <w:color w:val="000000" w:themeColor="text1"/>
                      <w14:textFill>
                        <w14:solidFill>
                          <w14:schemeClr w14:val="tx1"/>
                        </w14:solidFill>
                      </w14:textFill>
                    </w:rPr>
                    <w:t>5</w:t>
                  </w:r>
                </w:p>
              </w:tc>
            </w:tr>
          </w:tbl>
          <w:p w14:paraId="53FBDE14">
            <w:pPr>
              <w:adjustRightInd w:val="0"/>
              <w:snapToGrid w:val="0"/>
              <w:spacing w:before="120" w:beforeLines="50" w:line="360" w:lineRule="auto"/>
              <w:ind w:firstLine="482" w:firstLineChars="200"/>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3、废水排放标准</w:t>
            </w:r>
          </w:p>
          <w:p w14:paraId="3D70CFC0">
            <w:pPr>
              <w:spacing w:line="360" w:lineRule="auto"/>
              <w:ind w:firstLine="482"/>
              <w:rPr>
                <w:b/>
                <w:color w:val="000000" w:themeColor="text1"/>
                <w:sz w:val="24"/>
                <w14:textFill>
                  <w14:solidFill>
                    <w14:schemeClr w14:val="tx1"/>
                  </w14:solidFill>
                </w14:textFill>
              </w:rPr>
            </w:pPr>
            <w:r>
              <w:rPr>
                <w:color w:val="000000" w:themeColor="text1"/>
                <w:kern w:val="0"/>
                <w:sz w:val="24"/>
                <w14:textFill>
                  <w14:solidFill>
                    <w14:schemeClr w14:val="tx1"/>
                  </w14:solidFill>
                </w14:textFill>
              </w:rPr>
              <w:t>项目运营期</w:t>
            </w:r>
            <w:r>
              <w:rPr>
                <w:rFonts w:hint="eastAsia"/>
                <w:color w:val="000000" w:themeColor="text1"/>
                <w:kern w:val="0"/>
                <w:sz w:val="24"/>
                <w14:textFill>
                  <w14:solidFill>
                    <w14:schemeClr w14:val="tx1"/>
                  </w14:solidFill>
                </w14:textFill>
              </w:rPr>
              <w:t>生产工艺中产生的废水经收集池收集后回用于发酵工序，不外排，员工均不在项目区食宿。产生的生活污水依托</w:t>
            </w:r>
            <w:r>
              <w:rPr>
                <w:rFonts w:hint="eastAsia" w:eastAsiaTheme="minorEastAsia"/>
                <w:bCs/>
                <w:color w:val="000000" w:themeColor="text1"/>
                <w:kern w:val="0"/>
                <w:sz w:val="24"/>
                <w:szCs w:val="22"/>
                <w14:textFill>
                  <w14:solidFill>
                    <w14:schemeClr w14:val="tx1"/>
                  </w14:solidFill>
                </w14:textFill>
              </w:rPr>
              <w:t>云南建工云岭水泥有限公司</w:t>
            </w:r>
            <w:r>
              <w:rPr>
                <w:rFonts w:hint="eastAsia"/>
                <w:color w:val="000000" w:themeColor="text1"/>
                <w:kern w:val="0"/>
                <w:sz w:val="24"/>
                <w14:textFill>
                  <w14:solidFill>
                    <w14:schemeClr w14:val="tx1"/>
                  </w14:solidFill>
                </w14:textFill>
              </w:rPr>
              <w:t>已建的化粪池、一体化污水处理设备进行处理后，回用绿化和洒水降尘，不外排</w:t>
            </w:r>
            <w:r>
              <w:rPr>
                <w:color w:val="000000" w:themeColor="text1"/>
                <w:kern w:val="0"/>
                <w:sz w:val="24"/>
                <w14:textFill>
                  <w14:solidFill>
                    <w14:schemeClr w14:val="tx1"/>
                  </w14:solidFill>
                </w14:textFill>
              </w:rPr>
              <w:t>。</w:t>
            </w:r>
            <w:r>
              <w:rPr>
                <w:rFonts w:hint="eastAsia"/>
                <w:color w:val="000000" w:themeColor="text1"/>
                <w:kern w:val="0"/>
                <w:sz w:val="24"/>
                <w14:textFill>
                  <w14:solidFill>
                    <w14:schemeClr w14:val="tx1"/>
                  </w14:solidFill>
                </w14:textFill>
              </w:rPr>
              <w:t>运营期不设废水排放标准。</w:t>
            </w:r>
          </w:p>
          <w:p w14:paraId="1CF3BF7C">
            <w:pPr>
              <w:snapToGrid w:val="0"/>
              <w:spacing w:line="360" w:lineRule="auto"/>
              <w:ind w:firstLine="482" w:firstLineChars="200"/>
              <w:jc w:val="left"/>
              <w:rPr>
                <w:b/>
                <w:color w:val="000000" w:themeColor="text1"/>
                <w:sz w:val="24"/>
                <w14:textFill>
                  <w14:solidFill>
                    <w14:schemeClr w14:val="tx1"/>
                  </w14:solidFill>
                </w14:textFill>
              </w:rPr>
            </w:pPr>
            <w:r>
              <w:rPr>
                <w:b/>
                <w:color w:val="000000" w:themeColor="text1"/>
                <w:sz w:val="24"/>
                <w14:textFill>
                  <w14:solidFill>
                    <w14:schemeClr w14:val="tx1"/>
                  </w14:solidFill>
                </w14:textFill>
              </w:rPr>
              <w:t>4、固体废物排放标准</w:t>
            </w:r>
          </w:p>
          <w:p w14:paraId="1B83C234">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（1）项目运营期产生一般固体废物在项目内的暂存执行《一般工业固体废物贮存和填埋污染控制标准》（GB18599-2020）。</w:t>
            </w:r>
          </w:p>
          <w:p w14:paraId="357D97FF">
            <w:pPr>
              <w:adjustRightInd w:val="0"/>
              <w:snapToGrid w:val="0"/>
              <w:spacing w:line="360" w:lineRule="auto"/>
              <w:ind w:firstLine="480" w:firstLineChars="200"/>
              <w:rPr>
                <w:color w:val="000000" w:themeColor="text1"/>
                <w:kern w:val="0"/>
                <w:szCs w:val="21"/>
                <w14:textFill>
                  <w14:solidFill>
                    <w14:schemeClr w14:val="tx1"/>
                  </w14:solidFill>
                </w14:textFill>
              </w:rPr>
            </w:pPr>
            <w:r>
              <w:rPr>
                <w:color w:val="000000" w:themeColor="text1"/>
                <w:sz w:val="24"/>
                <w14:textFill>
                  <w14:solidFill>
                    <w14:schemeClr w14:val="tx1"/>
                  </w14:solidFill>
                </w14:textFill>
              </w:rPr>
              <w:t>（2）项目运营期产生的危险废物暂存执行</w:t>
            </w:r>
            <w:r>
              <w:rPr>
                <w:color w:val="000000" w:themeColor="text1"/>
                <w:kern w:val="0"/>
                <w:sz w:val="24"/>
                <w14:textFill>
                  <w14:solidFill>
                    <w14:schemeClr w14:val="tx1"/>
                  </w14:solidFill>
                </w14:textFill>
              </w:rPr>
              <w:t>《危险废物贮存污染控制标准》（GB18597-2023）</w:t>
            </w:r>
            <w:r>
              <w:rPr>
                <w:color w:val="000000" w:themeColor="text1"/>
                <w:sz w:val="24"/>
                <w14:textFill>
                  <w14:solidFill>
                    <w14:schemeClr w14:val="tx1"/>
                  </w14:solidFill>
                </w14:textFill>
              </w:rPr>
              <w:t>。</w:t>
            </w:r>
          </w:p>
        </w:tc>
      </w:tr>
      <w:tr w14:paraId="5816F6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vAlign w:val="center"/>
          </w:tcPr>
          <w:p w14:paraId="1E902197">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总量</w:t>
            </w:r>
          </w:p>
          <w:p w14:paraId="3D6CD5DE">
            <w:pPr>
              <w:adjustRightInd w:val="0"/>
              <w:snapToGrid w:val="0"/>
              <w:jc w:val="center"/>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控制</w:t>
            </w:r>
          </w:p>
          <w:p w14:paraId="7C541C30">
            <w:pPr>
              <w:adjustRightInd w:val="0"/>
              <w:snapToGrid w:val="0"/>
              <w:jc w:val="center"/>
              <w:rPr>
                <w:color w:val="000000" w:themeColor="text1"/>
                <w:kern w:val="0"/>
                <w:szCs w:val="21"/>
                <w14:textFill>
                  <w14:solidFill>
                    <w14:schemeClr w14:val="tx1"/>
                  </w14:solidFill>
                </w14:textFill>
              </w:rPr>
            </w:pPr>
            <w:r>
              <w:rPr>
                <w:color w:val="000000" w:themeColor="text1"/>
                <w:kern w:val="0"/>
                <w:sz w:val="24"/>
                <w14:textFill>
                  <w14:solidFill>
                    <w14:schemeClr w14:val="tx1"/>
                  </w14:solidFill>
                </w14:textFill>
              </w:rPr>
              <w:t>指标</w:t>
            </w:r>
          </w:p>
        </w:tc>
        <w:tc>
          <w:tcPr>
            <w:tcW w:w="8190" w:type="dxa"/>
            <w:vAlign w:val="center"/>
          </w:tcPr>
          <w:p w14:paraId="7499529E">
            <w:pPr>
              <w:adjustRightInd w:val="0"/>
              <w:snapToGrid w:val="0"/>
              <w:spacing w:line="360" w:lineRule="auto"/>
              <w:ind w:firstLine="482" w:firstLineChars="200"/>
              <w:rPr>
                <w:color w:val="000000" w:themeColor="text1"/>
                <w:sz w:val="24"/>
                <w14:textFill>
                  <w14:solidFill>
                    <w14:schemeClr w14:val="tx1"/>
                  </w14:solidFill>
                </w14:textFill>
              </w:rPr>
            </w:pPr>
            <w:r>
              <w:rPr>
                <w:b/>
                <w:color w:val="000000" w:themeColor="text1"/>
                <w:sz w:val="24"/>
                <w14:textFill>
                  <w14:solidFill>
                    <w14:schemeClr w14:val="tx1"/>
                  </w14:solidFill>
                </w14:textFill>
              </w:rPr>
              <w:t>废水：</w:t>
            </w:r>
            <w:r>
              <w:rPr>
                <w:color w:val="000000" w:themeColor="text1"/>
                <w:sz w:val="24"/>
                <w:lang w:val="zh-CN"/>
                <w14:textFill>
                  <w14:solidFill>
                    <w14:schemeClr w14:val="tx1"/>
                  </w14:solidFill>
                </w14:textFill>
              </w:rPr>
              <w:t>项目</w:t>
            </w:r>
            <w:r>
              <w:rPr>
                <w:rFonts w:hint="eastAsia"/>
                <w:color w:val="000000" w:themeColor="text1"/>
                <w:sz w:val="24"/>
                <w14:textFill>
                  <w14:solidFill>
                    <w14:schemeClr w14:val="tx1"/>
                  </w14:solidFill>
                </w14:textFill>
              </w:rPr>
              <w:t>不设废水总量控制指标。</w:t>
            </w:r>
          </w:p>
          <w:p w14:paraId="54B9B3CA">
            <w:pPr>
              <w:adjustRightInd w:val="0"/>
              <w:snapToGrid w:val="0"/>
              <w:spacing w:line="360" w:lineRule="auto"/>
              <w:ind w:firstLine="482" w:firstLineChars="200"/>
              <w:rPr>
                <w:color w:val="000000" w:themeColor="text1"/>
                <w:sz w:val="24"/>
                <w14:textFill>
                  <w14:solidFill>
                    <w14:schemeClr w14:val="tx1"/>
                  </w14:solidFill>
                </w14:textFill>
              </w:rPr>
            </w:pPr>
            <w:r>
              <w:rPr>
                <w:b/>
                <w:bCs/>
                <w:color w:val="000000" w:themeColor="text1"/>
                <w:sz w:val="24"/>
                <w:lang w:val="zh-CN"/>
                <w14:textFill>
                  <w14:solidFill>
                    <w14:schemeClr w14:val="tx1"/>
                  </w14:solidFill>
                </w14:textFill>
              </w:rPr>
              <w:t>废气：</w:t>
            </w:r>
            <w:r>
              <w:rPr>
                <w:color w:val="000000" w:themeColor="text1"/>
                <w:sz w:val="24"/>
                <w:lang w:val="zh-CN"/>
                <w14:textFill>
                  <w14:solidFill>
                    <w14:schemeClr w14:val="tx1"/>
                  </w14:solidFill>
                </w14:textFill>
              </w:rPr>
              <w:t>颗粒</w:t>
            </w:r>
            <w:r>
              <w:rPr>
                <w:color w:val="000000" w:themeColor="text1"/>
                <w:sz w:val="24"/>
                <w:szCs w:val="22"/>
                <w:lang w:val="zh-CN"/>
                <w14:textFill>
                  <w14:solidFill>
                    <w14:schemeClr w14:val="tx1"/>
                  </w14:solidFill>
                </w14:textFill>
              </w:rPr>
              <w:t>物：</w:t>
            </w:r>
            <w:r>
              <w:rPr>
                <w:color w:val="000000" w:themeColor="text1"/>
                <w:sz w:val="24"/>
                <w:szCs w:val="22"/>
                <w14:textFill>
                  <w14:solidFill>
                    <w14:schemeClr w14:val="tx1"/>
                  </w14:solidFill>
                </w14:textFill>
              </w:rPr>
              <w:t>无组织排放量</w:t>
            </w:r>
            <w:r>
              <w:rPr>
                <w:rFonts w:hint="eastAsia"/>
                <w:color w:val="000000" w:themeColor="text1"/>
                <w:sz w:val="24"/>
                <w:szCs w:val="22"/>
                <w14:textFill>
                  <w14:solidFill>
                    <w14:schemeClr w14:val="tx1"/>
                  </w14:solidFill>
                </w14:textFill>
              </w:rPr>
              <w:t>0.1607</w:t>
            </w:r>
            <w:r>
              <w:rPr>
                <w:color w:val="000000" w:themeColor="text1"/>
                <w:sz w:val="24"/>
                <w:szCs w:val="22"/>
                <w14:textFill>
                  <w14:solidFill>
                    <w14:schemeClr w14:val="tx1"/>
                  </w14:solidFill>
                </w14:textFill>
              </w:rPr>
              <w:t>t/a</w:t>
            </w:r>
            <w:r>
              <w:rPr>
                <w:rFonts w:hint="eastAsia"/>
                <w:color w:val="000000" w:themeColor="text1"/>
                <w:sz w:val="24"/>
                <w:szCs w:val="22"/>
                <w14:textFill>
                  <w14:solidFill>
                    <w14:schemeClr w14:val="tx1"/>
                  </w14:solidFill>
                </w14:textFill>
              </w:rPr>
              <w:t>。</w:t>
            </w:r>
          </w:p>
          <w:p w14:paraId="26B2F5DF">
            <w:pPr>
              <w:adjustRightInd w:val="0"/>
              <w:snapToGrid w:val="0"/>
              <w:spacing w:line="360" w:lineRule="auto"/>
              <w:ind w:firstLine="482" w:firstLineChars="200"/>
              <w:rPr>
                <w:color w:val="000000" w:themeColor="text1"/>
                <w:sz w:val="24"/>
                <w14:textFill>
                  <w14:solidFill>
                    <w14:schemeClr w14:val="tx1"/>
                  </w14:solidFill>
                </w14:textFill>
              </w:rPr>
            </w:pPr>
            <w:r>
              <w:rPr>
                <w:b/>
                <w:color w:val="000000" w:themeColor="text1"/>
                <w:sz w:val="24"/>
                <w14:textFill>
                  <w14:solidFill>
                    <w14:schemeClr w14:val="tx1"/>
                  </w14:solidFill>
                </w14:textFill>
              </w:rPr>
              <w:t>固体废弃物：</w:t>
            </w:r>
            <w:r>
              <w:rPr>
                <w:color w:val="000000" w:themeColor="text1"/>
                <w:sz w:val="24"/>
                <w14:textFill>
                  <w14:solidFill>
                    <w14:schemeClr w14:val="tx1"/>
                  </w14:solidFill>
                </w14:textFill>
              </w:rPr>
              <w:t>本项目固体废弃物处置率为100%</w:t>
            </w:r>
            <w:r>
              <w:rPr>
                <w:rFonts w:hint="eastAsia"/>
                <w:color w:val="000000" w:themeColor="text1"/>
                <w:sz w:val="24"/>
                <w14:textFill>
                  <w14:solidFill>
                    <w14:schemeClr w14:val="tx1"/>
                  </w14:solidFill>
                </w14:textFill>
              </w:rPr>
              <w:t>。</w:t>
            </w:r>
          </w:p>
          <w:p w14:paraId="4518B13F">
            <w:pPr>
              <w:adjustRightInd w:val="0"/>
              <w:snapToGrid w:val="0"/>
              <w:rPr>
                <w:color w:val="000000" w:themeColor="text1"/>
                <w:kern w:val="0"/>
                <w:szCs w:val="21"/>
                <w14:textFill>
                  <w14:solidFill>
                    <w14:schemeClr w14:val="tx1"/>
                  </w14:solidFill>
                </w14:textFill>
              </w:rPr>
            </w:pPr>
          </w:p>
        </w:tc>
      </w:tr>
    </w:tbl>
    <w:p w14:paraId="6C64E85F">
      <w:pPr>
        <w:pStyle w:val="21"/>
        <w:spacing w:before="120" w:beforeLines="50" w:beforeAutospacing="0" w:after="120" w:afterLines="50" w:afterAutospacing="0"/>
        <w:jc w:val="center"/>
        <w:outlineLvl w:val="0"/>
        <w:rPr>
          <w:rFonts w:ascii="Times New Roman" w:hAnsi="Times New Roman" w:eastAsia="黑体"/>
          <w:snapToGrid w:val="0"/>
          <w:color w:val="000000" w:themeColor="text1"/>
          <w:sz w:val="30"/>
          <w:szCs w:val="30"/>
          <w14:textFill>
            <w14:solidFill>
              <w14:schemeClr w14:val="tx1"/>
            </w14:solidFill>
          </w14:textFill>
        </w:rPr>
      </w:pPr>
      <w:r>
        <w:rPr>
          <w:rFonts w:ascii="Times New Roman" w:hAnsi="Times New Roman" w:eastAsia="黑体"/>
          <w:snapToGrid w:val="0"/>
          <w:color w:val="000000" w:themeColor="text1"/>
          <w:sz w:val="36"/>
          <w:szCs w:val="36"/>
          <w14:textFill>
            <w14:solidFill>
              <w14:schemeClr w14:val="tx1"/>
            </w14:solidFill>
          </w14:textFill>
        </w:rPr>
        <w:br w:type="page"/>
      </w:r>
      <w:bookmarkStart w:id="27" w:name="_Toc21914"/>
      <w:r>
        <w:rPr>
          <w:rFonts w:ascii="Times New Roman" w:hAnsi="Times New Roman" w:eastAsia="黑体"/>
          <w:snapToGrid w:val="0"/>
          <w:color w:val="000000" w:themeColor="text1"/>
          <w:sz w:val="30"/>
          <w:szCs w:val="30"/>
          <w14:textFill>
            <w14:solidFill>
              <w14:schemeClr w14:val="tx1"/>
            </w14:solidFill>
          </w14:textFill>
        </w:rPr>
        <w:t>四、主要环境影响和保护措施</w:t>
      </w:r>
      <w:bookmarkEnd w:id="27"/>
    </w:p>
    <w:tbl>
      <w:tblPr>
        <w:tblStyle w:val="25"/>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88"/>
        <w:gridCol w:w="8693"/>
      </w:tblGrid>
      <w:tr w14:paraId="54F162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99" w:hRule="atLeast"/>
          <w:jc w:val="center"/>
        </w:trPr>
        <w:tc>
          <w:tcPr>
            <w:tcW w:w="288" w:type="dxa"/>
            <w:tcMar>
              <w:left w:w="28" w:type="dxa"/>
              <w:right w:w="28" w:type="dxa"/>
            </w:tcMar>
            <w:vAlign w:val="center"/>
          </w:tcPr>
          <w:p w14:paraId="37163CCC">
            <w:pPr>
              <w:pStyle w:val="21"/>
              <w:adjustRightInd w:val="0"/>
              <w:snapToGrid w:val="0"/>
              <w:spacing w:before="0" w:beforeAutospacing="0" w:after="0" w:afterAutospacing="0"/>
              <w:jc w:val="center"/>
              <w:rPr>
                <w:rFonts w:ascii="Times New Roman" w:hAnsi="Times New Roman"/>
                <w:color w:val="000000" w:themeColor="text1"/>
                <w:kern w:val="2"/>
                <w:szCs w:val="24"/>
                <w14:textFill>
                  <w14:solidFill>
                    <w14:schemeClr w14:val="tx1"/>
                  </w14:solidFill>
                </w14:textFill>
              </w:rPr>
            </w:pPr>
            <w:r>
              <w:rPr>
                <w:rFonts w:ascii="Times New Roman" w:hAnsi="Times New Roman"/>
                <w:color w:val="000000" w:themeColor="text1"/>
                <w:kern w:val="2"/>
                <w:szCs w:val="24"/>
                <w14:textFill>
                  <w14:solidFill>
                    <w14:schemeClr w14:val="tx1"/>
                  </w14:solidFill>
                </w14:textFill>
              </w:rPr>
              <w:t>施工</w:t>
            </w:r>
          </w:p>
          <w:p w14:paraId="02A33365">
            <w:pPr>
              <w:pStyle w:val="21"/>
              <w:adjustRightInd w:val="0"/>
              <w:snapToGrid w:val="0"/>
              <w:spacing w:before="0" w:beforeAutospacing="0" w:after="0" w:afterAutospacing="0"/>
              <w:jc w:val="center"/>
              <w:rPr>
                <w:rFonts w:ascii="Times New Roman" w:hAnsi="Times New Roman"/>
                <w:color w:val="000000" w:themeColor="text1"/>
                <w:kern w:val="2"/>
                <w:szCs w:val="24"/>
                <w14:textFill>
                  <w14:solidFill>
                    <w14:schemeClr w14:val="tx1"/>
                  </w14:solidFill>
                </w14:textFill>
              </w:rPr>
            </w:pPr>
            <w:r>
              <w:rPr>
                <w:rFonts w:ascii="Times New Roman" w:hAnsi="Times New Roman"/>
                <w:color w:val="000000" w:themeColor="text1"/>
                <w:kern w:val="2"/>
                <w:szCs w:val="24"/>
                <w14:textFill>
                  <w14:solidFill>
                    <w14:schemeClr w14:val="tx1"/>
                  </w14:solidFill>
                </w14:textFill>
              </w:rPr>
              <w:t>期环</w:t>
            </w:r>
          </w:p>
          <w:p w14:paraId="074A7ED0">
            <w:pPr>
              <w:pStyle w:val="21"/>
              <w:adjustRightInd w:val="0"/>
              <w:snapToGrid w:val="0"/>
              <w:spacing w:before="0" w:beforeAutospacing="0" w:after="0" w:afterAutospacing="0"/>
              <w:jc w:val="center"/>
              <w:rPr>
                <w:rFonts w:ascii="Times New Roman" w:hAnsi="Times New Roman"/>
                <w:color w:val="000000" w:themeColor="text1"/>
                <w:kern w:val="2"/>
                <w:szCs w:val="24"/>
                <w14:textFill>
                  <w14:solidFill>
                    <w14:schemeClr w14:val="tx1"/>
                  </w14:solidFill>
                </w14:textFill>
              </w:rPr>
            </w:pPr>
            <w:r>
              <w:rPr>
                <w:rFonts w:ascii="Times New Roman" w:hAnsi="Times New Roman"/>
                <w:color w:val="000000" w:themeColor="text1"/>
                <w:kern w:val="2"/>
                <w:szCs w:val="24"/>
                <w14:textFill>
                  <w14:solidFill>
                    <w14:schemeClr w14:val="tx1"/>
                  </w14:solidFill>
                </w14:textFill>
              </w:rPr>
              <w:t>境保</w:t>
            </w:r>
          </w:p>
          <w:p w14:paraId="5D75CF00">
            <w:pPr>
              <w:pStyle w:val="21"/>
              <w:adjustRightInd w:val="0"/>
              <w:snapToGrid w:val="0"/>
              <w:spacing w:before="0" w:beforeAutospacing="0" w:after="0" w:afterAutospacing="0"/>
              <w:jc w:val="center"/>
              <w:rPr>
                <w:rFonts w:ascii="Times New Roman" w:hAnsi="Times New Roman"/>
                <w:color w:val="000000" w:themeColor="text1"/>
                <w:kern w:val="2"/>
                <w:szCs w:val="24"/>
                <w14:textFill>
                  <w14:solidFill>
                    <w14:schemeClr w14:val="tx1"/>
                  </w14:solidFill>
                </w14:textFill>
              </w:rPr>
            </w:pPr>
            <w:r>
              <w:rPr>
                <w:rFonts w:ascii="Times New Roman" w:hAnsi="Times New Roman"/>
                <w:color w:val="000000" w:themeColor="text1"/>
                <w:kern w:val="2"/>
                <w:szCs w:val="24"/>
                <w14:textFill>
                  <w14:solidFill>
                    <w14:schemeClr w14:val="tx1"/>
                  </w14:solidFill>
                </w14:textFill>
              </w:rPr>
              <w:t>护措</w:t>
            </w:r>
          </w:p>
          <w:p w14:paraId="6FD8585E">
            <w:pPr>
              <w:pStyle w:val="21"/>
              <w:adjustRightInd w:val="0"/>
              <w:snapToGrid w:val="0"/>
              <w:spacing w:before="0" w:beforeAutospacing="0" w:after="0" w:afterAutospacing="0"/>
              <w:jc w:val="center"/>
              <w:rPr>
                <w:rFonts w:ascii="Times New Roman" w:hAnsi="Times New Roman"/>
                <w:bCs/>
                <w:color w:val="000000" w:themeColor="text1"/>
                <w:kern w:val="2"/>
                <w:sz w:val="21"/>
                <w:szCs w:val="21"/>
                <w14:textFill>
                  <w14:solidFill>
                    <w14:schemeClr w14:val="tx1"/>
                  </w14:solidFill>
                </w14:textFill>
              </w:rPr>
            </w:pPr>
            <w:r>
              <w:rPr>
                <w:rFonts w:ascii="Times New Roman" w:hAnsi="Times New Roman"/>
                <w:color w:val="000000" w:themeColor="text1"/>
                <w:kern w:val="2"/>
                <w:szCs w:val="24"/>
                <w14:textFill>
                  <w14:solidFill>
                    <w14:schemeClr w14:val="tx1"/>
                  </w14:solidFill>
                </w14:textFill>
              </w:rPr>
              <w:t>施</w:t>
            </w:r>
          </w:p>
        </w:tc>
        <w:tc>
          <w:tcPr>
            <w:tcW w:w="8693" w:type="dxa"/>
            <w:vAlign w:val="center"/>
          </w:tcPr>
          <w:p w14:paraId="5037DBC4">
            <w:pPr>
              <w:numPr>
                <w:ilvl w:val="0"/>
                <w:numId w:val="3"/>
              </w:num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废气</w:t>
            </w:r>
          </w:p>
          <w:p w14:paraId="6AC16076">
            <w:pPr>
              <w:pStyle w:val="16"/>
              <w:adjustRightInd w:val="0"/>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施工期废气主要为扬尘、焊接废气和燃油废气。</w:t>
            </w:r>
          </w:p>
          <w:p w14:paraId="03358353">
            <w:pPr>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本项目施工过程中需采取如下防尘和抑尘措施：</w:t>
            </w:r>
          </w:p>
          <w:p w14:paraId="2AC9528D">
            <w:pPr>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（1）在项目施工出入口处铺垫碎石道路，保持出入口的清洁；材料运输过程中杜绝抛、撒、飞、漏等扬尘污染。</w:t>
            </w:r>
          </w:p>
          <w:p w14:paraId="279842DB">
            <w:pPr>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（2）施工场地定期洒水，防止扬尘产生，一般每天不少于2次；若遇到大风或干燥天气要适当增加洒水次数。</w:t>
            </w:r>
          </w:p>
          <w:p w14:paraId="22B5189C">
            <w:pPr>
              <w:tabs>
                <w:tab w:val="left" w:pos="855"/>
                <w:tab w:val="left" w:pos="958"/>
                <w:tab w:val="left" w:pos="1164"/>
              </w:tabs>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将开挖土方集中堆放，及时回填，临时堆放场时应采用土工布进行覆盖，减少扬尘影响时间。废弃土石方，建筑材料弃渣及时清运，物料设置专门封闭堆存间、无法封闭堆存的物料应采用土工布进行全封闭的遮盖，减少物料在项目内的堆存时间。</w:t>
            </w:r>
          </w:p>
          <w:p w14:paraId="7AB6A02B">
            <w:pPr>
              <w:tabs>
                <w:tab w:val="left" w:pos="855"/>
                <w:tab w:val="left" w:pos="958"/>
                <w:tab w:val="left" w:pos="1164"/>
              </w:tabs>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（4）在施工中合理组织施工，缩短施工时间，尽量减少施工污染。</w:t>
            </w:r>
          </w:p>
          <w:p w14:paraId="6738CA63">
            <w:pPr>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（5）在施工机械的选型上考虑相应的环保型产品，主要使用轻质柴油或电作为能源，不得使用劣质燃料。</w:t>
            </w:r>
          </w:p>
          <w:p w14:paraId="7626809F">
            <w:pPr>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（6）施工道路应保持平整，设施工道路养护、维修、清扫专职人员，保持道路清洁、运行状态良好。</w:t>
            </w:r>
          </w:p>
          <w:p w14:paraId="3F86C1CD">
            <w:pPr>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w:t>
            </w:r>
            <w:r>
              <w:rPr>
                <w:rFonts w:hint="eastAsia" w:eastAsiaTheme="minorEastAsia"/>
                <w:color w:val="000000" w:themeColor="text1"/>
                <w:sz w:val="24"/>
                <w14:textFill>
                  <w14:solidFill>
                    <w14:schemeClr w14:val="tx1"/>
                  </w14:solidFill>
                </w14:textFill>
              </w:rPr>
              <w:t>7</w:t>
            </w:r>
            <w:r>
              <w:rPr>
                <w:rFonts w:eastAsiaTheme="minorEastAsia"/>
                <w:color w:val="000000" w:themeColor="text1"/>
                <w:sz w:val="24"/>
                <w14:textFill>
                  <w14:solidFill>
                    <w14:schemeClr w14:val="tx1"/>
                  </w14:solidFill>
                </w14:textFill>
              </w:rPr>
              <w:t>）运输车辆进入施工场地应低速行驶，或限速行驶，以减少产尘量，并定时对车辆进行冲洗。防止带泥土的运输车辆驶出现场和遗</w:t>
            </w:r>
            <w:r>
              <w:rPr>
                <w:rFonts w:hint="eastAsia" w:eastAsiaTheme="minorEastAsia"/>
                <w:color w:val="000000" w:themeColor="text1"/>
                <w:sz w:val="24"/>
                <w14:textFill>
                  <w14:solidFill>
                    <w14:schemeClr w14:val="tx1"/>
                  </w14:solidFill>
                </w14:textFill>
              </w:rPr>
              <w:t>撒</w:t>
            </w:r>
            <w:r>
              <w:rPr>
                <w:rFonts w:eastAsiaTheme="minorEastAsia"/>
                <w:color w:val="000000" w:themeColor="text1"/>
                <w:sz w:val="24"/>
                <w14:textFill>
                  <w14:solidFill>
                    <w14:schemeClr w14:val="tx1"/>
                  </w14:solidFill>
                </w14:textFill>
              </w:rPr>
              <w:t>渣土在路途中。</w:t>
            </w:r>
          </w:p>
          <w:p w14:paraId="30FE5F85">
            <w:pPr>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w:t>
            </w:r>
            <w:r>
              <w:rPr>
                <w:rFonts w:hint="eastAsia" w:eastAsiaTheme="minorEastAsia"/>
                <w:color w:val="000000" w:themeColor="text1"/>
                <w:sz w:val="24"/>
                <w14:textFill>
                  <w14:solidFill>
                    <w14:schemeClr w14:val="tx1"/>
                  </w14:solidFill>
                </w14:textFill>
              </w:rPr>
              <w:t>8</w:t>
            </w:r>
            <w:r>
              <w:rPr>
                <w:rFonts w:eastAsiaTheme="minorEastAsia"/>
                <w:color w:val="000000" w:themeColor="text1"/>
                <w:sz w:val="24"/>
                <w14:textFill>
                  <w14:solidFill>
                    <w14:schemeClr w14:val="tx1"/>
                  </w14:solidFill>
                </w14:textFill>
              </w:rPr>
              <w:t>）粉细散装材料，应尽量采取库内存放，如露天存放应采用土工布进行严密遮盖及围挡措施。</w:t>
            </w:r>
          </w:p>
          <w:p w14:paraId="3DC5259C">
            <w:pPr>
              <w:pStyle w:val="16"/>
              <w:adjustRightInd w:val="0"/>
              <w:spacing w:line="360" w:lineRule="auto"/>
              <w:ind w:firstLine="480" w:firstLineChars="200"/>
              <w:rPr>
                <w:color w:val="000000" w:themeColor="text1"/>
                <w:sz w:val="24"/>
                <w:szCs w:val="24"/>
                <w14:textFill>
                  <w14:solidFill>
                    <w14:schemeClr w14:val="tx1"/>
                  </w14:solidFill>
                </w14:textFill>
              </w:rPr>
            </w:pPr>
            <w:r>
              <w:rPr>
                <w:rFonts w:eastAsiaTheme="minorEastAsia"/>
                <w:color w:val="000000" w:themeColor="text1"/>
                <w:sz w:val="24"/>
                <w:szCs w:val="24"/>
                <w14:textFill>
                  <w14:solidFill>
                    <w14:schemeClr w14:val="tx1"/>
                  </w14:solidFill>
                </w14:textFill>
              </w:rPr>
              <w:t>（</w:t>
            </w:r>
            <w:r>
              <w:rPr>
                <w:rFonts w:hint="eastAsia" w:eastAsiaTheme="minorEastAsia"/>
                <w:color w:val="000000" w:themeColor="text1"/>
                <w:sz w:val="24"/>
                <w:szCs w:val="24"/>
                <w14:textFill>
                  <w14:solidFill>
                    <w14:schemeClr w14:val="tx1"/>
                  </w14:solidFill>
                </w14:textFill>
              </w:rPr>
              <w:t>9</w:t>
            </w:r>
            <w:r>
              <w:rPr>
                <w:rFonts w:eastAsiaTheme="minorEastAsia"/>
                <w:color w:val="000000" w:themeColor="text1"/>
                <w:sz w:val="24"/>
                <w:szCs w:val="24"/>
                <w14:textFill>
                  <w14:solidFill>
                    <w14:schemeClr w14:val="tx1"/>
                  </w14:solidFill>
                </w14:textFill>
              </w:rPr>
              <w:t>）车辆运输建筑垃圾时必须加盖封闭运输，减少抛洒。</w:t>
            </w:r>
          </w:p>
          <w:p w14:paraId="6C4037CF">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在主体建筑及配套设施建设的过程中需要进行焊接、切割，产生的切割、焊接废气，为无组织排放，切割主要集中在地面，切割粉尘粒径、密度较大，很快会沉降在地面，所产生的烟尘和粉尘的量均不大，影响范围局限于焊接点和切割点，主要成分为粉尘，由于施工区域空旷，在露天环境下很快得到扩散，不会形成局部高浓度区域，通过自然扩散对周边环境影响较小。</w:t>
            </w:r>
          </w:p>
          <w:p w14:paraId="0663E693">
            <w:pPr>
              <w:spacing w:line="360" w:lineRule="auto"/>
              <w:ind w:firstLine="480" w:firstLineChars="200"/>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项目施工期间，汽车和各种施工机械消耗油料产生的燃油废气，主要成分为CO、NOx和总碳氢化合物（THC），由于施工点多且比较分散，加之其排放方式为间断排放，因此对于每个施工点而言施工时产生的燃油废气较少，在环境空气中经自然扩散、稀释，对周围环境产生的影响在可接受范围内。</w:t>
            </w:r>
          </w:p>
          <w:p w14:paraId="69D31345">
            <w:pPr>
              <w:pStyle w:val="16"/>
              <w:adjustRightInd w:val="0"/>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2、废水</w:t>
            </w:r>
          </w:p>
          <w:p w14:paraId="0D7A630D">
            <w:pPr>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项目施工期间产生的废水主要来自少量施工人员生活废水、施工废水。</w:t>
            </w:r>
          </w:p>
          <w:p w14:paraId="0D83A6C6">
            <w:pPr>
              <w:spacing w:line="360" w:lineRule="auto"/>
              <w:ind w:firstLine="470" w:firstLineChars="196"/>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（1）生活污水</w:t>
            </w:r>
          </w:p>
          <w:p w14:paraId="1DF3A2E3">
            <w:pPr>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本项目不设置施工营地，将施工人员均为附近村民，公厕和施工人员洗手依托现有生活设施。</w:t>
            </w:r>
          </w:p>
          <w:p w14:paraId="4D8A5DC6">
            <w:pPr>
              <w:adjustRightInd w:val="0"/>
              <w:snapToGrid w:val="0"/>
              <w:spacing w:line="360" w:lineRule="auto"/>
              <w:ind w:firstLine="480" w:firstLineChars="200"/>
              <w:rPr>
                <w:rFonts w:eastAsiaTheme="minorEastAsia"/>
                <w:bCs/>
                <w:color w:val="000000" w:themeColor="text1"/>
                <w:sz w:val="24"/>
                <w:szCs w:val="22"/>
                <w14:textFill>
                  <w14:solidFill>
                    <w14:schemeClr w14:val="tx1"/>
                  </w14:solidFill>
                </w14:textFill>
              </w:rPr>
            </w:pPr>
            <w:r>
              <w:rPr>
                <w:rFonts w:eastAsiaTheme="minorEastAsia"/>
                <w:bCs/>
                <w:color w:val="000000" w:themeColor="text1"/>
                <w:sz w:val="24"/>
                <w:szCs w:val="22"/>
                <w14:textFill>
                  <w14:solidFill>
                    <w14:schemeClr w14:val="tx1"/>
                  </w14:solidFill>
                </w14:textFill>
              </w:rPr>
              <w:t>（2）施工废水</w:t>
            </w:r>
          </w:p>
          <w:p w14:paraId="7499C7D9">
            <w:pPr>
              <w:adjustRightInd w:val="0"/>
              <w:snapToGrid w:val="0"/>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szCs w:val="22"/>
                <w14:textFill>
                  <w14:solidFill>
                    <w14:schemeClr w14:val="tx1"/>
                  </w14:solidFill>
                </w14:textFill>
              </w:rPr>
              <w:t>施工废水主要来自设备清洗废水</w:t>
            </w:r>
            <w:r>
              <w:rPr>
                <w:rFonts w:hint="eastAsia" w:eastAsiaTheme="minorEastAsia"/>
                <w:color w:val="000000" w:themeColor="text1"/>
                <w:sz w:val="24"/>
                <w:szCs w:val="22"/>
                <w14:textFill>
                  <w14:solidFill>
                    <w14:schemeClr w14:val="tx1"/>
                  </w14:solidFill>
                </w14:textFill>
              </w:rPr>
              <w:t>，</w:t>
            </w:r>
            <w:r>
              <w:rPr>
                <w:rFonts w:eastAsiaTheme="minorEastAsia"/>
                <w:color w:val="000000" w:themeColor="text1"/>
                <w:sz w:val="24"/>
                <w14:textFill>
                  <w14:solidFill>
                    <w14:schemeClr w14:val="tx1"/>
                  </w14:solidFill>
                </w14:textFill>
              </w:rPr>
              <w:t>经一个容积为1m</w:t>
            </w:r>
            <w:r>
              <w:rPr>
                <w:rFonts w:eastAsiaTheme="minorEastAsia"/>
                <w:color w:val="000000" w:themeColor="text1"/>
                <w:sz w:val="24"/>
                <w:vertAlign w:val="superscript"/>
                <w14:textFill>
                  <w14:solidFill>
                    <w14:schemeClr w14:val="tx1"/>
                  </w14:solidFill>
                </w14:textFill>
              </w:rPr>
              <w:t>3</w:t>
            </w:r>
            <w:r>
              <w:rPr>
                <w:rFonts w:eastAsiaTheme="minorEastAsia"/>
                <w:color w:val="000000" w:themeColor="text1"/>
                <w:sz w:val="24"/>
                <w14:textFill>
                  <w14:solidFill>
                    <w14:schemeClr w14:val="tx1"/>
                  </w14:solidFill>
                </w14:textFill>
              </w:rPr>
              <w:t>的施工废水收集池沉淀处理之后</w:t>
            </w:r>
            <w:r>
              <w:rPr>
                <w:rFonts w:eastAsiaTheme="minorEastAsia"/>
                <w:color w:val="000000" w:themeColor="text1"/>
                <w:sz w:val="24"/>
                <w:szCs w:val="22"/>
                <w14:textFill>
                  <w14:solidFill>
                    <w14:schemeClr w14:val="tx1"/>
                  </w14:solidFill>
                </w14:textFill>
              </w:rPr>
              <w:t>回用于项目内洒水降尘，不外排。</w:t>
            </w:r>
          </w:p>
          <w:p w14:paraId="3D80A9CF">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综上所述，项目施工过程中严格采取环评提出的措施后，对周围地表水环境的影响不大。</w:t>
            </w:r>
          </w:p>
          <w:p w14:paraId="6CA36664">
            <w:pPr>
              <w:pStyle w:val="16"/>
              <w:adjustRightInd w:val="0"/>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3、噪声</w:t>
            </w:r>
          </w:p>
          <w:p w14:paraId="3D719DA3">
            <w:pPr>
              <w:spacing w:line="360" w:lineRule="auto"/>
              <w:ind w:firstLine="480" w:firstLineChars="200"/>
              <w:rPr>
                <w:rFonts w:eastAsiaTheme="minorEastAsia"/>
                <w:color w:val="000000" w:themeColor="text1"/>
                <w:sz w:val="24"/>
                <w14:textFill>
                  <w14:solidFill>
                    <w14:schemeClr w14:val="tx1"/>
                  </w14:solidFill>
                </w14:textFill>
              </w:rPr>
            </w:pPr>
            <w:r>
              <w:rPr>
                <w:color w:val="000000" w:themeColor="text1"/>
                <w:kern w:val="0"/>
                <w:sz w:val="24"/>
                <w14:textFill>
                  <w14:solidFill>
                    <w14:schemeClr w14:val="tx1"/>
                  </w14:solidFill>
                </w14:textFill>
              </w:rPr>
              <w:t>施工期主要噪声源为各类机械设备噪声及物料运输的交通噪声。各噪声源声功率级介于75~110dB（A），会对周围声环境产生一定的影响。但施工期其噪声影响是短暂的，一旦施工活动结束，施工噪声也将随之结束。为保证项目周边声环境质量不受过分的影响，施工单位务必规范施工行为，采取如下污染防范措施：</w:t>
            </w:r>
          </w:p>
          <w:p w14:paraId="423E3231">
            <w:pPr>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（1）建设单位应尽量选用低噪声机械设备。同时在施工过程中设专人对设备进行保养和维护，并负责对现场工作人员进行培训，严格按操作规范使用各类机械。</w:t>
            </w:r>
          </w:p>
          <w:p w14:paraId="1D5DB1D3">
            <w:pPr>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w:t>
            </w:r>
            <w:r>
              <w:rPr>
                <w:rFonts w:hint="eastAsia" w:eastAsiaTheme="minorEastAsia"/>
                <w:color w:val="000000" w:themeColor="text1"/>
                <w:sz w:val="24"/>
                <w14:textFill>
                  <w14:solidFill>
                    <w14:schemeClr w14:val="tx1"/>
                  </w14:solidFill>
                </w14:textFill>
              </w:rPr>
              <w:t>2</w:t>
            </w:r>
            <w:r>
              <w:rPr>
                <w:rFonts w:eastAsiaTheme="minorEastAsia"/>
                <w:color w:val="000000" w:themeColor="text1"/>
                <w:sz w:val="24"/>
                <w14:textFill>
                  <w14:solidFill>
                    <w14:schemeClr w14:val="tx1"/>
                  </w14:solidFill>
                </w14:textFill>
              </w:rPr>
              <w:t>）施工期运输车辆应尽量保持良好车况，合理调度，尽可能匀速慢行。</w:t>
            </w:r>
          </w:p>
          <w:p w14:paraId="02A9CD05">
            <w:pPr>
              <w:spacing w:line="360" w:lineRule="auto"/>
              <w:ind w:firstLine="480" w:firstLineChars="200"/>
              <w:outlineLvl w:val="0"/>
              <w:rPr>
                <w:rFonts w:eastAsiaTheme="minorEastAsia"/>
                <w:color w:val="000000" w:themeColor="text1"/>
                <w:sz w:val="24"/>
                <w14:textFill>
                  <w14:solidFill>
                    <w14:schemeClr w14:val="tx1"/>
                  </w14:solidFill>
                </w14:textFill>
              </w:rPr>
            </w:pPr>
            <w:bookmarkStart w:id="28" w:name="_Toc507402452"/>
            <w:r>
              <w:rPr>
                <w:rFonts w:eastAsiaTheme="minorEastAsia"/>
                <w:color w:val="000000" w:themeColor="text1"/>
                <w:sz w:val="24"/>
                <w14:textFill>
                  <w14:solidFill>
                    <w14:schemeClr w14:val="tx1"/>
                  </w14:solidFill>
                </w14:textFill>
              </w:rPr>
              <w:t>（</w:t>
            </w:r>
            <w:r>
              <w:rPr>
                <w:rFonts w:hint="eastAsia" w:eastAsiaTheme="minorEastAsia"/>
                <w:color w:val="000000" w:themeColor="text1"/>
                <w:sz w:val="24"/>
                <w14:textFill>
                  <w14:solidFill>
                    <w14:schemeClr w14:val="tx1"/>
                  </w14:solidFill>
                </w14:textFill>
              </w:rPr>
              <w:t>3</w:t>
            </w:r>
            <w:r>
              <w:rPr>
                <w:rFonts w:eastAsiaTheme="minorEastAsia"/>
                <w:color w:val="000000" w:themeColor="text1"/>
                <w:sz w:val="24"/>
                <w14:textFill>
                  <w14:solidFill>
                    <w14:schemeClr w14:val="tx1"/>
                  </w14:solidFill>
                </w14:textFill>
              </w:rPr>
              <w:t>）施工期间必须严格按GB12523-20</w:t>
            </w:r>
            <w:r>
              <w:rPr>
                <w:rFonts w:hint="eastAsia" w:eastAsiaTheme="minorEastAsia"/>
                <w:color w:val="000000" w:themeColor="text1"/>
                <w:sz w:val="24"/>
                <w14:textFill>
                  <w14:solidFill>
                    <w14:schemeClr w14:val="tx1"/>
                  </w14:solidFill>
                </w14:textFill>
              </w:rPr>
              <w:t>25</w:t>
            </w:r>
            <w:r>
              <w:rPr>
                <w:rFonts w:eastAsiaTheme="minorEastAsia"/>
                <w:color w:val="000000" w:themeColor="text1"/>
                <w:sz w:val="24"/>
                <w14:textFill>
                  <w14:solidFill>
                    <w14:schemeClr w14:val="tx1"/>
                  </w14:solidFill>
                </w14:textFill>
              </w:rPr>
              <w:t>《建筑施工噪声排放标准》进行施工时间、施工噪声的控制，以减少工程建设施工对周边造成的声环境影响。</w:t>
            </w:r>
            <w:bookmarkEnd w:id="28"/>
          </w:p>
          <w:p w14:paraId="75AC2155">
            <w:pPr>
              <w:adjustRightInd w:val="0"/>
              <w:snapToGrid w:val="0"/>
              <w:spacing w:line="360" w:lineRule="auto"/>
              <w:ind w:firstLine="480" w:firstLineChars="200"/>
              <w:rPr>
                <w:rFonts w:eastAsiaTheme="minorEastAsia"/>
                <w:color w:val="000000" w:themeColor="text1"/>
                <w:sz w:val="24"/>
                <w14:textFill>
                  <w14:solidFill>
                    <w14:schemeClr w14:val="tx1"/>
                  </w14:solidFill>
                </w14:textFill>
              </w:rPr>
            </w:pPr>
            <w:bookmarkStart w:id="29" w:name="_Toc507402453"/>
            <w:r>
              <w:rPr>
                <w:rFonts w:eastAsiaTheme="minorEastAsia"/>
                <w:color w:val="000000" w:themeColor="text1"/>
                <w:sz w:val="24"/>
                <w14:textFill>
                  <w14:solidFill>
                    <w14:schemeClr w14:val="tx1"/>
                  </w14:solidFill>
                </w14:textFill>
              </w:rPr>
              <w:t>（</w:t>
            </w:r>
            <w:r>
              <w:rPr>
                <w:rFonts w:hint="eastAsia" w:eastAsiaTheme="minorEastAsia"/>
                <w:color w:val="000000" w:themeColor="text1"/>
                <w:sz w:val="24"/>
                <w14:textFill>
                  <w14:solidFill>
                    <w14:schemeClr w14:val="tx1"/>
                  </w14:solidFill>
                </w14:textFill>
              </w:rPr>
              <w:t>4</w:t>
            </w:r>
            <w:r>
              <w:rPr>
                <w:rFonts w:eastAsiaTheme="minorEastAsia"/>
                <w:color w:val="000000" w:themeColor="text1"/>
                <w:sz w:val="24"/>
                <w14:textFill>
                  <w14:solidFill>
                    <w14:schemeClr w14:val="tx1"/>
                  </w14:solidFill>
                </w14:textFill>
              </w:rPr>
              <w:t>）建设管理部门应加强对施工场地的噪声管理，施工企业也应对施工噪声进行自律，文明施工，避免因施工噪声产生纠纷。</w:t>
            </w:r>
            <w:bookmarkEnd w:id="29"/>
          </w:p>
          <w:p w14:paraId="1A153860">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（5）</w:t>
            </w:r>
            <w:r>
              <w:rPr>
                <w:color w:val="000000" w:themeColor="text1"/>
                <w:kern w:val="0"/>
                <w:sz w:val="24"/>
                <w14:textFill>
                  <w14:solidFill>
                    <w14:schemeClr w14:val="tx1"/>
                  </w14:solidFill>
                </w14:textFill>
              </w:rPr>
              <w:t>加强个人防护措施。按照劳动卫生标准，控制高噪声机械施工人员的工作时间，对机械操作者及有关人员采取个人防护措施，如戴耳塞、头盔等。</w:t>
            </w:r>
          </w:p>
          <w:p w14:paraId="60DB31C3">
            <w:pPr>
              <w:spacing w:line="360" w:lineRule="auto"/>
              <w:ind w:firstLine="480" w:firstLineChars="200"/>
              <w:outlineLvl w:val="0"/>
              <w:rPr>
                <w:rFonts w:eastAsiaTheme="minorEastAsia"/>
                <w:color w:val="000000" w:themeColor="text1"/>
                <w:sz w:val="24"/>
                <w14:textFill>
                  <w14:solidFill>
                    <w14:schemeClr w14:val="tx1"/>
                  </w14:solidFill>
                </w14:textFill>
              </w:rPr>
            </w:pPr>
            <w:r>
              <w:rPr>
                <w:color w:val="000000" w:themeColor="text1"/>
                <w:kern w:val="0"/>
                <w:sz w:val="24"/>
                <w14:textFill>
                  <w14:solidFill>
                    <w14:schemeClr w14:val="tx1"/>
                  </w14:solidFill>
                </w14:textFill>
              </w:rPr>
              <w:t>采取以上措施后可以有效减轻施工噪声对周围环境及保护目标的影响，措施可行。</w:t>
            </w:r>
          </w:p>
          <w:p w14:paraId="77ABFC82">
            <w:pPr>
              <w:pStyle w:val="16"/>
              <w:adjustRightInd w:val="0"/>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4、固废</w:t>
            </w:r>
          </w:p>
          <w:p w14:paraId="087EFC86">
            <w:pPr>
              <w:spacing w:line="360" w:lineRule="auto"/>
              <w:ind w:firstLine="480" w:firstLineChars="200"/>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w:t>
            </w:r>
            <w:r>
              <w:rPr>
                <w:rFonts w:hint="eastAsia" w:eastAsiaTheme="minorEastAsia"/>
                <w:bCs/>
                <w:color w:val="000000" w:themeColor="text1"/>
                <w:sz w:val="24"/>
                <w14:textFill>
                  <w14:solidFill>
                    <w14:schemeClr w14:val="tx1"/>
                  </w14:solidFill>
                </w14:textFill>
              </w:rPr>
              <w:t>1</w:t>
            </w:r>
            <w:r>
              <w:rPr>
                <w:rFonts w:eastAsiaTheme="minorEastAsia"/>
                <w:bCs/>
                <w:color w:val="000000" w:themeColor="text1"/>
                <w:sz w:val="24"/>
                <w14:textFill>
                  <w14:solidFill>
                    <w14:schemeClr w14:val="tx1"/>
                  </w14:solidFill>
                </w14:textFill>
              </w:rPr>
              <w:t>）建筑垃圾</w:t>
            </w:r>
          </w:p>
          <w:p w14:paraId="777923ED">
            <w:pPr>
              <w:tabs>
                <w:tab w:val="left" w:pos="1800"/>
              </w:tabs>
              <w:adjustRightInd w:val="0"/>
              <w:snapToGrid w:val="0"/>
              <w:spacing w:line="360" w:lineRule="auto"/>
              <w:ind w:firstLine="480" w:firstLineChars="20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本项目产生的建筑垃圾集中处理，分类收集并尽可能的回收再利用，不能回收利用的统一收集、清运至城建部门指定地点，因此对周边环境影响较小。</w:t>
            </w:r>
          </w:p>
          <w:p w14:paraId="7D1D9375">
            <w:pPr>
              <w:spacing w:line="360" w:lineRule="auto"/>
              <w:ind w:firstLine="480" w:firstLineChars="200"/>
              <w:rPr>
                <w:rFonts w:eastAsiaTheme="minorEastAsia"/>
                <w:bCs/>
                <w:color w:val="000000" w:themeColor="text1"/>
                <w:sz w:val="24"/>
                <w14:textFill>
                  <w14:solidFill>
                    <w14:schemeClr w14:val="tx1"/>
                  </w14:solidFill>
                </w14:textFill>
              </w:rPr>
            </w:pPr>
            <w:r>
              <w:rPr>
                <w:rFonts w:eastAsiaTheme="minorEastAsia"/>
                <w:bCs/>
                <w:color w:val="000000" w:themeColor="text1"/>
                <w:sz w:val="24"/>
                <w14:textFill>
                  <w14:solidFill>
                    <w14:schemeClr w14:val="tx1"/>
                  </w14:solidFill>
                </w14:textFill>
              </w:rPr>
              <w:t>（</w:t>
            </w:r>
            <w:r>
              <w:rPr>
                <w:rFonts w:hint="eastAsia" w:eastAsiaTheme="minorEastAsia"/>
                <w:bCs/>
                <w:color w:val="000000" w:themeColor="text1"/>
                <w:sz w:val="24"/>
                <w14:textFill>
                  <w14:solidFill>
                    <w14:schemeClr w14:val="tx1"/>
                  </w14:solidFill>
                </w14:textFill>
              </w:rPr>
              <w:t>2</w:t>
            </w:r>
            <w:r>
              <w:rPr>
                <w:rFonts w:eastAsiaTheme="minorEastAsia"/>
                <w:bCs/>
                <w:color w:val="000000" w:themeColor="text1"/>
                <w:sz w:val="24"/>
                <w14:textFill>
                  <w14:solidFill>
                    <w14:schemeClr w14:val="tx1"/>
                  </w14:solidFill>
                </w14:textFill>
              </w:rPr>
              <w:t>）施工人员生活垃圾</w:t>
            </w:r>
          </w:p>
          <w:p w14:paraId="7CFE05B9">
            <w:pPr>
              <w:spacing w:line="360" w:lineRule="auto"/>
              <w:ind w:firstLine="480" w:firstLineChars="200"/>
              <w:rPr>
                <w:rFonts w:eastAsiaTheme="minorEastAsia"/>
                <w:color w:val="000000" w:themeColor="text1"/>
                <w:sz w:val="24"/>
                <w14:textFill>
                  <w14:solidFill>
                    <w14:schemeClr w14:val="tx1"/>
                  </w14:solidFill>
                </w14:textFill>
              </w:rPr>
            </w:pPr>
            <w:r>
              <w:rPr>
                <w:color w:val="000000" w:themeColor="text1"/>
                <w:kern w:val="0"/>
                <w:sz w:val="24"/>
                <w14:textFill>
                  <w14:solidFill>
                    <w14:schemeClr w14:val="tx1"/>
                  </w14:solidFill>
                </w14:textFill>
              </w:rPr>
              <w:t>本项目施工期为</w:t>
            </w:r>
            <w:r>
              <w:rPr>
                <w:rFonts w:hint="eastAsia"/>
                <w:color w:val="000000" w:themeColor="text1"/>
                <w:kern w:val="0"/>
                <w:sz w:val="24"/>
                <w14:textFill>
                  <w14:solidFill>
                    <w14:schemeClr w14:val="tx1"/>
                  </w14:solidFill>
                </w14:textFill>
              </w:rPr>
              <w:t>3</w:t>
            </w:r>
            <w:r>
              <w:rPr>
                <w:color w:val="000000" w:themeColor="text1"/>
                <w:kern w:val="0"/>
                <w:sz w:val="24"/>
                <w14:textFill>
                  <w14:solidFill>
                    <w14:schemeClr w14:val="tx1"/>
                  </w14:solidFill>
                </w14:textFill>
              </w:rPr>
              <w:t>个月，施工期施工人员按10人计算，每人每天产生0.5kg，施工期生活垃圾产生量约0.</w:t>
            </w:r>
            <w:r>
              <w:rPr>
                <w:rFonts w:hint="eastAsia"/>
                <w:color w:val="000000" w:themeColor="text1"/>
                <w:kern w:val="0"/>
                <w:sz w:val="24"/>
                <w14:textFill>
                  <w14:solidFill>
                    <w14:schemeClr w14:val="tx1"/>
                  </w14:solidFill>
                </w14:textFill>
              </w:rPr>
              <w:t>45</w:t>
            </w:r>
            <w:r>
              <w:rPr>
                <w:color w:val="000000" w:themeColor="text1"/>
                <w:kern w:val="0"/>
                <w:sz w:val="24"/>
                <w14:textFill>
                  <w14:solidFill>
                    <w14:schemeClr w14:val="tx1"/>
                  </w14:solidFill>
                </w14:textFill>
              </w:rPr>
              <w:t>t，</w:t>
            </w:r>
            <w:r>
              <w:rPr>
                <w:rFonts w:eastAsiaTheme="minorEastAsia"/>
                <w:color w:val="000000" w:themeColor="text1"/>
                <w:sz w:val="24"/>
                <w14:textFill>
                  <w14:solidFill>
                    <w14:schemeClr w14:val="tx1"/>
                  </w14:solidFill>
                </w14:textFill>
              </w:rPr>
              <w:t>本项目施工现场设置生活垃圾集中堆放点，同时还应加强管理，</w:t>
            </w:r>
            <w:r>
              <w:rPr>
                <w:rFonts w:eastAsiaTheme="minorEastAsia"/>
                <w:color w:val="000000" w:themeColor="text1"/>
                <w:sz w:val="24"/>
                <w:szCs w:val="22"/>
                <w14:textFill>
                  <w14:solidFill>
                    <w14:schemeClr w14:val="tx1"/>
                  </w14:solidFill>
                </w14:textFill>
              </w:rPr>
              <w:t>增强施工人员环境保护意识，从而减轻集中收集的难度，</w:t>
            </w:r>
            <w:r>
              <w:rPr>
                <w:rFonts w:eastAsiaTheme="minorEastAsia"/>
                <w:color w:val="000000" w:themeColor="text1"/>
                <w:sz w:val="24"/>
                <w14:textFill>
                  <w14:solidFill>
                    <w14:schemeClr w14:val="tx1"/>
                  </w14:solidFill>
                </w14:textFill>
              </w:rPr>
              <w:t>统一收集后交由当地环卫部门定期清运，对周围环境影响不大。</w:t>
            </w:r>
          </w:p>
          <w:p w14:paraId="280620FA">
            <w:pPr>
              <w:spacing w:line="360" w:lineRule="auto"/>
              <w:ind w:firstLine="480" w:firstLineChars="200"/>
              <w:rPr>
                <w:rFonts w:eastAsiaTheme="minorEastAsia"/>
                <w:bCs/>
                <w:color w:val="000000" w:themeColor="text1"/>
                <w:sz w:val="24"/>
                <w14:textFill>
                  <w14:solidFill>
                    <w14:schemeClr w14:val="tx1"/>
                  </w14:solidFill>
                </w14:textFill>
              </w:rPr>
            </w:pPr>
            <w:r>
              <w:rPr>
                <w:rFonts w:hint="eastAsia" w:eastAsiaTheme="minorEastAsia"/>
                <w:bCs/>
                <w:color w:val="000000" w:themeColor="text1"/>
                <w:sz w:val="24"/>
                <w14:textFill>
                  <w14:solidFill>
                    <w14:schemeClr w14:val="tx1"/>
                  </w14:solidFill>
                </w14:textFill>
              </w:rPr>
              <w:t>（3）土石方</w:t>
            </w:r>
          </w:p>
          <w:p w14:paraId="1853E27E">
            <w:pPr>
              <w:spacing w:line="360" w:lineRule="auto"/>
              <w:ind w:firstLine="480" w:firstLineChars="200"/>
              <w:rPr>
                <w:rFonts w:eastAsiaTheme="minorEastAsia"/>
                <w:color w:val="000000" w:themeColor="text1"/>
                <w:sz w:val="24"/>
                <w14:textFill>
                  <w14:solidFill>
                    <w14:schemeClr w14:val="tx1"/>
                  </w14:solidFill>
                </w14:textFill>
              </w:rPr>
            </w:pPr>
            <w:r>
              <w:rPr>
                <w:rFonts w:hint="eastAsia" w:eastAsiaTheme="minorEastAsia"/>
                <w:bCs/>
                <w:color w:val="000000" w:themeColor="text1"/>
                <w:sz w:val="24"/>
                <w14:textFill>
                  <w14:solidFill>
                    <w14:schemeClr w14:val="tx1"/>
                  </w14:solidFill>
                </w14:textFill>
              </w:rPr>
              <w:t>本项目租用已建建筑，</w:t>
            </w:r>
            <w:r>
              <w:rPr>
                <w:rFonts w:hint="eastAsia"/>
                <w:color w:val="000000" w:themeColor="text1"/>
                <w:sz w:val="24"/>
                <w14:textFill>
                  <w14:solidFill>
                    <w14:schemeClr w14:val="tx1"/>
                  </w14:solidFill>
                </w14:textFill>
              </w:rPr>
              <w:t>施工期主要对现有厂房进行改造，并配套安装生产设备和环保设施等，施工期土石方开挖量较少，经</w:t>
            </w:r>
            <w:r>
              <w:rPr>
                <w:rFonts w:eastAsiaTheme="minorEastAsia"/>
                <w:color w:val="000000" w:themeColor="text1"/>
                <w:sz w:val="24"/>
                <w14:textFill>
                  <w14:solidFill>
                    <w14:schemeClr w14:val="tx1"/>
                  </w14:solidFill>
                </w14:textFill>
              </w:rPr>
              <w:t>统一收集、清运至城建部门指定地点</w:t>
            </w:r>
            <w:r>
              <w:rPr>
                <w:rFonts w:hint="eastAsia" w:eastAsiaTheme="minorEastAsia"/>
                <w:color w:val="000000" w:themeColor="text1"/>
                <w:sz w:val="24"/>
                <w14:textFill>
                  <w14:solidFill>
                    <w14:schemeClr w14:val="tx1"/>
                  </w14:solidFill>
                </w14:textFill>
              </w:rPr>
              <w:t>。</w:t>
            </w:r>
          </w:p>
          <w:p w14:paraId="56942E6E">
            <w:pPr>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综上所述，项目施工过程中严格采取环评提出的措施后，固体废物均得到妥善处置，对周围环境影响不大。</w:t>
            </w:r>
          </w:p>
          <w:p w14:paraId="7E003799">
            <w:pPr>
              <w:pStyle w:val="16"/>
              <w:adjustRightInd w:val="0"/>
              <w:spacing w:line="360" w:lineRule="auto"/>
              <w:ind w:firstLine="480" w:firstLineChars="200"/>
              <w:rPr>
                <w:bCs/>
                <w:color w:val="000000" w:themeColor="text1"/>
                <w:sz w:val="24"/>
                <w14:textFill>
                  <w14:solidFill>
                    <w14:schemeClr w14:val="tx1"/>
                  </w14:solidFill>
                </w14:textFill>
              </w:rPr>
            </w:pPr>
          </w:p>
          <w:p w14:paraId="785DA420">
            <w:pPr>
              <w:pStyle w:val="16"/>
              <w:adjustRightInd w:val="0"/>
              <w:spacing w:line="360" w:lineRule="auto"/>
              <w:ind w:firstLine="480" w:firstLineChars="200"/>
              <w:rPr>
                <w:bCs/>
                <w:color w:val="000000" w:themeColor="text1"/>
                <w:sz w:val="24"/>
                <w14:textFill>
                  <w14:solidFill>
                    <w14:schemeClr w14:val="tx1"/>
                  </w14:solidFill>
                </w14:textFill>
              </w:rPr>
            </w:pPr>
          </w:p>
          <w:p w14:paraId="726FCA0C">
            <w:pPr>
              <w:pStyle w:val="16"/>
              <w:adjustRightInd w:val="0"/>
              <w:spacing w:line="360" w:lineRule="auto"/>
              <w:ind w:firstLine="480" w:firstLineChars="200"/>
              <w:rPr>
                <w:bCs/>
                <w:color w:val="000000" w:themeColor="text1"/>
                <w:sz w:val="24"/>
                <w14:textFill>
                  <w14:solidFill>
                    <w14:schemeClr w14:val="tx1"/>
                  </w14:solidFill>
                </w14:textFill>
              </w:rPr>
            </w:pPr>
          </w:p>
          <w:p w14:paraId="7D4C8230">
            <w:pPr>
              <w:pStyle w:val="16"/>
              <w:adjustRightInd w:val="0"/>
              <w:spacing w:line="360" w:lineRule="auto"/>
              <w:ind w:firstLine="480" w:firstLineChars="200"/>
              <w:rPr>
                <w:bCs/>
                <w:color w:val="000000" w:themeColor="text1"/>
                <w:sz w:val="24"/>
                <w14:textFill>
                  <w14:solidFill>
                    <w14:schemeClr w14:val="tx1"/>
                  </w14:solidFill>
                </w14:textFill>
              </w:rPr>
            </w:pPr>
          </w:p>
          <w:p w14:paraId="1E44F0C4">
            <w:pPr>
              <w:pStyle w:val="16"/>
              <w:adjustRightInd w:val="0"/>
              <w:spacing w:line="360" w:lineRule="auto"/>
              <w:ind w:firstLine="480" w:firstLineChars="200"/>
              <w:rPr>
                <w:bCs/>
                <w:color w:val="000000" w:themeColor="text1"/>
                <w:sz w:val="24"/>
                <w14:textFill>
                  <w14:solidFill>
                    <w14:schemeClr w14:val="tx1"/>
                  </w14:solidFill>
                </w14:textFill>
              </w:rPr>
            </w:pPr>
          </w:p>
          <w:p w14:paraId="517D1A60">
            <w:pPr>
              <w:pStyle w:val="16"/>
              <w:adjustRightInd w:val="0"/>
              <w:spacing w:line="360" w:lineRule="auto"/>
              <w:ind w:firstLine="480" w:firstLineChars="200"/>
              <w:rPr>
                <w:bCs/>
                <w:color w:val="000000" w:themeColor="text1"/>
                <w:sz w:val="24"/>
                <w14:textFill>
                  <w14:solidFill>
                    <w14:schemeClr w14:val="tx1"/>
                  </w14:solidFill>
                </w14:textFill>
              </w:rPr>
            </w:pPr>
          </w:p>
          <w:p w14:paraId="35F13347">
            <w:pPr>
              <w:pStyle w:val="16"/>
              <w:adjustRightInd w:val="0"/>
              <w:spacing w:line="360" w:lineRule="auto"/>
              <w:ind w:firstLine="480" w:firstLineChars="200"/>
              <w:rPr>
                <w:bCs/>
                <w:color w:val="000000" w:themeColor="text1"/>
                <w:sz w:val="24"/>
                <w14:textFill>
                  <w14:solidFill>
                    <w14:schemeClr w14:val="tx1"/>
                  </w14:solidFill>
                </w14:textFill>
              </w:rPr>
            </w:pPr>
          </w:p>
          <w:p w14:paraId="628F0082">
            <w:pPr>
              <w:pStyle w:val="16"/>
              <w:adjustRightInd w:val="0"/>
              <w:spacing w:line="360" w:lineRule="auto"/>
              <w:ind w:firstLine="480" w:firstLineChars="200"/>
              <w:rPr>
                <w:bCs/>
                <w:color w:val="000000" w:themeColor="text1"/>
                <w:sz w:val="24"/>
                <w14:textFill>
                  <w14:solidFill>
                    <w14:schemeClr w14:val="tx1"/>
                  </w14:solidFill>
                </w14:textFill>
              </w:rPr>
            </w:pPr>
          </w:p>
          <w:p w14:paraId="60F4F2FB">
            <w:pPr>
              <w:pStyle w:val="16"/>
              <w:adjustRightInd w:val="0"/>
              <w:spacing w:line="360" w:lineRule="auto"/>
              <w:ind w:firstLine="480" w:firstLineChars="200"/>
              <w:rPr>
                <w:bCs/>
                <w:color w:val="000000" w:themeColor="text1"/>
                <w:sz w:val="24"/>
                <w14:textFill>
                  <w14:solidFill>
                    <w14:schemeClr w14:val="tx1"/>
                  </w14:solidFill>
                </w14:textFill>
              </w:rPr>
            </w:pPr>
          </w:p>
          <w:p w14:paraId="776AD2E7">
            <w:pPr>
              <w:pStyle w:val="16"/>
              <w:adjustRightInd w:val="0"/>
              <w:spacing w:line="360" w:lineRule="auto"/>
              <w:ind w:firstLine="480" w:firstLineChars="200"/>
              <w:rPr>
                <w:bCs/>
                <w:color w:val="000000" w:themeColor="text1"/>
                <w:sz w:val="24"/>
                <w14:textFill>
                  <w14:solidFill>
                    <w14:schemeClr w14:val="tx1"/>
                  </w14:solidFill>
                </w14:textFill>
              </w:rPr>
            </w:pPr>
          </w:p>
          <w:p w14:paraId="1CDBCBA4">
            <w:pPr>
              <w:pStyle w:val="16"/>
              <w:adjustRightInd w:val="0"/>
              <w:spacing w:line="360" w:lineRule="auto"/>
              <w:ind w:firstLine="480" w:firstLineChars="200"/>
              <w:rPr>
                <w:bCs/>
                <w:color w:val="000000" w:themeColor="text1"/>
                <w:sz w:val="24"/>
                <w14:textFill>
                  <w14:solidFill>
                    <w14:schemeClr w14:val="tx1"/>
                  </w14:solidFill>
                </w14:textFill>
              </w:rPr>
            </w:pPr>
          </w:p>
          <w:p w14:paraId="4688DF11">
            <w:pPr>
              <w:pStyle w:val="16"/>
              <w:adjustRightInd w:val="0"/>
              <w:spacing w:line="360" w:lineRule="auto"/>
              <w:ind w:firstLine="480" w:firstLineChars="200"/>
              <w:rPr>
                <w:bCs/>
                <w:color w:val="000000" w:themeColor="text1"/>
                <w:sz w:val="24"/>
                <w14:textFill>
                  <w14:solidFill>
                    <w14:schemeClr w14:val="tx1"/>
                  </w14:solidFill>
                </w14:textFill>
              </w:rPr>
            </w:pPr>
          </w:p>
          <w:p w14:paraId="75FA8068">
            <w:pPr>
              <w:pStyle w:val="16"/>
              <w:adjustRightInd w:val="0"/>
              <w:spacing w:line="360" w:lineRule="auto"/>
              <w:ind w:firstLine="480" w:firstLineChars="200"/>
              <w:rPr>
                <w:bCs/>
                <w:color w:val="000000" w:themeColor="text1"/>
                <w:sz w:val="24"/>
                <w14:textFill>
                  <w14:solidFill>
                    <w14:schemeClr w14:val="tx1"/>
                  </w14:solidFill>
                </w14:textFill>
              </w:rPr>
            </w:pPr>
          </w:p>
          <w:p w14:paraId="467F5471">
            <w:pPr>
              <w:pStyle w:val="16"/>
              <w:adjustRightInd w:val="0"/>
              <w:spacing w:line="360" w:lineRule="auto"/>
              <w:ind w:firstLine="480" w:firstLineChars="200"/>
              <w:rPr>
                <w:bCs/>
                <w:color w:val="000000" w:themeColor="text1"/>
                <w:sz w:val="24"/>
                <w14:textFill>
                  <w14:solidFill>
                    <w14:schemeClr w14:val="tx1"/>
                  </w14:solidFill>
                </w14:textFill>
              </w:rPr>
            </w:pPr>
          </w:p>
        </w:tc>
      </w:tr>
    </w:tbl>
    <w:p w14:paraId="7C54B374">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br w:type="page"/>
      </w:r>
    </w:p>
    <w:tbl>
      <w:tblPr>
        <w:tblStyle w:val="25"/>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88"/>
        <w:gridCol w:w="8693"/>
      </w:tblGrid>
      <w:tr w14:paraId="2E4B30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426" w:hRule="atLeast"/>
          <w:jc w:val="center"/>
        </w:trPr>
        <w:tc>
          <w:tcPr>
            <w:tcW w:w="288" w:type="dxa"/>
            <w:tcMar>
              <w:left w:w="28" w:type="dxa"/>
              <w:right w:w="28" w:type="dxa"/>
            </w:tcMar>
            <w:vAlign w:val="center"/>
          </w:tcPr>
          <w:p w14:paraId="469A3DE9">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运营</w:t>
            </w:r>
          </w:p>
          <w:p w14:paraId="32A3B0FF">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期环</w:t>
            </w:r>
          </w:p>
          <w:p w14:paraId="244FC0FD">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境影</w:t>
            </w:r>
          </w:p>
          <w:p w14:paraId="7F5B9872">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响和</w:t>
            </w:r>
          </w:p>
          <w:p w14:paraId="62CEB970">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保护</w:t>
            </w:r>
          </w:p>
          <w:p w14:paraId="10BB1046">
            <w:pPr>
              <w:pStyle w:val="21"/>
              <w:adjustRightInd w:val="0"/>
              <w:snapToGrid w:val="0"/>
              <w:spacing w:before="0" w:beforeAutospacing="0" w:after="0" w:afterAutospacing="0"/>
              <w:jc w:val="center"/>
              <w:rPr>
                <w:rFonts w:ascii="Times New Roman" w:hAnsi="Times New Roman"/>
                <w:color w:val="000000" w:themeColor="text1"/>
                <w:kern w:val="2"/>
                <w:szCs w:val="24"/>
                <w14:textFill>
                  <w14:solidFill>
                    <w14:schemeClr w14:val="tx1"/>
                  </w14:solidFill>
                </w14:textFill>
              </w:rPr>
            </w:pPr>
            <w:r>
              <w:rPr>
                <w:rFonts w:ascii="Times New Roman" w:hAnsi="Times New Roman"/>
                <w:bCs/>
                <w:color w:val="000000" w:themeColor="text1"/>
                <w:szCs w:val="24"/>
                <w14:textFill>
                  <w14:solidFill>
                    <w14:schemeClr w14:val="tx1"/>
                  </w14:solidFill>
                </w14:textFill>
              </w:rPr>
              <w:t>措施</w:t>
            </w:r>
          </w:p>
        </w:tc>
        <w:tc>
          <w:tcPr>
            <w:tcW w:w="8693" w:type="dxa"/>
            <w:vMerge w:val="restart"/>
            <w:vAlign w:val="center"/>
          </w:tcPr>
          <w:p w14:paraId="3CC7F9CC">
            <w:pPr>
              <w:pStyle w:val="16"/>
              <w:adjustRightInd w:val="0"/>
              <w:spacing w:line="360" w:lineRule="auto"/>
              <w:rPr>
                <w:b/>
                <w:bCs/>
                <w:color w:val="000000" w:themeColor="text1"/>
                <w:spacing w:val="-10"/>
                <w:sz w:val="24"/>
                <w:szCs w:val="24"/>
                <w14:textFill>
                  <w14:solidFill>
                    <w14:schemeClr w14:val="tx1"/>
                  </w14:solidFill>
                </w14:textFill>
              </w:rPr>
            </w:pPr>
            <w:r>
              <w:rPr>
                <w:b/>
                <w:bCs/>
                <w:color w:val="000000" w:themeColor="text1"/>
                <w:sz w:val="24"/>
                <w:szCs w:val="24"/>
                <w14:textFill>
                  <w14:solidFill>
                    <w14:schemeClr w14:val="tx1"/>
                  </w14:solidFill>
                </w14:textFill>
              </w:rPr>
              <w:t>一、废气</w:t>
            </w:r>
          </w:p>
          <w:p w14:paraId="64912711">
            <w:pPr>
              <w:adjustRightInd w:val="0"/>
              <w:snapToGrid w:val="0"/>
              <w:spacing w:line="360" w:lineRule="auto"/>
              <w:ind w:firstLine="482" w:firstLineChars="200"/>
              <w:rPr>
                <w:b/>
                <w:color w:val="000000" w:themeColor="text1"/>
                <w:sz w:val="24"/>
                <w14:textFill>
                  <w14:solidFill>
                    <w14:schemeClr w14:val="tx1"/>
                  </w14:solidFill>
                </w14:textFill>
              </w:rPr>
            </w:pPr>
            <w:r>
              <w:rPr>
                <w:b/>
                <w:color w:val="000000" w:themeColor="text1"/>
                <w:sz w:val="24"/>
                <w14:textFill>
                  <w14:solidFill>
                    <w14:schemeClr w14:val="tx1"/>
                  </w14:solidFill>
                </w14:textFill>
              </w:rPr>
              <w:t>1、废气污染物产排核算过程</w:t>
            </w:r>
          </w:p>
          <w:p w14:paraId="383A8D9D">
            <w:pPr>
              <w:pStyle w:val="82"/>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本项目废气主要为</w:t>
            </w:r>
            <w:r>
              <w:rPr>
                <w:rFonts w:hint="eastAsia"/>
                <w:color w:val="000000" w:themeColor="text1"/>
                <w:sz w:val="24"/>
                <w:szCs w:val="24"/>
                <w14:textFill>
                  <w14:solidFill>
                    <w14:schemeClr w14:val="tx1"/>
                  </w14:solidFill>
                </w14:textFill>
              </w:rPr>
              <w:t>投料</w:t>
            </w:r>
            <w:r>
              <w:rPr>
                <w:color w:val="000000" w:themeColor="text1"/>
                <w:sz w:val="24"/>
                <w:szCs w:val="24"/>
                <w14:textFill>
                  <w14:solidFill>
                    <w14:schemeClr w14:val="tx1"/>
                  </w14:solidFill>
                </w14:textFill>
              </w:rPr>
              <w:t>粉尘</w:t>
            </w:r>
            <w:r>
              <w:rPr>
                <w:rFonts w:hint="eastAsia"/>
                <w:color w:val="000000" w:themeColor="text1"/>
                <w:sz w:val="24"/>
                <w:szCs w:val="24"/>
                <w14:textFill>
                  <w14:solidFill>
                    <w14:schemeClr w14:val="tx1"/>
                  </w14:solidFill>
                </w14:textFill>
              </w:rPr>
              <w:t>、原料煤堆存少量粉尘、混合（翻堆搅拌）粉尘、异味</w:t>
            </w:r>
            <w:r>
              <w:rPr>
                <w:color w:val="000000" w:themeColor="text1"/>
                <w:sz w:val="24"/>
                <w:szCs w:val="24"/>
                <w14:textFill>
                  <w14:solidFill>
                    <w14:schemeClr w14:val="tx1"/>
                  </w14:solidFill>
                </w14:textFill>
              </w:rPr>
              <w:t>。</w:t>
            </w:r>
          </w:p>
          <w:p w14:paraId="071D461B">
            <w:pPr>
              <w:adjustRightInd w:val="0"/>
              <w:spacing w:line="360" w:lineRule="auto"/>
              <w:ind w:firstLine="482" w:firstLineChars="200"/>
              <w:outlineLvl w:val="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1.1</w:t>
            </w:r>
            <w:r>
              <w:rPr>
                <w:b/>
                <w:color w:val="000000" w:themeColor="text1"/>
                <w:sz w:val="24"/>
                <w14:textFill>
                  <w14:solidFill>
                    <w14:schemeClr w14:val="tx1"/>
                  </w14:solidFill>
                </w14:textFill>
              </w:rPr>
              <w:t>污染物产生源强核算</w:t>
            </w:r>
          </w:p>
          <w:p w14:paraId="45B16AD0">
            <w:pPr>
              <w:pStyle w:val="82"/>
              <w:spacing w:line="360" w:lineRule="auto"/>
              <w:ind w:firstLine="482" w:firstLineChars="200"/>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（1）原料库堆场粉尘</w:t>
            </w:r>
          </w:p>
          <w:p w14:paraId="0F3E4E4E">
            <w:pPr>
              <w:pStyle w:val="83"/>
              <w:spacing w:line="360" w:lineRule="auto"/>
              <w:ind w:right="176" w:firstLine="496" w:firstLineChars="200"/>
              <w:rPr>
                <w:rFonts w:ascii="Times New Roman" w:hAnsi="Times New Roman" w:cs="Times New Roman"/>
                <w:color w:val="000000" w:themeColor="text1"/>
                <w:sz w:val="24"/>
                <w:szCs w:val="24"/>
                <w:lang w:eastAsia="zh-CN"/>
                <w14:textFill>
                  <w14:solidFill>
                    <w14:schemeClr w14:val="tx1"/>
                  </w14:solidFill>
                </w14:textFill>
              </w:rPr>
            </w:pPr>
            <w:r>
              <w:rPr>
                <w:rFonts w:hint="eastAsia" w:ascii="Times New Roman" w:hAnsi="Times New Roman" w:cs="Times New Roman"/>
                <w:color w:val="000000" w:themeColor="text1"/>
                <w:spacing w:val="4"/>
                <w:sz w:val="24"/>
                <w:szCs w:val="24"/>
                <w:lang w:eastAsia="zh-CN"/>
                <w14:textFill>
                  <w14:solidFill>
                    <w14:schemeClr w14:val="tx1"/>
                  </w14:solidFill>
                </w14:textFill>
              </w:rPr>
              <w:t>本项目原料库堆存主要为尿素和锯木屑，入厂时均为袋装，由售卖方运输至厂区，包装袋表面会含尘，</w:t>
            </w:r>
            <w:r>
              <w:rPr>
                <w:rFonts w:ascii="Times New Roman" w:hAnsi="Times New Roman" w:cs="Times New Roman"/>
                <w:color w:val="000000" w:themeColor="text1"/>
                <w:spacing w:val="-1"/>
                <w:sz w:val="24"/>
                <w:szCs w:val="24"/>
                <w:lang w:eastAsia="zh-CN"/>
                <w14:textFill>
                  <w14:solidFill>
                    <w14:schemeClr w14:val="tx1"/>
                  </w14:solidFill>
                </w14:textFill>
              </w:rPr>
              <w:t>会产生扬尘，呈无组织排放</w:t>
            </w:r>
            <w:r>
              <w:rPr>
                <w:rFonts w:hint="eastAsia" w:ascii="Times New Roman" w:hAnsi="Times New Roman" w:cs="Times New Roman"/>
                <w:color w:val="000000" w:themeColor="text1"/>
                <w:spacing w:val="-1"/>
                <w:sz w:val="24"/>
                <w:szCs w:val="24"/>
                <w:lang w:eastAsia="zh-CN"/>
                <w14:textFill>
                  <w14:solidFill>
                    <w14:schemeClr w14:val="tx1"/>
                  </w14:solidFill>
                </w14:textFill>
              </w:rPr>
              <w:t>；</w:t>
            </w:r>
            <w:r>
              <w:rPr>
                <w:rFonts w:ascii="Times New Roman" w:hAnsi="Times New Roman" w:cs="Times New Roman"/>
                <w:color w:val="000000" w:themeColor="text1"/>
                <w:spacing w:val="-1"/>
                <w:sz w:val="24"/>
                <w:szCs w:val="24"/>
                <w:lang w:eastAsia="zh-CN"/>
                <w14:textFill>
                  <w14:solidFill>
                    <w14:schemeClr w14:val="tx1"/>
                  </w14:solidFill>
                </w14:textFill>
              </w:rPr>
              <w:t>采用西安冶金建筑学院的起尘量推荐公式计算，公式为：</w:t>
            </w:r>
          </w:p>
          <w:p w14:paraId="3AED4EE1">
            <w:pPr>
              <w:spacing w:line="360" w:lineRule="auto"/>
              <w:ind w:left="1821"/>
              <w:rPr>
                <w:color w:val="000000" w:themeColor="text1"/>
                <w:sz w:val="24"/>
                <w14:textFill>
                  <w14:solidFill>
                    <w14:schemeClr w14:val="tx1"/>
                  </w14:solidFill>
                </w14:textFill>
              </w:rPr>
            </w:pPr>
            <w:r>
              <w:rPr>
                <w:color w:val="000000" w:themeColor="text1"/>
                <w:spacing w:val="-1"/>
                <w:position w:val="3"/>
                <w:sz w:val="24"/>
                <w14:textFill>
                  <w14:solidFill>
                    <w14:schemeClr w14:val="tx1"/>
                  </w14:solidFill>
                </w14:textFill>
              </w:rPr>
              <w:t>Q=4.23×10</w:t>
            </w:r>
            <w:r>
              <w:rPr>
                <w:color w:val="000000" w:themeColor="text1"/>
                <w:spacing w:val="-1"/>
                <w:position w:val="10"/>
                <w:sz w:val="24"/>
                <w14:textFill>
                  <w14:solidFill>
                    <w14:schemeClr w14:val="tx1"/>
                  </w14:solidFill>
                </w14:textFill>
              </w:rPr>
              <w:t>-4</w:t>
            </w:r>
            <w:r>
              <w:rPr>
                <w:color w:val="000000" w:themeColor="text1"/>
                <w:spacing w:val="-1"/>
                <w:position w:val="3"/>
                <w:sz w:val="24"/>
                <w14:textFill>
                  <w14:solidFill>
                    <w14:schemeClr w14:val="tx1"/>
                  </w14:solidFill>
                </w14:textFill>
              </w:rPr>
              <w:t>×U</w:t>
            </w:r>
            <w:r>
              <w:rPr>
                <w:color w:val="000000" w:themeColor="text1"/>
                <w:spacing w:val="-1"/>
                <w:position w:val="10"/>
                <w:sz w:val="24"/>
                <w14:textFill>
                  <w14:solidFill>
                    <w14:schemeClr w14:val="tx1"/>
                  </w14:solidFill>
                </w14:textFill>
              </w:rPr>
              <w:t>4.9</w:t>
            </w:r>
            <w:r>
              <w:rPr>
                <w:color w:val="000000" w:themeColor="text1"/>
                <w:spacing w:val="-19"/>
                <w:position w:val="10"/>
                <w:sz w:val="24"/>
                <w14:textFill>
                  <w14:solidFill>
                    <w14:schemeClr w14:val="tx1"/>
                  </w14:solidFill>
                </w14:textFill>
              </w:rPr>
              <w:t xml:space="preserve"> </w:t>
            </w:r>
            <w:r>
              <w:rPr>
                <w:color w:val="000000" w:themeColor="text1"/>
                <w:spacing w:val="-1"/>
                <w:position w:val="3"/>
                <w:sz w:val="24"/>
                <w14:textFill>
                  <w14:solidFill>
                    <w14:schemeClr w14:val="tx1"/>
                  </w14:solidFill>
                </w14:textFill>
              </w:rPr>
              <w:t>×AP</w:t>
            </w:r>
          </w:p>
          <w:p w14:paraId="1E7EEFF5">
            <w:pPr>
              <w:pStyle w:val="83"/>
              <w:spacing w:line="360" w:lineRule="auto"/>
              <w:ind w:left="1125"/>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pacing w:val="-1"/>
                <w:sz w:val="24"/>
                <w:szCs w:val="24"/>
                <w:lang w:eastAsia="zh-CN"/>
                <w14:textFill>
                  <w14:solidFill>
                    <w14:schemeClr w14:val="tx1"/>
                  </w14:solidFill>
                </w14:textFill>
              </w:rPr>
              <w:t>式中：Q—堆场起尘强度，mg/s；</w:t>
            </w:r>
          </w:p>
          <w:p w14:paraId="348D9164">
            <w:pPr>
              <w:pStyle w:val="83"/>
              <w:spacing w:line="360" w:lineRule="auto"/>
              <w:ind w:left="1715" w:right="3537"/>
              <w:rPr>
                <w:rFonts w:ascii="Times New Roman" w:hAnsi="Times New Roman" w:cs="Times New Roman"/>
                <w:color w:val="000000" w:themeColor="text1"/>
                <w:spacing w:val="-5"/>
                <w:sz w:val="24"/>
                <w:szCs w:val="24"/>
                <w:lang w:eastAsia="zh-CN"/>
                <w14:textFill>
                  <w14:solidFill>
                    <w14:schemeClr w14:val="tx1"/>
                  </w14:solidFill>
                </w14:textFill>
              </w:rPr>
            </w:pPr>
            <w:r>
              <w:rPr>
                <w:rFonts w:ascii="Times New Roman" w:hAnsi="Times New Roman" w:cs="Times New Roman"/>
                <w:color w:val="000000" w:themeColor="text1"/>
                <w:spacing w:val="-5"/>
                <w:sz w:val="24"/>
                <w:szCs w:val="24"/>
                <w:lang w:eastAsia="zh-CN"/>
                <w14:textFill>
                  <w14:solidFill>
                    <w14:schemeClr w14:val="tx1"/>
                  </w14:solidFill>
                </w14:textFill>
              </w:rPr>
              <w:t>U—地面平均风速</w:t>
            </w:r>
            <w:r>
              <w:rPr>
                <w:rFonts w:hint="eastAsia" w:ascii="Times New Roman" w:hAnsi="Times New Roman" w:cs="Times New Roman"/>
                <w:color w:val="000000" w:themeColor="text1"/>
                <w:spacing w:val="-5"/>
                <w:sz w:val="24"/>
                <w:szCs w:val="24"/>
                <w:lang w:eastAsia="zh-CN"/>
                <w14:textFill>
                  <w14:solidFill>
                    <w14:schemeClr w14:val="tx1"/>
                  </w14:solidFill>
                </w14:textFill>
              </w:rPr>
              <w:t>1.2</w:t>
            </w:r>
            <w:r>
              <w:rPr>
                <w:rFonts w:ascii="Times New Roman" w:hAnsi="Times New Roman" w:cs="Times New Roman"/>
                <w:color w:val="000000" w:themeColor="text1"/>
                <w:spacing w:val="-5"/>
                <w:sz w:val="24"/>
                <w:szCs w:val="24"/>
                <w:lang w:eastAsia="zh-CN"/>
                <w14:textFill>
                  <w14:solidFill>
                    <w14:schemeClr w14:val="tx1"/>
                  </w14:solidFill>
                </w14:textFill>
              </w:rPr>
              <w:t>m/s；</w:t>
            </w:r>
          </w:p>
          <w:p w14:paraId="18E2B158">
            <w:pPr>
              <w:pStyle w:val="83"/>
              <w:spacing w:line="360" w:lineRule="auto"/>
              <w:ind w:left="1715" w:right="3537"/>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color w:val="000000" w:themeColor="text1"/>
                <w:spacing w:val="-1"/>
                <w:sz w:val="24"/>
                <w:szCs w:val="24"/>
                <w:lang w:eastAsia="zh-CN"/>
                <w14:textFill>
                  <w14:solidFill>
                    <w14:schemeClr w14:val="tx1"/>
                  </w14:solidFill>
                </w14:textFill>
              </w:rPr>
              <w:t>AP—起尘面积，m</w:t>
            </w:r>
            <w:r>
              <w:rPr>
                <w:rFonts w:hint="eastAsia" w:ascii="Times New Roman" w:hAnsi="Times New Roman" w:cs="Times New Roman"/>
                <w:color w:val="000000" w:themeColor="text1"/>
                <w:spacing w:val="-1"/>
                <w:sz w:val="24"/>
                <w:szCs w:val="24"/>
                <w:vertAlign w:val="superscript"/>
                <w:lang w:eastAsia="zh-CN"/>
                <w14:textFill>
                  <w14:solidFill>
                    <w14:schemeClr w14:val="tx1"/>
                  </w14:solidFill>
                </w14:textFill>
              </w:rPr>
              <w:t>2</w:t>
            </w:r>
            <w:r>
              <w:rPr>
                <w:rFonts w:ascii="Times New Roman" w:hAnsi="Times New Roman" w:cs="Times New Roman"/>
                <w:color w:val="000000" w:themeColor="text1"/>
                <w:spacing w:val="-1"/>
                <w:sz w:val="24"/>
                <w:szCs w:val="24"/>
                <w:lang w:eastAsia="zh-CN"/>
                <w14:textFill>
                  <w14:solidFill>
                    <w14:schemeClr w14:val="tx1"/>
                  </w14:solidFill>
                </w14:textFill>
              </w:rPr>
              <w:t>；</w:t>
            </w:r>
          </w:p>
          <w:p w14:paraId="7A2D1B24">
            <w:pPr>
              <w:spacing w:line="360" w:lineRule="auto"/>
              <w:ind w:firstLine="496" w:firstLineChars="200"/>
              <w:rPr>
                <w:color w:val="000000" w:themeColor="text1"/>
                <w:sz w:val="24"/>
                <w14:textFill>
                  <w14:solidFill>
                    <w14:schemeClr w14:val="tx1"/>
                  </w14:solidFill>
                </w14:textFill>
              </w:rPr>
            </w:pPr>
            <w:r>
              <w:rPr>
                <w:rFonts w:hint="eastAsia"/>
                <w:color w:val="000000" w:themeColor="text1"/>
                <w:spacing w:val="4"/>
                <w:sz w:val="24"/>
                <w14:textFill>
                  <w14:solidFill>
                    <w14:schemeClr w14:val="tx1"/>
                  </w14:solidFill>
                </w14:textFill>
              </w:rPr>
              <w:t>项目堆场</w:t>
            </w:r>
            <w:r>
              <w:rPr>
                <w:color w:val="000000" w:themeColor="text1"/>
                <w:spacing w:val="4"/>
                <w:sz w:val="24"/>
                <w14:textFill>
                  <w14:solidFill>
                    <w14:schemeClr w14:val="tx1"/>
                  </w14:solidFill>
                </w14:textFill>
              </w:rPr>
              <w:t>面积</w:t>
            </w:r>
            <w:r>
              <w:rPr>
                <w:rFonts w:hint="eastAsia"/>
                <w:color w:val="000000" w:themeColor="text1"/>
                <w:spacing w:val="4"/>
                <w:sz w:val="24"/>
                <w14:textFill>
                  <w14:solidFill>
                    <w14:schemeClr w14:val="tx1"/>
                  </w14:solidFill>
                </w14:textFill>
              </w:rPr>
              <w:t>约250</w:t>
            </w:r>
            <w:r>
              <w:rPr>
                <w:color w:val="000000" w:themeColor="text1"/>
                <w:spacing w:val="4"/>
                <w:sz w:val="24"/>
                <w14:textFill>
                  <w14:solidFill>
                    <w14:schemeClr w14:val="tx1"/>
                  </w14:solidFill>
                </w14:textFill>
              </w:rPr>
              <w:t>m</w:t>
            </w:r>
            <w:r>
              <w:rPr>
                <w:color w:val="000000" w:themeColor="text1"/>
                <w:spacing w:val="4"/>
                <w:sz w:val="24"/>
                <w:vertAlign w:val="superscript"/>
                <w14:textFill>
                  <w14:solidFill>
                    <w14:schemeClr w14:val="tx1"/>
                  </w14:solidFill>
                </w14:textFill>
              </w:rPr>
              <w:t>2</w:t>
            </w:r>
            <w:r>
              <w:rPr>
                <w:color w:val="000000" w:themeColor="text1"/>
                <w:spacing w:val="4"/>
                <w:sz w:val="24"/>
                <w14:textFill>
                  <w14:solidFill>
                    <w14:schemeClr w14:val="tx1"/>
                  </w14:solidFill>
                </w14:textFill>
              </w:rPr>
              <w:t>，则计算堆场起尘量为</w:t>
            </w:r>
            <w:r>
              <w:rPr>
                <w:rFonts w:hint="eastAsia"/>
                <w:color w:val="000000" w:themeColor="text1"/>
                <w:spacing w:val="4"/>
                <w:sz w:val="24"/>
                <w14:textFill>
                  <w14:solidFill>
                    <w14:schemeClr w14:val="tx1"/>
                  </w14:solidFill>
                </w14:textFill>
              </w:rPr>
              <w:t>0.26mg</w:t>
            </w:r>
            <w:r>
              <w:rPr>
                <w:color w:val="000000" w:themeColor="text1"/>
                <w:spacing w:val="4"/>
                <w:sz w:val="24"/>
                <w14:textFill>
                  <w14:solidFill>
                    <w14:schemeClr w14:val="tx1"/>
                  </w14:solidFill>
                </w14:textFill>
              </w:rPr>
              <w:t>/</w:t>
            </w:r>
            <w:r>
              <w:rPr>
                <w:rFonts w:hint="eastAsia"/>
                <w:color w:val="000000" w:themeColor="text1"/>
                <w:spacing w:val="4"/>
                <w:sz w:val="24"/>
                <w14:textFill>
                  <w14:solidFill>
                    <w14:schemeClr w14:val="tx1"/>
                  </w14:solidFill>
                </w14:textFill>
              </w:rPr>
              <w:t>s</w:t>
            </w:r>
            <w:r>
              <w:rPr>
                <w:color w:val="000000" w:themeColor="text1"/>
                <w:spacing w:val="4"/>
                <w:sz w:val="24"/>
                <w14:textFill>
                  <w14:solidFill>
                    <w14:schemeClr w14:val="tx1"/>
                  </w14:solidFill>
                </w14:textFill>
              </w:rPr>
              <w:t>，</w:t>
            </w:r>
            <w:r>
              <w:rPr>
                <w:rFonts w:hint="eastAsia"/>
                <w:color w:val="000000" w:themeColor="text1"/>
                <w:spacing w:val="4"/>
                <w:sz w:val="24"/>
                <w14:textFill>
                  <w14:solidFill>
                    <w14:schemeClr w14:val="tx1"/>
                  </w14:solidFill>
                </w14:textFill>
              </w:rPr>
              <w:t>堆放</w:t>
            </w:r>
            <w:r>
              <w:rPr>
                <w:rFonts w:hint="eastAsia"/>
                <w:color w:val="000000" w:themeColor="text1"/>
                <w:sz w:val="24"/>
                <w14:textFill>
                  <w14:solidFill>
                    <w14:schemeClr w14:val="tx1"/>
                  </w14:solidFill>
                </w14:textFill>
              </w:rPr>
              <w:t>时间300天</w:t>
            </w:r>
          </w:p>
          <w:p w14:paraId="77CC2677">
            <w:pPr>
              <w:spacing w:line="36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24h起尘，</w:t>
            </w:r>
            <w:r>
              <w:rPr>
                <w:color w:val="000000" w:themeColor="text1"/>
                <w:spacing w:val="4"/>
                <w:sz w:val="24"/>
                <w14:textFill>
                  <w14:solidFill>
                    <w14:schemeClr w14:val="tx1"/>
                  </w14:solidFill>
                </w14:textFill>
              </w:rPr>
              <w:t>即为</w:t>
            </w:r>
            <w:r>
              <w:rPr>
                <w:rFonts w:hint="eastAsia"/>
                <w:color w:val="000000" w:themeColor="text1"/>
                <w:spacing w:val="4"/>
                <w:sz w:val="24"/>
                <w14:textFill>
                  <w14:solidFill>
                    <w14:schemeClr w14:val="tx1"/>
                  </w14:solidFill>
                </w14:textFill>
              </w:rPr>
              <w:t>0.007</w:t>
            </w:r>
            <w:r>
              <w:rPr>
                <w:color w:val="000000" w:themeColor="text1"/>
                <w:spacing w:val="4"/>
                <w:sz w:val="24"/>
                <w14:textFill>
                  <w14:solidFill>
                    <w14:schemeClr w14:val="tx1"/>
                  </w14:solidFill>
                </w14:textFill>
              </w:rPr>
              <w:t>t/a</w:t>
            </w:r>
            <w:r>
              <w:rPr>
                <w:rFonts w:hint="eastAsia"/>
                <w:color w:val="000000" w:themeColor="text1"/>
                <w:spacing w:val="4"/>
                <w:sz w:val="24"/>
                <w14:textFill>
                  <w14:solidFill>
                    <w14:schemeClr w14:val="tx1"/>
                  </w14:solidFill>
                </w14:textFill>
              </w:rPr>
              <w:t>，0.001kg/h</w:t>
            </w:r>
            <w:r>
              <w:rPr>
                <w:rFonts w:hint="eastAsia"/>
                <w:color w:val="000000" w:themeColor="text1"/>
                <w:sz w:val="24"/>
                <w14:textFill>
                  <w14:solidFill>
                    <w14:schemeClr w14:val="tx1"/>
                  </w14:solidFill>
                </w14:textFill>
              </w:rPr>
              <w:t>。西侧厂房内</w:t>
            </w:r>
            <w:r>
              <w:rPr>
                <w:rFonts w:hint="eastAsia"/>
                <w:color w:val="000000" w:themeColor="text1"/>
                <w:spacing w:val="4"/>
                <w:sz w:val="24"/>
                <w14:textFill>
                  <w14:solidFill>
                    <w14:schemeClr w14:val="tx1"/>
                  </w14:solidFill>
                </w14:textFill>
              </w:rPr>
              <w:t>设置一台移动式雾炮机，并在密闭式的厂房内进行，根据《固体物料堆存颗粒物产排污核算系数手册》，表4粉尘控制措施-洒水抑制效率为74%；项目密闭式厂房物料运输时会打开，按照半敞开式厂房抑制效率为60%，综合抑制效率为90%，</w:t>
            </w:r>
            <w:r>
              <w:rPr>
                <w:color w:val="000000" w:themeColor="text1"/>
                <w:spacing w:val="4"/>
                <w:sz w:val="24"/>
                <w14:textFill>
                  <w14:solidFill>
                    <w14:schemeClr w14:val="tx1"/>
                  </w14:solidFill>
                </w14:textFill>
              </w:rPr>
              <w:t>堆场扬尘排放量为</w:t>
            </w:r>
            <w:r>
              <w:rPr>
                <w:rFonts w:hint="eastAsia"/>
                <w:color w:val="000000" w:themeColor="text1"/>
                <w:spacing w:val="4"/>
                <w:sz w:val="24"/>
                <w14:textFill>
                  <w14:solidFill>
                    <w14:schemeClr w14:val="tx1"/>
                  </w14:solidFill>
                </w14:textFill>
              </w:rPr>
              <w:t>0.0007</w:t>
            </w:r>
            <w:r>
              <w:rPr>
                <w:color w:val="000000" w:themeColor="text1"/>
                <w:spacing w:val="4"/>
                <w:sz w:val="24"/>
                <w14:textFill>
                  <w14:solidFill>
                    <w14:schemeClr w14:val="tx1"/>
                  </w14:solidFill>
                </w14:textFill>
              </w:rPr>
              <w:t>t/a</w:t>
            </w:r>
            <w:r>
              <w:rPr>
                <w:rFonts w:hint="eastAsia"/>
                <w:color w:val="000000" w:themeColor="text1"/>
                <w:spacing w:val="4"/>
                <w:sz w:val="24"/>
                <w14:textFill>
                  <w14:solidFill>
                    <w14:schemeClr w14:val="tx1"/>
                  </w14:solidFill>
                </w14:textFill>
              </w:rPr>
              <w:t>，0.0001kg/h</w:t>
            </w:r>
            <w:r>
              <w:rPr>
                <w:rFonts w:hint="eastAsia"/>
                <w:color w:val="000000" w:themeColor="text1"/>
                <w:sz w:val="24"/>
                <w14:textFill>
                  <w14:solidFill>
                    <w14:schemeClr w14:val="tx1"/>
                  </w14:solidFill>
                </w14:textFill>
              </w:rPr>
              <w:t>。</w:t>
            </w:r>
          </w:p>
          <w:p w14:paraId="284B218D">
            <w:pPr>
              <w:pStyle w:val="82"/>
              <w:spacing w:line="360" w:lineRule="auto"/>
              <w:ind w:firstLine="482" w:firstLineChars="200"/>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（2）原料混合粉尘</w:t>
            </w:r>
          </w:p>
          <w:p w14:paraId="11DA152A">
            <w:pPr>
              <w:pStyle w:val="16"/>
              <w:adjustRightInd w:val="0"/>
              <w:spacing w:line="360" w:lineRule="auto"/>
              <w:ind w:firstLine="480" w:firstLineChars="200"/>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本项目采取</w:t>
            </w:r>
            <w:r>
              <w:rPr>
                <w:rFonts w:hint="eastAsia"/>
                <w:color w:val="000000" w:themeColor="text1"/>
                <w:sz w:val="24"/>
                <w:szCs w:val="24"/>
                <w14:textFill>
                  <w14:solidFill>
                    <w14:schemeClr w14:val="tx1"/>
                  </w14:solidFill>
                </w14:textFill>
              </w:rPr>
              <w:t>装载机进行原料混合，西侧和</w:t>
            </w:r>
            <w:r>
              <w:rPr>
                <w:rFonts w:hint="eastAsia"/>
                <w:color w:val="000000" w:themeColor="text1"/>
                <w:sz w:val="24"/>
                <w14:textFill>
                  <w14:solidFill>
                    <w14:schemeClr w14:val="tx1"/>
                  </w14:solidFill>
                </w14:textFill>
              </w:rPr>
              <w:t>东侧厂房内各</w:t>
            </w:r>
            <w:r>
              <w:rPr>
                <w:rFonts w:hint="eastAsia"/>
                <w:color w:val="000000" w:themeColor="text1"/>
                <w:spacing w:val="4"/>
                <w:sz w:val="24"/>
                <w:szCs w:val="24"/>
                <w14:textFill>
                  <w14:solidFill>
                    <w14:schemeClr w14:val="tx1"/>
                  </w14:solidFill>
                </w14:textFill>
              </w:rPr>
              <w:t>设置一台移动式雾炮机，并在密闭式的厂房内进行。</w:t>
            </w:r>
          </w:p>
          <w:p w14:paraId="6CCE749D">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参考</w:t>
            </w:r>
            <w:r>
              <w:rPr>
                <w:color w:val="000000" w:themeColor="text1"/>
                <w:sz w:val="24"/>
                <w:lang w:val="zh-CN"/>
                <w14:textFill>
                  <w14:solidFill>
                    <w14:schemeClr w14:val="tx1"/>
                  </w14:solidFill>
                </w14:textFill>
              </w:rPr>
              <w:t>《逸散性工业粉尘控制技术》</w:t>
            </w:r>
            <w:r>
              <w:rPr>
                <w:rFonts w:hint="eastAsia"/>
                <w:color w:val="000000" w:themeColor="text1"/>
                <w:sz w:val="24"/>
                <w14:textFill>
                  <w14:solidFill>
                    <w14:schemeClr w14:val="tx1"/>
                  </w14:solidFill>
                </w14:textFill>
              </w:rPr>
              <w:t xml:space="preserve">第十八章 表18-1 </w:t>
            </w:r>
            <w:r>
              <w:rPr>
                <w:color w:val="000000" w:themeColor="text1"/>
                <w:sz w:val="24"/>
                <w:lang w:val="zh-CN"/>
                <w14:textFill>
                  <w14:solidFill>
                    <w14:schemeClr w14:val="tx1"/>
                  </w14:solidFill>
                </w14:textFill>
              </w:rPr>
              <w:t>粉尘产生量以0.01kg/t（</w:t>
            </w:r>
            <w:r>
              <w:rPr>
                <w:rFonts w:hint="eastAsia"/>
                <w:color w:val="000000" w:themeColor="text1"/>
                <w:sz w:val="24"/>
                <w14:textFill>
                  <w14:solidFill>
                    <w14:schemeClr w14:val="tx1"/>
                  </w14:solidFill>
                </w14:textFill>
              </w:rPr>
              <w:t>装</w:t>
            </w:r>
            <w:r>
              <w:rPr>
                <w:color w:val="000000" w:themeColor="text1"/>
                <w:sz w:val="24"/>
                <w:lang w:val="zh-CN"/>
                <w14:textFill>
                  <w14:solidFill>
                    <w14:schemeClr w14:val="tx1"/>
                  </w14:solidFill>
                </w14:textFill>
              </w:rPr>
              <w:t>卸料）计</w:t>
            </w:r>
            <w:r>
              <w:rPr>
                <w:color w:val="000000" w:themeColor="text1"/>
                <w:sz w:val="24"/>
                <w14:textFill>
                  <w14:solidFill>
                    <w14:schemeClr w14:val="tx1"/>
                  </w14:solidFill>
                </w14:textFill>
              </w:rPr>
              <w:t>，本项目生产过程</w:t>
            </w:r>
            <w:r>
              <w:rPr>
                <w:rFonts w:hint="eastAsia"/>
                <w:color w:val="000000" w:themeColor="text1"/>
                <w:sz w:val="24"/>
                <w14:textFill>
                  <w14:solidFill>
                    <w14:schemeClr w14:val="tx1"/>
                  </w14:solidFill>
                </w14:textFill>
              </w:rPr>
              <w:t>原料主要为低变质褐煤、锯木屑、尿素，低变质褐煤含水率为30%-40%，不易产尘；尿素溶解在水中进行使用，故产尘原料主要为锯木屑，总用量为10000</w:t>
            </w:r>
            <w:r>
              <w:rPr>
                <w:color w:val="000000" w:themeColor="text1"/>
                <w:sz w:val="24"/>
                <w14:textFill>
                  <w14:solidFill>
                    <w14:schemeClr w14:val="tx1"/>
                  </w14:solidFill>
                </w14:textFill>
              </w:rPr>
              <w:t>t/a，则粉尘产生量为</w:t>
            </w:r>
            <w:r>
              <w:rPr>
                <w:rFonts w:hint="eastAsia"/>
                <w:color w:val="000000" w:themeColor="text1"/>
                <w:sz w:val="24"/>
                <w14:textFill>
                  <w14:solidFill>
                    <w14:schemeClr w14:val="tx1"/>
                  </w14:solidFill>
                </w14:textFill>
              </w:rPr>
              <w:t>0.1</w:t>
            </w:r>
            <w:r>
              <w:rPr>
                <w:color w:val="000000" w:themeColor="text1"/>
                <w:sz w:val="24"/>
                <w14:textFill>
                  <w14:solidFill>
                    <w14:schemeClr w14:val="tx1"/>
                  </w14:solidFill>
                </w14:textFill>
              </w:rPr>
              <w:t>t/a</w:t>
            </w:r>
            <w:r>
              <w:rPr>
                <w:rFonts w:hint="eastAsia"/>
                <w:color w:val="000000" w:themeColor="text1"/>
                <w:sz w:val="24"/>
                <w14:textFill>
                  <w14:solidFill>
                    <w14:schemeClr w14:val="tx1"/>
                  </w14:solidFill>
                </w14:textFill>
              </w:rPr>
              <w:t>，0.03kg/h</w:t>
            </w:r>
            <w:r>
              <w:rPr>
                <w:color w:val="000000" w:themeColor="text1"/>
                <w:sz w:val="24"/>
                <w14:textFill>
                  <w14:solidFill>
                    <w14:schemeClr w14:val="tx1"/>
                  </w14:solidFill>
                </w14:textFill>
              </w:rPr>
              <w:t>。</w:t>
            </w:r>
            <w:r>
              <w:rPr>
                <w:rFonts w:hint="eastAsia"/>
                <w:color w:val="000000" w:themeColor="text1"/>
                <w:spacing w:val="4"/>
                <w:sz w:val="24"/>
                <w14:textFill>
                  <w14:solidFill>
                    <w14:schemeClr w14:val="tx1"/>
                  </w14:solidFill>
                </w14:textFill>
              </w:rPr>
              <w:t>洒水抑尘效率为74%，半敞开式厂房抑尘效率为60%，综合抑尘效率为90%，混合粉尘</w:t>
            </w:r>
            <w:r>
              <w:rPr>
                <w:color w:val="000000" w:themeColor="text1"/>
                <w:spacing w:val="4"/>
                <w:sz w:val="24"/>
                <w14:textFill>
                  <w14:solidFill>
                    <w14:schemeClr w14:val="tx1"/>
                  </w14:solidFill>
                </w14:textFill>
              </w:rPr>
              <w:t>排放量为</w:t>
            </w:r>
            <w:r>
              <w:rPr>
                <w:rFonts w:hint="eastAsia"/>
                <w:color w:val="000000" w:themeColor="text1"/>
                <w:spacing w:val="4"/>
                <w:sz w:val="24"/>
                <w14:textFill>
                  <w14:solidFill>
                    <w14:schemeClr w14:val="tx1"/>
                  </w14:solidFill>
                </w14:textFill>
              </w:rPr>
              <w:t>0.01</w:t>
            </w:r>
            <w:r>
              <w:rPr>
                <w:color w:val="000000" w:themeColor="text1"/>
                <w:spacing w:val="4"/>
                <w:sz w:val="24"/>
                <w14:textFill>
                  <w14:solidFill>
                    <w14:schemeClr w14:val="tx1"/>
                  </w14:solidFill>
                </w14:textFill>
              </w:rPr>
              <w:t>t/a</w:t>
            </w:r>
            <w:r>
              <w:rPr>
                <w:rFonts w:hint="eastAsia"/>
                <w:color w:val="000000" w:themeColor="text1"/>
                <w:spacing w:val="4"/>
                <w:sz w:val="24"/>
                <w14:textFill>
                  <w14:solidFill>
                    <w14:schemeClr w14:val="tx1"/>
                  </w14:solidFill>
                </w14:textFill>
              </w:rPr>
              <w:t>，0.003kg/h</w:t>
            </w:r>
            <w:r>
              <w:rPr>
                <w:rFonts w:hint="eastAsia"/>
                <w:color w:val="000000" w:themeColor="text1"/>
                <w:sz w:val="24"/>
                <w14:textFill>
                  <w14:solidFill>
                    <w14:schemeClr w14:val="tx1"/>
                  </w14:solidFill>
                </w14:textFill>
              </w:rPr>
              <w:t>。</w:t>
            </w:r>
          </w:p>
          <w:p w14:paraId="64BC10FC">
            <w:pPr>
              <w:pStyle w:val="82"/>
              <w:spacing w:line="360" w:lineRule="auto"/>
              <w:ind w:firstLine="482" w:firstLineChars="200"/>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（3）堆肥发酵异味</w:t>
            </w:r>
          </w:p>
          <w:p w14:paraId="6E7AD577">
            <w:pPr>
              <w:pStyle w:val="82"/>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在常规化学研究中，尿素在100℃时不会分解产生气体。尿素是一种稳定的有机化合物，其分解需要达到一定的温度条件。一般来说，当温度超过130℃时，尿素才会开始逐渐分解，分解过程中会产生气体，如氨气、二氧化碳等。所以，本项目在堆肥过程中最高温度为70</w:t>
            </w: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且持续时间较短，达不到尿素分解的温度，不会发生尿素分解反应从而产生气体。</w:t>
            </w:r>
          </w:p>
          <w:p w14:paraId="72B3AFE7">
            <w:pPr>
              <w:pStyle w:val="82"/>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项目生产线采用低变质褐煤、锯木屑、尿素作为原料，不使用粪便，发酵工序产生少量异味气体。低变质褐煤中主要成分为有机质和腐殖酸，根据查阅相关资料，腐殖酸大分子的基本结构是芳环和脂环组成，环上连有羟基、羧基、羰基、甲氧基等官能团，并含有一定量的自由基，具有生理活性，和锯木屑、尿素在堆肥发酵过程中会产生少量的异味。</w:t>
            </w:r>
          </w:p>
          <w:p w14:paraId="007DD4E7">
            <w:pPr>
              <w:pStyle w:val="82"/>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在发酵期间采用稀释后的微生物除臭剂对发酵区物料进行除臭，参考文献《除</w:t>
            </w:r>
          </w:p>
          <w:p w14:paraId="491E3D2E">
            <w:pPr>
              <w:pStyle w:val="82"/>
              <w:spacing w:line="360" w:lineRule="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臭菌株对NH</w:t>
            </w:r>
            <w:r>
              <w:rPr>
                <w:rFonts w:hint="eastAsia"/>
                <w:color w:val="000000" w:themeColor="text1"/>
                <w:sz w:val="24"/>
                <w:szCs w:val="24"/>
                <w:vertAlign w:val="subscript"/>
                <w14:textFill>
                  <w14:solidFill>
                    <w14:schemeClr w14:val="tx1"/>
                  </w14:solidFill>
                </w14:textFill>
              </w:rPr>
              <w:t>3</w:t>
            </w:r>
            <w:r>
              <w:rPr>
                <w:rFonts w:hint="eastAsia"/>
                <w:color w:val="000000" w:themeColor="text1"/>
                <w:sz w:val="24"/>
                <w:szCs w:val="24"/>
                <w14:textFill>
                  <w14:solidFill>
                    <w14:schemeClr w14:val="tx1"/>
                  </w14:solidFill>
                </w14:textFill>
              </w:rPr>
              <w:t>和 H</w:t>
            </w:r>
            <w:r>
              <w:rPr>
                <w:rFonts w:hint="eastAsia"/>
                <w:color w:val="000000" w:themeColor="text1"/>
                <w:sz w:val="24"/>
                <w:szCs w:val="24"/>
                <w:vertAlign w:val="subscript"/>
                <w14:textFill>
                  <w14:solidFill>
                    <w14:schemeClr w14:val="tx1"/>
                  </w14:solidFill>
                </w14:textFill>
              </w:rPr>
              <w:t>2</w:t>
            </w:r>
            <w:r>
              <w:rPr>
                <w:rFonts w:hint="eastAsia"/>
                <w:color w:val="000000" w:themeColor="text1"/>
                <w:sz w:val="24"/>
                <w:szCs w:val="24"/>
                <w14:textFill>
                  <w14:solidFill>
                    <w14:schemeClr w14:val="tx1"/>
                  </w14:solidFill>
                </w14:textFill>
              </w:rPr>
              <w:t>S 释放及物质转化的影响》（农业环境科学学报，2011，30（3）：585-590，刘春梅，徐凤花等）：添加除臭剂后，有机肥在发酵过程中将减少50%以上的恶臭气体产生量。本项目采取生产时厂房密闭，定期喷洒生物除臭剂对恶臭进行控制，并在厂房的顶部安装有抽排风系统，产生的少量恶臭经车间顶部抽排风系统无组织排放，对周围环境影响不大。</w:t>
            </w:r>
          </w:p>
          <w:p w14:paraId="1CCD70F2">
            <w:pPr>
              <w:pStyle w:val="82"/>
              <w:spacing w:line="360" w:lineRule="auto"/>
              <w:ind w:firstLine="482" w:firstLineChars="200"/>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（4）包装粉尘</w:t>
            </w:r>
          </w:p>
          <w:p w14:paraId="1F19B56D">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发酵完成后的物料，质地松软，体积缩小，含水率约为10%-30%，在包装过程中会产生少量的粉尘，粉尘包含给料粉尘和包装机粉尘。给料</w:t>
            </w:r>
            <w:r>
              <w:rPr>
                <w:color w:val="000000" w:themeColor="text1"/>
                <w:sz w:val="24"/>
                <w:lang w:val="zh-CN"/>
                <w14:textFill>
                  <w14:solidFill>
                    <w14:schemeClr w14:val="tx1"/>
                  </w14:solidFill>
                </w14:textFill>
              </w:rPr>
              <w:t>粉尘</w:t>
            </w:r>
            <w:r>
              <w:rPr>
                <w:rFonts w:hint="eastAsia"/>
                <w:color w:val="000000" w:themeColor="text1"/>
                <w:sz w:val="24"/>
                <w14:textFill>
                  <w14:solidFill>
                    <w14:schemeClr w14:val="tx1"/>
                  </w14:solidFill>
                </w14:textFill>
              </w:rPr>
              <w:t>参考</w:t>
            </w:r>
            <w:r>
              <w:rPr>
                <w:color w:val="000000" w:themeColor="text1"/>
                <w:sz w:val="24"/>
                <w:lang w:val="zh-CN"/>
                <w14:textFill>
                  <w14:solidFill>
                    <w14:schemeClr w14:val="tx1"/>
                  </w14:solidFill>
                </w14:textFill>
              </w:rPr>
              <w:t>《逸散性工业粉尘控制技术》</w:t>
            </w:r>
            <w:r>
              <w:rPr>
                <w:rFonts w:hint="eastAsia"/>
                <w:color w:val="000000" w:themeColor="text1"/>
                <w:sz w:val="24"/>
                <w14:textFill>
                  <w14:solidFill>
                    <w14:schemeClr w14:val="tx1"/>
                  </w14:solidFill>
                </w14:textFill>
              </w:rPr>
              <w:t xml:space="preserve">第十八章 表18-1 </w:t>
            </w:r>
            <w:r>
              <w:rPr>
                <w:color w:val="000000" w:themeColor="text1"/>
                <w:sz w:val="24"/>
                <w:lang w:val="zh-CN"/>
                <w14:textFill>
                  <w14:solidFill>
                    <w14:schemeClr w14:val="tx1"/>
                  </w14:solidFill>
                </w14:textFill>
              </w:rPr>
              <w:t>产生量以0.01kg/t（</w:t>
            </w:r>
            <w:r>
              <w:rPr>
                <w:rFonts w:hint="eastAsia"/>
                <w:color w:val="000000" w:themeColor="text1"/>
                <w:sz w:val="24"/>
                <w14:textFill>
                  <w14:solidFill>
                    <w14:schemeClr w14:val="tx1"/>
                  </w14:solidFill>
                </w14:textFill>
              </w:rPr>
              <w:t>装</w:t>
            </w:r>
            <w:r>
              <w:rPr>
                <w:color w:val="000000" w:themeColor="text1"/>
                <w:sz w:val="24"/>
                <w:lang w:val="zh-CN"/>
                <w14:textFill>
                  <w14:solidFill>
                    <w14:schemeClr w14:val="tx1"/>
                  </w14:solidFill>
                </w14:textFill>
              </w:rPr>
              <w:t>卸料）计</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包装粉尘产生量参照给料粉尘，则包装环节粉尘产生量以</w:t>
            </w:r>
            <w:r>
              <w:rPr>
                <w:color w:val="000000" w:themeColor="text1"/>
                <w:sz w:val="24"/>
                <w:lang w:val="zh-CN"/>
                <w14:textFill>
                  <w14:solidFill>
                    <w14:schemeClr w14:val="tx1"/>
                  </w14:solidFill>
                </w14:textFill>
              </w:rPr>
              <w:t>0.0</w:t>
            </w:r>
            <w:r>
              <w:rPr>
                <w:rFonts w:hint="eastAsia"/>
                <w:color w:val="000000" w:themeColor="text1"/>
                <w:sz w:val="24"/>
                <w14:textFill>
                  <w14:solidFill>
                    <w14:schemeClr w14:val="tx1"/>
                  </w14:solidFill>
                </w14:textFill>
              </w:rPr>
              <w:t>2</w:t>
            </w:r>
            <w:r>
              <w:rPr>
                <w:color w:val="000000" w:themeColor="text1"/>
                <w:sz w:val="24"/>
                <w:lang w:val="zh-CN"/>
                <w14:textFill>
                  <w14:solidFill>
                    <w14:schemeClr w14:val="tx1"/>
                  </w14:solidFill>
                </w14:textFill>
              </w:rPr>
              <w:t>kg/t计</w:t>
            </w:r>
            <w:r>
              <w:rPr>
                <w:rFonts w:hint="eastAsia"/>
                <w:color w:val="000000" w:themeColor="text1"/>
                <w:sz w:val="24"/>
                <w:lang w:val="zh-CN"/>
                <w14:textFill>
                  <w14:solidFill>
                    <w14:schemeClr w14:val="tx1"/>
                  </w14:solidFill>
                </w14:textFill>
              </w:rPr>
              <w:t>。</w:t>
            </w:r>
          </w:p>
          <w:p w14:paraId="59247AF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w:t>
            </w:r>
            <w:r>
              <w:rPr>
                <w:rFonts w:hint="eastAsia"/>
                <w:color w:val="000000" w:themeColor="text1"/>
                <w:sz w:val="24"/>
                <w14:textFill>
                  <w14:solidFill>
                    <w14:schemeClr w14:val="tx1"/>
                  </w14:solidFill>
                </w14:textFill>
              </w:rPr>
              <w:t>产品共计5万</w:t>
            </w:r>
            <w:r>
              <w:rPr>
                <w:color w:val="000000" w:themeColor="text1"/>
                <w:sz w:val="24"/>
                <w14:textFill>
                  <w14:solidFill>
                    <w14:schemeClr w14:val="tx1"/>
                  </w14:solidFill>
                </w14:textFill>
              </w:rPr>
              <w:t>t/a，则粉尘产生量为</w:t>
            </w: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t/a</w:t>
            </w:r>
            <w:r>
              <w:rPr>
                <w:rFonts w:hint="eastAsia"/>
                <w:color w:val="000000" w:themeColor="text1"/>
                <w:sz w:val="24"/>
                <w14:textFill>
                  <w14:solidFill>
                    <w14:schemeClr w14:val="tx1"/>
                  </w14:solidFill>
                </w14:textFill>
              </w:rPr>
              <w:t>，0.3kg/h</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包装位于包装区内进行，东侧厂房内</w:t>
            </w:r>
            <w:r>
              <w:rPr>
                <w:rFonts w:hint="eastAsia"/>
                <w:color w:val="000000" w:themeColor="text1"/>
                <w:spacing w:val="4"/>
                <w:sz w:val="24"/>
                <w14:textFill>
                  <w14:solidFill>
                    <w14:schemeClr w14:val="tx1"/>
                  </w14:solidFill>
                </w14:textFill>
              </w:rPr>
              <w:t>设置一台移动式雾炮机，并在半封闭式的厂房内进行，洒水抑尘效率为74%，半敞开式厂房抑尘效率为60%，综合抑尘效率为90%，</w:t>
            </w:r>
            <w:r>
              <w:rPr>
                <w:rFonts w:hint="eastAsia"/>
                <w:color w:val="000000" w:themeColor="text1"/>
                <w:sz w:val="24"/>
                <w14:textFill>
                  <w14:solidFill>
                    <w14:schemeClr w14:val="tx1"/>
                  </w14:solidFill>
                </w14:textFill>
              </w:rPr>
              <w:t>包装</w:t>
            </w:r>
            <w:r>
              <w:rPr>
                <w:rFonts w:hint="eastAsia"/>
                <w:color w:val="000000" w:themeColor="text1"/>
                <w:spacing w:val="4"/>
                <w:sz w:val="24"/>
                <w14:textFill>
                  <w14:solidFill>
                    <w14:schemeClr w14:val="tx1"/>
                  </w14:solidFill>
                </w14:textFill>
              </w:rPr>
              <w:t>粉尘</w:t>
            </w:r>
            <w:r>
              <w:rPr>
                <w:color w:val="000000" w:themeColor="text1"/>
                <w:spacing w:val="4"/>
                <w:sz w:val="24"/>
                <w14:textFill>
                  <w14:solidFill>
                    <w14:schemeClr w14:val="tx1"/>
                  </w14:solidFill>
                </w14:textFill>
              </w:rPr>
              <w:t>排放量为</w:t>
            </w:r>
            <w:r>
              <w:rPr>
                <w:rFonts w:hint="eastAsia"/>
                <w:color w:val="000000" w:themeColor="text1"/>
                <w:spacing w:val="4"/>
                <w:sz w:val="24"/>
                <w14:textFill>
                  <w14:solidFill>
                    <w14:schemeClr w14:val="tx1"/>
                  </w14:solidFill>
                </w14:textFill>
              </w:rPr>
              <w:t>0.1</w:t>
            </w:r>
            <w:r>
              <w:rPr>
                <w:color w:val="000000" w:themeColor="text1"/>
                <w:spacing w:val="4"/>
                <w:sz w:val="24"/>
                <w14:textFill>
                  <w14:solidFill>
                    <w14:schemeClr w14:val="tx1"/>
                  </w14:solidFill>
                </w14:textFill>
              </w:rPr>
              <w:t>t/a</w:t>
            </w:r>
            <w:r>
              <w:rPr>
                <w:rFonts w:hint="eastAsia"/>
                <w:color w:val="000000" w:themeColor="text1"/>
                <w:spacing w:val="4"/>
                <w:sz w:val="24"/>
                <w14:textFill>
                  <w14:solidFill>
                    <w14:schemeClr w14:val="tx1"/>
                  </w14:solidFill>
                </w14:textFill>
              </w:rPr>
              <w:t>，0.03kg/h</w:t>
            </w:r>
            <w:r>
              <w:rPr>
                <w:rFonts w:hint="eastAsia"/>
                <w:color w:val="000000" w:themeColor="text1"/>
                <w:sz w:val="24"/>
                <w14:textFill>
                  <w14:solidFill>
                    <w14:schemeClr w14:val="tx1"/>
                  </w14:solidFill>
                </w14:textFill>
              </w:rPr>
              <w:t>。</w:t>
            </w:r>
          </w:p>
          <w:p w14:paraId="654DA636">
            <w:pPr>
              <w:spacing w:line="360" w:lineRule="auto"/>
              <w:ind w:firstLine="48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（5）运输扬尘</w:t>
            </w:r>
          </w:p>
          <w:p w14:paraId="4F993485">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区物料在生产时需要进行转运，转运由西区厂房至东区厂房最长距离为250m，运输车辆主要为中型运输汽车，载重20t以上，车厢密闭性较好，物料泼洒量极低。下面对场内道路扬尘进行估算，起尘量按下式计算：</w:t>
            </w:r>
          </w:p>
          <w:p w14:paraId="4E3CA78A">
            <w:pPr>
              <w:spacing w:line="360" w:lineRule="auto"/>
              <w:ind w:firstLine="480"/>
              <w:jc w:val="center"/>
              <w:rPr>
                <w:color w:val="000000" w:themeColor="text1"/>
                <w:sz w:val="24"/>
                <w14:textFill>
                  <w14:solidFill>
                    <w14:schemeClr w14:val="tx1"/>
                  </w14:solidFill>
                </w14:textFill>
              </w:rPr>
            </w:pPr>
            <w:r>
              <w:rPr>
                <w:color w:val="000000" w:themeColor="text1"/>
                <w14:textFill>
                  <w14:solidFill>
                    <w14:schemeClr w14:val="tx1"/>
                  </w14:solidFill>
                </w14:textFill>
              </w:rPr>
              <w:drawing>
                <wp:inline distT="0" distB="0" distL="114300" distR="114300">
                  <wp:extent cx="2289175" cy="762635"/>
                  <wp:effectExtent l="0" t="0" r="15875" b="18415"/>
                  <wp:docPr id="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1"/>
                          <pic:cNvPicPr>
                            <a:picLocks noChangeAspect="1"/>
                          </pic:cNvPicPr>
                        </pic:nvPicPr>
                        <pic:blipFill>
                          <a:blip r:embed="rId23"/>
                          <a:stretch>
                            <a:fillRect/>
                          </a:stretch>
                        </pic:blipFill>
                        <pic:spPr>
                          <a:xfrm>
                            <a:off x="0" y="0"/>
                            <a:ext cx="2289175" cy="762635"/>
                          </a:xfrm>
                          <a:prstGeom prst="rect">
                            <a:avLst/>
                          </a:prstGeom>
                          <a:noFill/>
                          <a:ln>
                            <a:noFill/>
                          </a:ln>
                        </pic:spPr>
                      </pic:pic>
                    </a:graphicData>
                  </a:graphic>
                </wp:inline>
              </w:drawing>
            </w:r>
          </w:p>
          <w:p w14:paraId="330EAF87">
            <w:pPr>
              <w:spacing w:line="360" w:lineRule="auto"/>
              <w:ind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式中：Q</w:t>
            </w:r>
            <w:r>
              <w:rPr>
                <w:rFonts w:hint="eastAsia"/>
                <w:color w:val="000000" w:themeColor="text1"/>
                <w:sz w:val="24"/>
                <w:vertAlign w:val="subscript"/>
                <w14:textFill>
                  <w14:solidFill>
                    <w14:schemeClr w14:val="tx1"/>
                  </w14:solidFill>
                </w14:textFill>
              </w:rPr>
              <w:t>P</w:t>
            </w:r>
            <w:r>
              <w:rPr>
                <w:rFonts w:hint="eastAsia"/>
                <w:color w:val="000000" w:themeColor="text1"/>
                <w:sz w:val="24"/>
                <w14:textFill>
                  <w14:solidFill>
                    <w14:schemeClr w14:val="tx1"/>
                  </w14:solidFill>
                </w14:textFill>
              </w:rPr>
              <w:t>—道路扬尘量（kg/km·辆）；</w:t>
            </w:r>
          </w:p>
          <w:p w14:paraId="239A31A9">
            <w:pPr>
              <w:spacing w:line="360" w:lineRule="auto"/>
              <w:ind w:firstLine="1024" w:firstLineChars="427"/>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Q</w:t>
            </w:r>
            <w:r>
              <w:rPr>
                <w:rFonts w:hint="eastAsia"/>
                <w:color w:val="000000" w:themeColor="text1"/>
                <w:sz w:val="24"/>
                <w:vertAlign w:val="subscript"/>
                <w14:textFill>
                  <w14:solidFill>
                    <w14:schemeClr w14:val="tx1"/>
                  </w14:solidFill>
                </w14:textFill>
              </w:rPr>
              <w:t>P</w:t>
            </w:r>
            <w:r>
              <w:rPr>
                <w:rFonts w:hint="eastAsia"/>
                <w:color w:val="000000" w:themeColor="text1"/>
                <w:sz w:val="24"/>
                <w:vertAlign w:val="superscript"/>
                <w14:textFill>
                  <w14:solidFill>
                    <w14:schemeClr w14:val="tx1"/>
                  </w14:solidFill>
                </w14:textFill>
              </w:rPr>
              <w:t>1</w:t>
            </w:r>
            <w:r>
              <w:rPr>
                <w:rFonts w:hint="eastAsia"/>
                <w:color w:val="000000" w:themeColor="text1"/>
                <w:sz w:val="24"/>
                <w14:textFill>
                  <w14:solidFill>
                    <w14:schemeClr w14:val="tx1"/>
                  </w14:solidFill>
                </w14:textFill>
              </w:rPr>
              <w:t>—总扬尘量（kg/a）；</w:t>
            </w:r>
          </w:p>
          <w:p w14:paraId="7F6E3A52">
            <w:pPr>
              <w:spacing w:line="360" w:lineRule="auto"/>
              <w:ind w:firstLine="1024" w:firstLineChars="427"/>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V—车辆速度（km/h），运输车辆时速约5km/h；</w:t>
            </w:r>
          </w:p>
          <w:p w14:paraId="04C435C6">
            <w:pPr>
              <w:spacing w:line="360" w:lineRule="auto"/>
              <w:ind w:firstLine="1024" w:firstLineChars="427"/>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M—车辆载重（t/辆），车辆载重20t；</w:t>
            </w:r>
          </w:p>
          <w:p w14:paraId="762E4A0C">
            <w:pPr>
              <w:spacing w:line="360" w:lineRule="auto"/>
              <w:ind w:firstLine="1024" w:firstLineChars="427"/>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P—道路灰尘覆盖量（kg/m</w:t>
            </w:r>
            <w:r>
              <w:rPr>
                <w:rFonts w:hint="eastAsia"/>
                <w:color w:val="000000" w:themeColor="text1"/>
                <w:sz w:val="24"/>
                <w:vertAlign w:val="superscript"/>
                <w14:textFill>
                  <w14:solidFill>
                    <w14:schemeClr w14:val="tx1"/>
                  </w14:solidFill>
                </w14:textFill>
              </w:rPr>
              <w:t>2</w:t>
            </w:r>
            <w:r>
              <w:rPr>
                <w:rFonts w:hint="eastAsia"/>
                <w:color w:val="000000" w:themeColor="text1"/>
                <w:sz w:val="24"/>
                <w14:textFill>
                  <w14:solidFill>
                    <w14:schemeClr w14:val="tx1"/>
                  </w14:solidFill>
                </w14:textFill>
              </w:rPr>
              <w:t>），取0.1kg/m</w:t>
            </w:r>
            <w:r>
              <w:rPr>
                <w:rFonts w:hint="eastAsia"/>
                <w:color w:val="000000" w:themeColor="text1"/>
                <w:sz w:val="24"/>
                <w:vertAlign w:val="superscript"/>
                <w14:textFill>
                  <w14:solidFill>
                    <w14:schemeClr w14:val="tx1"/>
                  </w14:solidFill>
                </w14:textFill>
              </w:rPr>
              <w:t>2</w:t>
            </w:r>
            <w:r>
              <w:rPr>
                <w:rFonts w:hint="eastAsia"/>
                <w:color w:val="000000" w:themeColor="text1"/>
                <w:sz w:val="24"/>
                <w14:textFill>
                  <w14:solidFill>
                    <w14:schemeClr w14:val="tx1"/>
                  </w14:solidFill>
                </w14:textFill>
              </w:rPr>
              <w:t>；</w:t>
            </w:r>
          </w:p>
          <w:p w14:paraId="5D5102E4">
            <w:pPr>
              <w:spacing w:line="360" w:lineRule="auto"/>
              <w:ind w:firstLine="1024" w:firstLineChars="427"/>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L—运输距离（km），场内道路0.25km；</w:t>
            </w:r>
          </w:p>
          <w:p w14:paraId="21F42D02">
            <w:pPr>
              <w:spacing w:line="360" w:lineRule="auto"/>
              <w:ind w:firstLine="1024" w:firstLineChars="427"/>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Q—运输量（t/a），项目运输量（吞吐量）为10万t计。 </w:t>
            </w:r>
          </w:p>
          <w:p w14:paraId="1C5B39FB">
            <w:pPr>
              <w:spacing w:line="360" w:lineRule="auto"/>
              <w:ind w:firstLine="48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根据上式计算可得，场区道路总起尘量为0.12t/a，车辆密闭、厂房阻隔和喷雾降尘可减小扬尘60%，则运输扬尘排放量为0.05t/a。</w:t>
            </w:r>
          </w:p>
          <w:p w14:paraId="7B4B4385">
            <w:pPr>
              <w:spacing w:line="360" w:lineRule="auto"/>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（6）机械废气和汽车尾气</w:t>
            </w:r>
          </w:p>
          <w:p w14:paraId="3AB2C663">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本项目使用的</w:t>
            </w:r>
            <w:r>
              <w:rPr>
                <w:rFonts w:hint="eastAsia"/>
                <w:bCs/>
                <w:color w:val="000000" w:themeColor="text1"/>
                <w:sz w:val="24"/>
                <w14:textFill>
                  <w14:solidFill>
                    <w14:schemeClr w14:val="tx1"/>
                  </w14:solidFill>
                </w14:textFill>
              </w:rPr>
              <w:t>装载机、运输车辆</w:t>
            </w:r>
            <w:r>
              <w:rPr>
                <w:bCs/>
                <w:color w:val="000000" w:themeColor="text1"/>
                <w:sz w:val="24"/>
                <w14:textFill>
                  <w14:solidFill>
                    <w14:schemeClr w14:val="tx1"/>
                  </w14:solidFill>
                </w14:textFill>
              </w:rPr>
              <w:t>等运行过程中均产生汽车尾气，主要污染物有CO、HC和NO</w:t>
            </w:r>
            <w:r>
              <w:rPr>
                <w:bCs/>
                <w:color w:val="000000" w:themeColor="text1"/>
                <w:sz w:val="24"/>
                <w:vertAlign w:val="subscript"/>
                <w14:textFill>
                  <w14:solidFill>
                    <w14:schemeClr w14:val="tx1"/>
                  </w14:solidFill>
                </w14:textFill>
              </w:rPr>
              <w:t>2</w:t>
            </w:r>
            <w:r>
              <w:rPr>
                <w:bCs/>
                <w:color w:val="000000" w:themeColor="text1"/>
                <w:sz w:val="24"/>
                <w14:textFill>
                  <w14:solidFill>
                    <w14:schemeClr w14:val="tx1"/>
                  </w14:solidFill>
                </w14:textFill>
              </w:rPr>
              <w:t>等，由于项目装载车等车辆所用燃料均为符合国家质量标准的柴油，且车辆在项目内运行时间较短，所以废气产生量较小；同时项目所在地的地势高且地域空阔，扩散情况好，同时汽车按照交通管理部门要求定期检验，汽车尾气均能达到规定的排放标准，且通过项目区的绿化植物的吸收，项目汽车尾气对周围环境影响较小。少量汽车尾气经扩散降解后，对周围环境影响较小。</w:t>
            </w:r>
          </w:p>
          <w:p w14:paraId="4E516E55">
            <w:pPr>
              <w:pStyle w:val="84"/>
              <w:spacing w:line="360" w:lineRule="auto"/>
              <w:ind w:firstLine="482"/>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3、污染物排放量核算</w:t>
            </w:r>
          </w:p>
          <w:p w14:paraId="163ED412">
            <w:pPr>
              <w:adjustRightInd w:val="0"/>
              <w:snapToGrid w:val="0"/>
              <w:spacing w:line="360" w:lineRule="auto"/>
              <w:ind w:firstLine="480"/>
              <w:rPr>
                <w:b/>
                <w:color w:val="000000" w:themeColor="text1"/>
                <w:sz w:val="24"/>
                <w:lang w:val="zh-CN"/>
                <w14:textFill>
                  <w14:solidFill>
                    <w14:schemeClr w14:val="tx1"/>
                  </w14:solidFill>
                </w14:textFill>
              </w:rPr>
            </w:pPr>
            <w:r>
              <w:rPr>
                <w:color w:val="000000" w:themeColor="text1"/>
                <w:sz w:val="24"/>
                <w14:textFill>
                  <w14:solidFill>
                    <w14:schemeClr w14:val="tx1"/>
                  </w14:solidFill>
                </w14:textFill>
              </w:rPr>
              <w:t>项目废气主要</w:t>
            </w:r>
            <w:r>
              <w:rPr>
                <w:rFonts w:hint="eastAsia"/>
                <w:color w:val="000000" w:themeColor="text1"/>
                <w:sz w:val="24"/>
                <w14:textFill>
                  <w14:solidFill>
                    <w14:schemeClr w14:val="tx1"/>
                  </w14:solidFill>
                </w14:textFill>
              </w:rPr>
              <w:t>来自堆场、混合和配料、发酵和包装、运输</w:t>
            </w:r>
            <w:r>
              <w:rPr>
                <w:color w:val="000000" w:themeColor="text1"/>
                <w:sz w:val="24"/>
                <w14:textFill>
                  <w14:solidFill>
                    <w14:schemeClr w14:val="tx1"/>
                  </w14:solidFill>
                </w14:textFill>
              </w:rPr>
              <w:t>过程产生的废气。项目大气污染物年排放量核算表</w:t>
            </w:r>
            <w:r>
              <w:rPr>
                <w:rFonts w:hint="eastAsia"/>
                <w:color w:val="000000" w:themeColor="text1"/>
                <w:sz w:val="24"/>
                <w14:textFill>
                  <w14:solidFill>
                    <w14:schemeClr w14:val="tx1"/>
                  </w14:solidFill>
                </w14:textFill>
              </w:rPr>
              <w:t>见</w:t>
            </w:r>
            <w:r>
              <w:rPr>
                <w:color w:val="000000" w:themeColor="text1"/>
                <w:sz w:val="24"/>
                <w14:textFill>
                  <w14:solidFill>
                    <w14:schemeClr w14:val="tx1"/>
                  </w14:solidFill>
                </w14:textFill>
              </w:rPr>
              <w:t>表</w:t>
            </w:r>
            <w:r>
              <w:rPr>
                <w:rFonts w:hint="eastAsia"/>
                <w:color w:val="000000" w:themeColor="text1"/>
                <w:sz w:val="24"/>
                <w14:textFill>
                  <w14:solidFill>
                    <w14:schemeClr w14:val="tx1"/>
                  </w14:solidFill>
                </w14:textFill>
              </w:rPr>
              <w:t>4-1、4-2</w:t>
            </w:r>
            <w:r>
              <w:rPr>
                <w:color w:val="000000" w:themeColor="text1"/>
                <w:sz w:val="24"/>
                <w14:textFill>
                  <w14:solidFill>
                    <w14:schemeClr w14:val="tx1"/>
                  </w14:solidFill>
                </w14:textFill>
              </w:rPr>
              <w:t>。</w:t>
            </w:r>
          </w:p>
          <w:p w14:paraId="7D910E52">
            <w:pPr>
              <w:adjustRightInd w:val="0"/>
              <w:snapToGrid w:val="0"/>
              <w:ind w:firstLine="422"/>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表4-1  大气污染物无组织排放量核算表</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2"/>
              <w:gridCol w:w="967"/>
              <w:gridCol w:w="2649"/>
              <w:gridCol w:w="1256"/>
              <w:gridCol w:w="1080"/>
              <w:gridCol w:w="1386"/>
            </w:tblGrid>
            <w:tr w14:paraId="437CB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2" w:type="dxa"/>
                  <w:vAlign w:val="center"/>
                </w:tcPr>
                <w:p w14:paraId="642CFD77">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产污环节</w:t>
                  </w:r>
                </w:p>
              </w:tc>
              <w:tc>
                <w:tcPr>
                  <w:tcW w:w="967" w:type="dxa"/>
                  <w:vAlign w:val="center"/>
                </w:tcPr>
                <w:p w14:paraId="6F5D1F71">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污染物</w:t>
                  </w:r>
                </w:p>
              </w:tc>
              <w:tc>
                <w:tcPr>
                  <w:tcW w:w="2649" w:type="dxa"/>
                  <w:vAlign w:val="center"/>
                </w:tcPr>
                <w:p w14:paraId="093E2697">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主要污染防治措施</w:t>
                  </w:r>
                </w:p>
              </w:tc>
              <w:tc>
                <w:tcPr>
                  <w:tcW w:w="1256" w:type="dxa"/>
                  <w:vAlign w:val="center"/>
                </w:tcPr>
                <w:p w14:paraId="1DABC998">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污染物排放标准</w:t>
                  </w:r>
                </w:p>
              </w:tc>
              <w:tc>
                <w:tcPr>
                  <w:tcW w:w="1080" w:type="dxa"/>
                  <w:vAlign w:val="center"/>
                </w:tcPr>
                <w:p w14:paraId="60E94980">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浓度限值/（mg/m</w:t>
                  </w:r>
                  <w:r>
                    <w:rPr>
                      <w:rFonts w:ascii="Times New Roman" w:hAnsi="Times New Roman"/>
                      <w:color w:val="000000" w:themeColor="text1"/>
                      <w:sz w:val="21"/>
                      <w:szCs w:val="21"/>
                      <w:vertAlign w:val="superscript"/>
                      <w14:textFill>
                        <w14:solidFill>
                          <w14:schemeClr w14:val="tx1"/>
                        </w14:solidFill>
                      </w14:textFill>
                    </w:rPr>
                    <w:t>3</w:t>
                  </w:r>
                  <w:r>
                    <w:rPr>
                      <w:rFonts w:ascii="Times New Roman" w:hAnsi="Times New Roman"/>
                      <w:color w:val="000000" w:themeColor="text1"/>
                      <w:sz w:val="21"/>
                      <w:szCs w:val="21"/>
                      <w14:textFill>
                        <w14:solidFill>
                          <w14:schemeClr w14:val="tx1"/>
                        </w14:solidFill>
                      </w14:textFill>
                    </w:rPr>
                    <w:t>）</w:t>
                  </w:r>
                </w:p>
              </w:tc>
              <w:tc>
                <w:tcPr>
                  <w:tcW w:w="1386" w:type="dxa"/>
                  <w:vAlign w:val="center"/>
                </w:tcPr>
                <w:p w14:paraId="3D6226BE">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年排放量/（t/a）</w:t>
                  </w:r>
                </w:p>
              </w:tc>
            </w:tr>
            <w:tr w14:paraId="533E7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2" w:type="dxa"/>
                  <w:vAlign w:val="center"/>
                </w:tcPr>
                <w:p w14:paraId="44B0FD20">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bookmarkStart w:id="30" w:name="_Hlk190102176"/>
                  <w:bookmarkStart w:id="31" w:name="OLE_LINK71" w:colFirst="5" w:colLast="5"/>
                  <w:bookmarkStart w:id="32" w:name="OLE_LINK70" w:colFirst="5" w:colLast="5"/>
                  <w:r>
                    <w:rPr>
                      <w:rFonts w:hint="eastAsia" w:ascii="Times New Roman" w:hAnsi="Times New Roman"/>
                      <w:color w:val="000000" w:themeColor="text1"/>
                      <w:sz w:val="21"/>
                      <w:szCs w:val="21"/>
                      <w14:textFill>
                        <w14:solidFill>
                          <w14:schemeClr w14:val="tx1"/>
                        </w14:solidFill>
                      </w14:textFill>
                    </w:rPr>
                    <w:t>堆场</w:t>
                  </w:r>
                </w:p>
              </w:tc>
              <w:tc>
                <w:tcPr>
                  <w:tcW w:w="967" w:type="dxa"/>
                  <w:vAlign w:val="center"/>
                </w:tcPr>
                <w:p w14:paraId="2F83CAF4">
                  <w:pPr>
                    <w:pStyle w:val="21"/>
                    <w:wordWrap w:val="0"/>
                    <w:adjustRightInd w:val="0"/>
                    <w:snapToGrid w:val="0"/>
                    <w:spacing w:before="48" w:beforeLines="20" w:beforeAutospacing="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颗粒物</w:t>
                  </w:r>
                </w:p>
              </w:tc>
              <w:tc>
                <w:tcPr>
                  <w:tcW w:w="2649" w:type="dxa"/>
                  <w:vAlign w:val="center"/>
                </w:tcPr>
                <w:p w14:paraId="2AC1A91F">
                  <w:pPr>
                    <w:pStyle w:val="21"/>
                    <w:wordWrap w:val="0"/>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厂房密闭、移动式雾炮机喷雾除尘</w:t>
                  </w:r>
                </w:p>
              </w:tc>
              <w:tc>
                <w:tcPr>
                  <w:tcW w:w="1256" w:type="dxa"/>
                  <w:vMerge w:val="restart"/>
                  <w:vAlign w:val="center"/>
                </w:tcPr>
                <w:p w14:paraId="375E2F62">
                  <w:pPr>
                    <w:pStyle w:val="21"/>
                    <w:wordWrap w:val="0"/>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《大气污染物综合排放标准》（GB16297-1996）的表2中无组织排放监控浓度限值要求</w:t>
                  </w:r>
                </w:p>
              </w:tc>
              <w:tc>
                <w:tcPr>
                  <w:tcW w:w="1080" w:type="dxa"/>
                  <w:vAlign w:val="center"/>
                </w:tcPr>
                <w:p w14:paraId="2578B05C">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1.0</w:t>
                  </w:r>
                </w:p>
              </w:tc>
              <w:tc>
                <w:tcPr>
                  <w:tcW w:w="1386" w:type="dxa"/>
                  <w:vAlign w:val="center"/>
                </w:tcPr>
                <w:p w14:paraId="46DF981F">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0.0007</w:t>
                  </w:r>
                </w:p>
              </w:tc>
            </w:tr>
            <w:tr w14:paraId="69032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2" w:type="dxa"/>
                  <w:vAlign w:val="center"/>
                </w:tcPr>
                <w:p w14:paraId="513A951D">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混合</w:t>
                  </w:r>
                </w:p>
              </w:tc>
              <w:tc>
                <w:tcPr>
                  <w:tcW w:w="967" w:type="dxa"/>
                  <w:vAlign w:val="center"/>
                </w:tcPr>
                <w:p w14:paraId="76419812">
                  <w:pPr>
                    <w:pStyle w:val="21"/>
                    <w:wordWrap w:val="0"/>
                    <w:adjustRightInd w:val="0"/>
                    <w:snapToGrid w:val="0"/>
                    <w:spacing w:before="48" w:beforeLines="20" w:beforeAutospacing="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颗粒物</w:t>
                  </w:r>
                </w:p>
              </w:tc>
              <w:tc>
                <w:tcPr>
                  <w:tcW w:w="2649" w:type="dxa"/>
                  <w:vAlign w:val="center"/>
                </w:tcPr>
                <w:p w14:paraId="01A2FFD0">
                  <w:pPr>
                    <w:pStyle w:val="21"/>
                    <w:wordWrap w:val="0"/>
                    <w:adjustRightInd w:val="0"/>
                    <w:snapToGrid w:val="0"/>
                    <w:spacing w:before="48" w:beforeLines="20" w:beforeAutospacing="0" w:after="0" w:afterAutospacing="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厂房密闭、喷水降尘/移动式雾炮机喷雾除尘</w:t>
                  </w:r>
                </w:p>
              </w:tc>
              <w:tc>
                <w:tcPr>
                  <w:tcW w:w="1256" w:type="dxa"/>
                  <w:vMerge w:val="continue"/>
                  <w:vAlign w:val="center"/>
                </w:tcPr>
                <w:p w14:paraId="6202C2DD">
                  <w:pPr>
                    <w:pStyle w:val="21"/>
                    <w:wordWrap w:val="0"/>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p>
              </w:tc>
              <w:tc>
                <w:tcPr>
                  <w:tcW w:w="1080" w:type="dxa"/>
                  <w:vAlign w:val="center"/>
                </w:tcPr>
                <w:p w14:paraId="284ADD3E">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1.0</w:t>
                  </w:r>
                </w:p>
              </w:tc>
              <w:tc>
                <w:tcPr>
                  <w:tcW w:w="1386" w:type="dxa"/>
                  <w:vAlign w:val="center"/>
                </w:tcPr>
                <w:p w14:paraId="08528DA1">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0.01</w:t>
                  </w:r>
                </w:p>
              </w:tc>
            </w:tr>
            <w:tr w14:paraId="73F14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2" w:type="dxa"/>
                  <w:vAlign w:val="center"/>
                </w:tcPr>
                <w:p w14:paraId="45DD3929">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发酵</w:t>
                  </w:r>
                </w:p>
              </w:tc>
              <w:tc>
                <w:tcPr>
                  <w:tcW w:w="967" w:type="dxa"/>
                  <w:vAlign w:val="center"/>
                </w:tcPr>
                <w:p w14:paraId="74E52100">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异味</w:t>
                  </w:r>
                </w:p>
              </w:tc>
              <w:tc>
                <w:tcPr>
                  <w:tcW w:w="2649" w:type="dxa"/>
                  <w:vAlign w:val="center"/>
                </w:tcPr>
                <w:p w14:paraId="4A389EF1">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厂房密闭、喷洒生物除臭剂、车间安装抽排风系统</w:t>
                  </w:r>
                </w:p>
              </w:tc>
              <w:tc>
                <w:tcPr>
                  <w:tcW w:w="1256" w:type="dxa"/>
                  <w:vMerge w:val="continue"/>
                  <w:vAlign w:val="center"/>
                </w:tcPr>
                <w:p w14:paraId="1C082909">
                  <w:pPr>
                    <w:pStyle w:val="21"/>
                    <w:wordWrap w:val="0"/>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p>
              </w:tc>
              <w:tc>
                <w:tcPr>
                  <w:tcW w:w="1080" w:type="dxa"/>
                  <w:vAlign w:val="center"/>
                </w:tcPr>
                <w:p w14:paraId="7ADDA3C0">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w:t>
                  </w:r>
                </w:p>
              </w:tc>
              <w:tc>
                <w:tcPr>
                  <w:tcW w:w="1386" w:type="dxa"/>
                  <w:vAlign w:val="center"/>
                </w:tcPr>
                <w:p w14:paraId="591DED2D">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少量</w:t>
                  </w:r>
                </w:p>
              </w:tc>
            </w:tr>
            <w:tr w14:paraId="7D5F3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2" w:type="dxa"/>
                  <w:vAlign w:val="center"/>
                </w:tcPr>
                <w:p w14:paraId="67F5721F">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包装</w:t>
                  </w:r>
                </w:p>
              </w:tc>
              <w:tc>
                <w:tcPr>
                  <w:tcW w:w="967" w:type="dxa"/>
                  <w:vAlign w:val="center"/>
                </w:tcPr>
                <w:p w14:paraId="57C56513">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颗粒物</w:t>
                  </w:r>
                </w:p>
              </w:tc>
              <w:tc>
                <w:tcPr>
                  <w:tcW w:w="2649" w:type="dxa"/>
                  <w:vAlign w:val="center"/>
                </w:tcPr>
                <w:p w14:paraId="3CBFF366">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厂房密闭、移动式雾炮机喷雾除尘</w:t>
                  </w:r>
                </w:p>
              </w:tc>
              <w:tc>
                <w:tcPr>
                  <w:tcW w:w="1256" w:type="dxa"/>
                  <w:vMerge w:val="continue"/>
                  <w:vAlign w:val="center"/>
                </w:tcPr>
                <w:p w14:paraId="1FA49388">
                  <w:pPr>
                    <w:pStyle w:val="21"/>
                    <w:wordWrap w:val="0"/>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p>
              </w:tc>
              <w:tc>
                <w:tcPr>
                  <w:tcW w:w="1080" w:type="dxa"/>
                  <w:vAlign w:val="center"/>
                </w:tcPr>
                <w:p w14:paraId="2823A2C8">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1.0</w:t>
                  </w:r>
                </w:p>
              </w:tc>
              <w:tc>
                <w:tcPr>
                  <w:tcW w:w="1386" w:type="dxa"/>
                  <w:vAlign w:val="center"/>
                </w:tcPr>
                <w:p w14:paraId="6F657710">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0.1</w:t>
                  </w:r>
                </w:p>
              </w:tc>
            </w:tr>
            <w:tr w14:paraId="6BB44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2" w:type="dxa"/>
                  <w:vAlign w:val="center"/>
                </w:tcPr>
                <w:p w14:paraId="27C07DB7">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运输扬尘</w:t>
                  </w:r>
                </w:p>
              </w:tc>
              <w:tc>
                <w:tcPr>
                  <w:tcW w:w="967" w:type="dxa"/>
                  <w:vAlign w:val="center"/>
                </w:tcPr>
                <w:p w14:paraId="5B638759">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颗粒物</w:t>
                  </w:r>
                </w:p>
              </w:tc>
              <w:tc>
                <w:tcPr>
                  <w:tcW w:w="2649" w:type="dxa"/>
                  <w:vAlign w:val="center"/>
                </w:tcPr>
                <w:p w14:paraId="175E8764">
                  <w:pPr>
                    <w:pStyle w:val="21"/>
                    <w:adjustRightInd w:val="0"/>
                    <w:snapToGrid w:val="0"/>
                    <w:spacing w:before="48" w:beforeLines="20" w:beforeAutospacing="0" w:after="0" w:afterAutospacing="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车辆密闭、厂房密闭、移动式雾炮机喷雾除尘</w:t>
                  </w:r>
                </w:p>
              </w:tc>
              <w:tc>
                <w:tcPr>
                  <w:tcW w:w="1256" w:type="dxa"/>
                  <w:vMerge w:val="continue"/>
                  <w:vAlign w:val="center"/>
                </w:tcPr>
                <w:p w14:paraId="278FCCE3">
                  <w:pPr>
                    <w:pStyle w:val="21"/>
                    <w:wordWrap w:val="0"/>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p>
              </w:tc>
              <w:tc>
                <w:tcPr>
                  <w:tcW w:w="1080" w:type="dxa"/>
                  <w:vAlign w:val="center"/>
                </w:tcPr>
                <w:p w14:paraId="34909BF6">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1.0</w:t>
                  </w:r>
                </w:p>
              </w:tc>
              <w:tc>
                <w:tcPr>
                  <w:tcW w:w="1386" w:type="dxa"/>
                  <w:vAlign w:val="center"/>
                </w:tcPr>
                <w:p w14:paraId="108C5D68">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0.05</w:t>
                  </w:r>
                </w:p>
              </w:tc>
            </w:tr>
            <w:tr w14:paraId="23FD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2" w:type="dxa"/>
                  <w:vAlign w:val="center"/>
                </w:tcPr>
                <w:p w14:paraId="6F898AAB">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汽车尾气</w:t>
                  </w:r>
                </w:p>
              </w:tc>
              <w:tc>
                <w:tcPr>
                  <w:tcW w:w="967" w:type="dxa"/>
                  <w:vAlign w:val="center"/>
                </w:tcPr>
                <w:p w14:paraId="3C2A2210">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CO、HC和NO</w:t>
                  </w:r>
                  <w:r>
                    <w:rPr>
                      <w:rFonts w:hint="eastAsia" w:ascii="Times New Roman" w:hAnsi="Times New Roman"/>
                      <w:color w:val="000000" w:themeColor="text1"/>
                      <w:sz w:val="21"/>
                      <w:szCs w:val="21"/>
                      <w:vertAlign w:val="subscript"/>
                      <w14:textFill>
                        <w14:solidFill>
                          <w14:schemeClr w14:val="tx1"/>
                        </w14:solidFill>
                      </w14:textFill>
                    </w:rPr>
                    <w:t>2</w:t>
                  </w:r>
                  <w:r>
                    <w:rPr>
                      <w:rFonts w:hint="eastAsia" w:ascii="Times New Roman" w:hAnsi="Times New Roman"/>
                      <w:color w:val="000000" w:themeColor="text1"/>
                      <w:sz w:val="21"/>
                      <w:szCs w:val="21"/>
                      <w14:textFill>
                        <w14:solidFill>
                          <w14:schemeClr w14:val="tx1"/>
                        </w14:solidFill>
                      </w14:textFill>
                    </w:rPr>
                    <w:t>等</w:t>
                  </w:r>
                </w:p>
              </w:tc>
              <w:tc>
                <w:tcPr>
                  <w:tcW w:w="2649" w:type="dxa"/>
                  <w:vAlign w:val="center"/>
                </w:tcPr>
                <w:p w14:paraId="40A514D3">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定期检修、大气稀释扩散</w:t>
                  </w:r>
                </w:p>
              </w:tc>
              <w:tc>
                <w:tcPr>
                  <w:tcW w:w="1256" w:type="dxa"/>
                  <w:vMerge w:val="continue"/>
                  <w:vAlign w:val="center"/>
                </w:tcPr>
                <w:p w14:paraId="41A17B29">
                  <w:pPr>
                    <w:pStyle w:val="21"/>
                    <w:wordWrap w:val="0"/>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p>
              </w:tc>
              <w:tc>
                <w:tcPr>
                  <w:tcW w:w="1080" w:type="dxa"/>
                  <w:vAlign w:val="center"/>
                </w:tcPr>
                <w:p w14:paraId="52FA05C8">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w:t>
                  </w:r>
                </w:p>
              </w:tc>
              <w:tc>
                <w:tcPr>
                  <w:tcW w:w="1386" w:type="dxa"/>
                  <w:vAlign w:val="center"/>
                </w:tcPr>
                <w:p w14:paraId="41FA2D98">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少量</w:t>
                  </w:r>
                </w:p>
              </w:tc>
            </w:tr>
            <w:bookmarkEnd w:id="30"/>
            <w:bookmarkEnd w:id="31"/>
            <w:bookmarkEnd w:id="32"/>
            <w:tr w14:paraId="71526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370" w:type="dxa"/>
                  <w:gridSpan w:val="6"/>
                  <w:vAlign w:val="center"/>
                </w:tcPr>
                <w:p w14:paraId="59AEAD50">
                  <w:pPr>
                    <w:pStyle w:val="21"/>
                    <w:wordWrap w:val="0"/>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ascii="Times New Roman" w:hAnsi="Times New Roman"/>
                      <w:bCs/>
                      <w:color w:val="000000" w:themeColor="text1"/>
                      <w:sz w:val="21"/>
                      <w:szCs w:val="21"/>
                      <w:lang w:val="zh-CN"/>
                      <w14:textFill>
                        <w14:solidFill>
                          <w14:schemeClr w14:val="tx1"/>
                        </w14:solidFill>
                      </w14:textFill>
                    </w:rPr>
                    <w:t>无组织排放总计</w:t>
                  </w:r>
                </w:p>
              </w:tc>
            </w:tr>
            <w:tr w14:paraId="0BBD9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99" w:type="dxa"/>
                  <w:gridSpan w:val="2"/>
                  <w:vAlign w:val="center"/>
                </w:tcPr>
                <w:p w14:paraId="157C542E">
                  <w:pPr>
                    <w:widowControl/>
                    <w:wordWrap w:val="0"/>
                    <w:adjustRightInd w:val="0"/>
                    <w:snapToGrid w:val="0"/>
                    <w:spacing w:before="48" w:beforeLines="20"/>
                    <w:rPr>
                      <w:color w:val="000000" w:themeColor="text1"/>
                      <w:szCs w:val="21"/>
                      <w14:textFill>
                        <w14:solidFill>
                          <w14:schemeClr w14:val="tx1"/>
                        </w14:solidFill>
                      </w14:textFill>
                    </w:rPr>
                  </w:pPr>
                  <w:r>
                    <w:rPr>
                      <w:color w:val="000000" w:themeColor="text1"/>
                      <w:szCs w:val="21"/>
                      <w:lang w:val="zh-CN"/>
                      <w14:textFill>
                        <w14:solidFill>
                          <w14:schemeClr w14:val="tx1"/>
                        </w14:solidFill>
                      </w14:textFill>
                    </w:rPr>
                    <w:t>无组织排放总计</w:t>
                  </w:r>
                </w:p>
              </w:tc>
              <w:tc>
                <w:tcPr>
                  <w:tcW w:w="4985" w:type="dxa"/>
                  <w:gridSpan w:val="3"/>
                  <w:vAlign w:val="center"/>
                </w:tcPr>
                <w:p w14:paraId="1E71E316">
                  <w:pPr>
                    <w:pStyle w:val="74"/>
                    <w:wordWrap w:val="0"/>
                    <w:adjustRightInd w:val="0"/>
                    <w:spacing w:before="48" w:beforeLines="20"/>
                    <w:contextualSpacing/>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颗粒物</w:t>
                  </w:r>
                </w:p>
              </w:tc>
              <w:tc>
                <w:tcPr>
                  <w:tcW w:w="1386" w:type="dxa"/>
                  <w:vAlign w:val="center"/>
                </w:tcPr>
                <w:p w14:paraId="56A60DB3">
                  <w:pPr>
                    <w:pStyle w:val="21"/>
                    <w:adjustRightInd w:val="0"/>
                    <w:snapToGrid w:val="0"/>
                    <w:spacing w:before="48" w:beforeLines="20" w:beforeAutospacing="0" w:after="0" w:afterAutospacing="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0.1607</w:t>
                  </w:r>
                </w:p>
              </w:tc>
            </w:tr>
          </w:tbl>
          <w:p w14:paraId="02E59D3F">
            <w:pPr>
              <w:adjustRightInd w:val="0"/>
              <w:snapToGrid w:val="0"/>
              <w:ind w:firstLine="422"/>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表4-2 大气污染物年排放量核算一览表</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8"/>
              <w:gridCol w:w="2574"/>
              <w:gridCol w:w="3662"/>
            </w:tblGrid>
            <w:tr w14:paraId="57F61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8" w:type="dxa"/>
                  <w:vAlign w:val="center"/>
                </w:tcPr>
                <w:p w14:paraId="5A868E69">
                  <w:pPr>
                    <w:widowControl/>
                    <w:spacing w:before="48" w:beforeLines="20" w:line="288" w:lineRule="auto"/>
                    <w:ind w:firstLine="420"/>
                    <w:jc w:val="center"/>
                    <w:rPr>
                      <w:bCs/>
                      <w:color w:val="000000" w:themeColor="text1"/>
                      <w:szCs w:val="21"/>
                      <w:lang w:val="zh-CN"/>
                      <w14:textFill>
                        <w14:solidFill>
                          <w14:schemeClr w14:val="tx1"/>
                        </w14:solidFill>
                      </w14:textFill>
                    </w:rPr>
                  </w:pPr>
                  <w:r>
                    <w:rPr>
                      <w:bCs/>
                      <w:color w:val="000000" w:themeColor="text1"/>
                      <w:szCs w:val="21"/>
                      <w:lang w:val="zh-CN"/>
                      <w14:textFill>
                        <w14:solidFill>
                          <w14:schemeClr w14:val="tx1"/>
                        </w14:solidFill>
                      </w14:textFill>
                    </w:rPr>
                    <w:t>序号</w:t>
                  </w:r>
                </w:p>
              </w:tc>
              <w:tc>
                <w:tcPr>
                  <w:tcW w:w="2574" w:type="dxa"/>
                  <w:vAlign w:val="center"/>
                </w:tcPr>
                <w:p w14:paraId="0D9CE970">
                  <w:pPr>
                    <w:widowControl/>
                    <w:spacing w:before="48" w:beforeLines="20" w:line="288" w:lineRule="auto"/>
                    <w:ind w:firstLine="420"/>
                    <w:jc w:val="center"/>
                    <w:rPr>
                      <w:bCs/>
                      <w:color w:val="000000" w:themeColor="text1"/>
                      <w:szCs w:val="21"/>
                      <w:lang w:val="zh-CN"/>
                      <w14:textFill>
                        <w14:solidFill>
                          <w14:schemeClr w14:val="tx1"/>
                        </w14:solidFill>
                      </w14:textFill>
                    </w:rPr>
                  </w:pPr>
                  <w:r>
                    <w:rPr>
                      <w:bCs/>
                      <w:color w:val="000000" w:themeColor="text1"/>
                      <w:szCs w:val="21"/>
                      <w:lang w:val="zh-CN"/>
                      <w14:textFill>
                        <w14:solidFill>
                          <w14:schemeClr w14:val="tx1"/>
                        </w14:solidFill>
                      </w14:textFill>
                    </w:rPr>
                    <w:t>污染物</w:t>
                  </w:r>
                </w:p>
              </w:tc>
              <w:tc>
                <w:tcPr>
                  <w:tcW w:w="3662" w:type="dxa"/>
                  <w:vAlign w:val="center"/>
                </w:tcPr>
                <w:p w14:paraId="71530A1A">
                  <w:pPr>
                    <w:widowControl/>
                    <w:spacing w:before="48" w:beforeLines="20" w:line="288" w:lineRule="auto"/>
                    <w:ind w:firstLine="420"/>
                    <w:jc w:val="center"/>
                    <w:rPr>
                      <w:bCs/>
                      <w:color w:val="000000" w:themeColor="text1"/>
                      <w:szCs w:val="21"/>
                      <w:lang w:val="zh-CN"/>
                      <w14:textFill>
                        <w14:solidFill>
                          <w14:schemeClr w14:val="tx1"/>
                        </w14:solidFill>
                      </w14:textFill>
                    </w:rPr>
                  </w:pPr>
                  <w:r>
                    <w:rPr>
                      <w:bCs/>
                      <w:color w:val="000000" w:themeColor="text1"/>
                      <w:szCs w:val="21"/>
                      <w:lang w:val="zh-CN"/>
                      <w14:textFill>
                        <w14:solidFill>
                          <w14:schemeClr w14:val="tx1"/>
                        </w14:solidFill>
                      </w14:textFill>
                    </w:rPr>
                    <w:t>年排放量（t/a）</w:t>
                  </w:r>
                </w:p>
              </w:tc>
            </w:tr>
            <w:tr w14:paraId="7CA92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8" w:type="dxa"/>
                  <w:vAlign w:val="center"/>
                </w:tcPr>
                <w:p w14:paraId="152DB01B">
                  <w:pPr>
                    <w:widowControl/>
                    <w:spacing w:before="48" w:beforeLines="20" w:line="288" w:lineRule="auto"/>
                    <w:ind w:firstLine="420"/>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1</w:t>
                  </w:r>
                </w:p>
              </w:tc>
              <w:tc>
                <w:tcPr>
                  <w:tcW w:w="2574" w:type="dxa"/>
                  <w:vAlign w:val="center"/>
                </w:tcPr>
                <w:p w14:paraId="16E2799E">
                  <w:pPr>
                    <w:adjustRightInd w:val="0"/>
                    <w:snapToGrid w:val="0"/>
                    <w:spacing w:before="48" w:beforeLines="20" w:line="288" w:lineRule="auto"/>
                    <w:ind w:firstLine="420"/>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颗粒物</w:t>
                  </w:r>
                </w:p>
              </w:tc>
              <w:tc>
                <w:tcPr>
                  <w:tcW w:w="3662" w:type="dxa"/>
                  <w:vAlign w:val="center"/>
                </w:tcPr>
                <w:p w14:paraId="1E3A4017">
                  <w:pPr>
                    <w:adjustRightInd w:val="0"/>
                    <w:snapToGrid w:val="0"/>
                    <w:spacing w:before="48" w:beforeLines="20" w:line="288" w:lineRule="auto"/>
                    <w:ind w:firstLine="420"/>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0.1607</w:t>
                  </w:r>
                </w:p>
              </w:tc>
            </w:tr>
          </w:tbl>
          <w:p w14:paraId="09FB3DC0">
            <w:pPr>
              <w:pStyle w:val="16"/>
              <w:adjustRightInd w:val="0"/>
              <w:spacing w:line="360" w:lineRule="auto"/>
              <w:ind w:firstLine="442" w:firstLineChars="200"/>
              <w:rPr>
                <w:b/>
                <w:color w:val="000000" w:themeColor="text1"/>
                <w:spacing w:val="-10"/>
                <w:sz w:val="24"/>
                <w:szCs w:val="24"/>
                <w14:textFill>
                  <w14:solidFill>
                    <w14:schemeClr w14:val="tx1"/>
                  </w14:solidFill>
                </w14:textFill>
              </w:rPr>
            </w:pPr>
            <w:r>
              <w:rPr>
                <w:rFonts w:hint="eastAsia"/>
                <w:b/>
                <w:color w:val="000000" w:themeColor="text1"/>
                <w:spacing w:val="-10"/>
                <w:sz w:val="24"/>
                <w:szCs w:val="24"/>
                <w14:textFill>
                  <w14:solidFill>
                    <w14:schemeClr w14:val="tx1"/>
                  </w14:solidFill>
                </w14:textFill>
              </w:rPr>
              <w:t>4</w:t>
            </w:r>
            <w:r>
              <w:rPr>
                <w:b/>
                <w:color w:val="000000" w:themeColor="text1"/>
                <w:spacing w:val="-10"/>
                <w:sz w:val="24"/>
                <w:szCs w:val="24"/>
                <w14:textFill>
                  <w14:solidFill>
                    <w14:schemeClr w14:val="tx1"/>
                  </w14:solidFill>
                </w14:textFill>
              </w:rPr>
              <w:t>、废气治理设施可行性分析</w:t>
            </w:r>
          </w:p>
          <w:p w14:paraId="5F1D2EEA">
            <w:pPr>
              <w:pStyle w:val="16"/>
              <w:adjustRightInd w:val="0"/>
              <w:spacing w:line="360" w:lineRule="auto"/>
              <w:ind w:firstLine="440" w:firstLineChars="200"/>
              <w:rPr>
                <w:bCs/>
                <w:color w:val="000000" w:themeColor="text1"/>
                <w:spacing w:val="-10"/>
                <w:sz w:val="24"/>
                <w:szCs w:val="24"/>
                <w14:textFill>
                  <w14:solidFill>
                    <w14:schemeClr w14:val="tx1"/>
                  </w14:solidFill>
                </w14:textFill>
              </w:rPr>
            </w:pPr>
            <w:r>
              <w:rPr>
                <w:bCs/>
                <w:color w:val="000000" w:themeColor="text1"/>
                <w:spacing w:val="-10"/>
                <w:sz w:val="24"/>
                <w:szCs w:val="24"/>
                <w14:textFill>
                  <w14:solidFill>
                    <w14:schemeClr w14:val="tx1"/>
                  </w14:solidFill>
                </w14:textFill>
              </w:rPr>
              <w:t>（1）恶臭废气污染治理</w:t>
            </w:r>
            <w:r>
              <w:rPr>
                <w:rFonts w:hint="eastAsia"/>
                <w:bCs/>
                <w:color w:val="000000" w:themeColor="text1"/>
                <w:spacing w:val="-10"/>
                <w:sz w:val="24"/>
                <w:szCs w:val="24"/>
                <w14:textFill>
                  <w14:solidFill>
                    <w14:schemeClr w14:val="tx1"/>
                  </w14:solidFill>
                </w14:textFill>
              </w:rPr>
              <w:t>措施</w:t>
            </w:r>
          </w:p>
          <w:p w14:paraId="2651022F">
            <w:pPr>
              <w:pStyle w:val="82"/>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在常规化学研究中，当温度超过130℃时，尿素才会开始逐渐分解，分解过程中会产生气体，如氨气、二氧化碳等。所以，本项目在堆肥过程中最高温度为70</w:t>
            </w:r>
            <w:r>
              <w:rPr>
                <w:color w:val="000000" w:themeColor="text1"/>
                <w:sz w:val="24"/>
                <w:szCs w:val="24"/>
                <w14:textFill>
                  <w14:solidFill>
                    <w14:schemeClr w14:val="tx1"/>
                  </w14:solidFill>
                </w14:textFill>
              </w:rPr>
              <w:t>℃，</w:t>
            </w:r>
            <w:r>
              <w:rPr>
                <w:rFonts w:hint="eastAsia"/>
                <w:color w:val="000000" w:themeColor="text1"/>
                <w:sz w:val="24"/>
                <w:szCs w:val="24"/>
                <w14:textFill>
                  <w14:solidFill>
                    <w14:schemeClr w14:val="tx1"/>
                  </w14:solidFill>
                </w14:textFill>
              </w:rPr>
              <w:t>且持续时间较短，达不到尿素分解的温度，不会发生尿素分解反应从而产生气体。</w:t>
            </w:r>
          </w:p>
          <w:p w14:paraId="0FB4E3AB">
            <w:pPr>
              <w:pStyle w:val="82"/>
              <w:spacing w:line="360" w:lineRule="auto"/>
              <w:ind w:firstLine="440" w:firstLineChars="200"/>
              <w:rPr>
                <w:color w:val="000000" w:themeColor="text1"/>
                <w:sz w:val="24"/>
                <w:szCs w:val="24"/>
                <w14:textFill>
                  <w14:solidFill>
                    <w14:schemeClr w14:val="tx1"/>
                  </w14:solidFill>
                </w14:textFill>
              </w:rPr>
            </w:pPr>
            <w:r>
              <w:rPr>
                <w:bCs/>
                <w:color w:val="000000" w:themeColor="text1"/>
                <w:spacing w:val="-10"/>
                <w:sz w:val="24"/>
                <w:szCs w:val="24"/>
                <w14:textFill>
                  <w14:solidFill>
                    <w14:schemeClr w14:val="tx1"/>
                  </w14:solidFill>
                </w14:textFill>
              </w:rPr>
              <w:t>本项目</w:t>
            </w:r>
            <w:r>
              <w:rPr>
                <w:rFonts w:hint="eastAsia"/>
                <w:bCs/>
                <w:color w:val="000000" w:themeColor="text1"/>
                <w:spacing w:val="-10"/>
                <w:sz w:val="24"/>
                <w:szCs w:val="24"/>
                <w14:textFill>
                  <w14:solidFill>
                    <w14:schemeClr w14:val="tx1"/>
                  </w14:solidFill>
                </w14:textFill>
              </w:rPr>
              <w:t>不使用粪便，原料中的</w:t>
            </w:r>
            <w:r>
              <w:rPr>
                <w:rFonts w:hint="eastAsia"/>
                <w:color w:val="000000" w:themeColor="text1"/>
                <w:sz w:val="24"/>
                <w:szCs w:val="24"/>
                <w14:textFill>
                  <w14:solidFill>
                    <w14:schemeClr w14:val="tx1"/>
                  </w14:solidFill>
                </w14:textFill>
              </w:rPr>
              <w:t>低变质褐煤主要成分为有机质和腐殖酸，腐殖酸大分子的基本结构是芳环和脂环组成，环上连有羟基、羧基、羰基、甲氧基等官能团，不会产生大量恶臭气体。低变质褐煤和锯木屑、尿素在堆肥发酵过程中会产生少量的异味，项目采取厂房密闭，在发酵过程中喷洒生物除臭剂的方式进行恶臭气体的治理。</w:t>
            </w:r>
          </w:p>
          <w:p w14:paraId="5C7F02F7">
            <w:pPr>
              <w:pStyle w:val="82"/>
              <w:spacing w:line="360" w:lineRule="auto"/>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微生物除臭剂的工作原理：微生物除臭剂的核心在于利用特定微生物的代谢活动，将臭气中的有机物质分解为无害或低毒的物质。这些微生物通常具有高效的降解能力，可以针对常见的臭气成分进行有效分解。在适宜的条件下，这些微生物能够快速繁殖并形成优势菌群，通过竞争作用抑制臭气产生菌的生长，从而达到长期除臭的效果。微生物除臭剂的优势：①环保性，微生物除臭剂不会产生二次污染，符合绿色环保的理念；②经济性，相比其他除臭方法，微生物除臭剂的成本较低，适合长期大规模应用；③易操作性，微生物除臭剂的应用方法简单，不需要复杂的设备和技术支持；④长期效果，微生物除臭剂通过增强优势菌群的数量和活性来抑制臭气产生菌的生长，具有长期稳定的除臭效果。</w:t>
            </w:r>
          </w:p>
          <w:p w14:paraId="668268C7">
            <w:pPr>
              <w:pStyle w:val="16"/>
              <w:adjustRightInd w:val="0"/>
              <w:spacing w:line="360" w:lineRule="auto"/>
              <w:ind w:firstLine="440" w:firstLineChars="200"/>
              <w:rPr>
                <w:bCs/>
                <w:color w:val="000000" w:themeColor="text1"/>
                <w:spacing w:val="-10"/>
                <w:sz w:val="24"/>
                <w:szCs w:val="24"/>
                <w14:textFill>
                  <w14:solidFill>
                    <w14:schemeClr w14:val="tx1"/>
                  </w14:solidFill>
                </w14:textFill>
              </w:rPr>
            </w:pPr>
            <w:r>
              <w:rPr>
                <w:bCs/>
                <w:color w:val="000000" w:themeColor="text1"/>
                <w:spacing w:val="-10"/>
                <w:sz w:val="24"/>
                <w:szCs w:val="24"/>
                <w14:textFill>
                  <w14:solidFill>
                    <w14:schemeClr w14:val="tx1"/>
                  </w14:solidFill>
                </w14:textFill>
              </w:rPr>
              <w:t>生物除臭剂普遍用于垃圾填埋场、垃圾中转站、养殖场等除臭抑蝇，能有效去除硫化氢、氨气等恶臭气体，除臭率和抑蝇率达70%以上，对人体和动植物无任何毒副作用，对环境不产生任何污染。</w:t>
            </w:r>
          </w:p>
          <w:p w14:paraId="3B09A328">
            <w:pPr>
              <w:pStyle w:val="16"/>
              <w:adjustRightInd w:val="0"/>
              <w:spacing w:line="360" w:lineRule="auto"/>
              <w:ind w:firstLine="440" w:firstLineChars="200"/>
              <w:rPr>
                <w:bCs/>
                <w:color w:val="000000" w:themeColor="text1"/>
                <w:spacing w:val="-10"/>
                <w:sz w:val="24"/>
                <w:szCs w:val="24"/>
                <w14:textFill>
                  <w14:solidFill>
                    <w14:schemeClr w14:val="tx1"/>
                  </w14:solidFill>
                </w14:textFill>
              </w:rPr>
            </w:pPr>
            <w:r>
              <w:rPr>
                <w:bCs/>
                <w:color w:val="000000" w:themeColor="text1"/>
                <w:spacing w:val="-10"/>
                <w:sz w:val="24"/>
                <w:szCs w:val="24"/>
                <w14:textFill>
                  <w14:solidFill>
                    <w14:schemeClr w14:val="tx1"/>
                  </w14:solidFill>
                </w14:textFill>
              </w:rPr>
              <w:t>经查阅《排污许可证申请与核发技术规范磷肥、钾肥、复混肥料、有机肥料及微生物肥料工业》(HJ864.2-2018)中表 15 有机肥料及微生物肥料工业排污单位生产单元或设施废气治理可行技术参照表，本项目使用的生物除臭属于推荐的可行技术。</w:t>
            </w:r>
          </w:p>
          <w:p w14:paraId="578ED811">
            <w:pPr>
              <w:pStyle w:val="16"/>
              <w:adjustRightInd w:val="0"/>
              <w:spacing w:line="360" w:lineRule="auto"/>
              <w:ind w:firstLine="440" w:firstLineChars="200"/>
              <w:rPr>
                <w:bCs/>
                <w:color w:val="000000" w:themeColor="text1"/>
                <w:spacing w:val="-10"/>
                <w:sz w:val="24"/>
                <w:szCs w:val="24"/>
                <w14:textFill>
                  <w14:solidFill>
                    <w14:schemeClr w14:val="tx1"/>
                  </w14:solidFill>
                </w14:textFill>
              </w:rPr>
            </w:pPr>
            <w:r>
              <w:rPr>
                <w:rFonts w:hint="eastAsia"/>
                <w:bCs/>
                <w:color w:val="000000" w:themeColor="text1"/>
                <w:spacing w:val="-10"/>
                <w:sz w:val="24"/>
                <w:szCs w:val="24"/>
                <w14:textFill>
                  <w14:solidFill>
                    <w14:schemeClr w14:val="tx1"/>
                  </w14:solidFill>
                </w14:textFill>
              </w:rPr>
              <w:t>综上所述</w:t>
            </w:r>
            <w:r>
              <w:rPr>
                <w:bCs/>
                <w:color w:val="000000" w:themeColor="text1"/>
                <w:spacing w:val="-10"/>
                <w:sz w:val="24"/>
                <w:szCs w:val="24"/>
                <w14:textFill>
                  <w14:solidFill>
                    <w14:schemeClr w14:val="tx1"/>
                  </w14:solidFill>
                </w14:textFill>
              </w:rPr>
              <w:t>，</w:t>
            </w:r>
            <w:r>
              <w:rPr>
                <w:rFonts w:hint="eastAsia"/>
                <w:bCs/>
                <w:color w:val="000000" w:themeColor="text1"/>
                <w:spacing w:val="-10"/>
                <w:sz w:val="24"/>
                <w:szCs w:val="24"/>
                <w14:textFill>
                  <w14:solidFill>
                    <w14:schemeClr w14:val="tx1"/>
                  </w14:solidFill>
                </w14:textFill>
              </w:rPr>
              <w:t>本项目除臭措施</w:t>
            </w:r>
            <w:r>
              <w:rPr>
                <w:bCs/>
                <w:color w:val="000000" w:themeColor="text1"/>
                <w:spacing w:val="-10"/>
                <w:sz w:val="24"/>
                <w:szCs w:val="24"/>
                <w14:textFill>
                  <w14:solidFill>
                    <w14:schemeClr w14:val="tx1"/>
                  </w14:solidFill>
                </w14:textFill>
              </w:rPr>
              <w:t>合理可行。</w:t>
            </w:r>
          </w:p>
          <w:p w14:paraId="1BE67E10">
            <w:pPr>
              <w:pStyle w:val="16"/>
              <w:adjustRightInd w:val="0"/>
              <w:spacing w:line="360" w:lineRule="auto"/>
              <w:ind w:left="420" w:leftChars="200"/>
              <w:rPr>
                <w:bCs/>
                <w:color w:val="000000" w:themeColor="text1"/>
                <w:spacing w:val="-10"/>
                <w:sz w:val="24"/>
                <w:szCs w:val="24"/>
                <w14:textFill>
                  <w14:solidFill>
                    <w14:schemeClr w14:val="tx1"/>
                  </w14:solidFill>
                </w14:textFill>
              </w:rPr>
            </w:pPr>
            <w:r>
              <w:rPr>
                <w:rFonts w:hint="eastAsia"/>
                <w:bCs/>
                <w:color w:val="000000" w:themeColor="text1"/>
                <w:spacing w:val="-10"/>
                <w:sz w:val="24"/>
                <w:szCs w:val="24"/>
                <w14:textFill>
                  <w14:solidFill>
                    <w14:schemeClr w14:val="tx1"/>
                  </w14:solidFill>
                </w14:textFill>
              </w:rPr>
              <w:t>（2）粉尘</w:t>
            </w:r>
            <w:r>
              <w:rPr>
                <w:bCs/>
                <w:color w:val="000000" w:themeColor="text1"/>
                <w:spacing w:val="-10"/>
                <w:sz w:val="24"/>
                <w:szCs w:val="24"/>
                <w14:textFill>
                  <w14:solidFill>
                    <w14:schemeClr w14:val="tx1"/>
                  </w14:solidFill>
                </w14:textFill>
              </w:rPr>
              <w:t>污染治理</w:t>
            </w:r>
            <w:r>
              <w:rPr>
                <w:rFonts w:hint="eastAsia"/>
                <w:bCs/>
                <w:color w:val="000000" w:themeColor="text1"/>
                <w:spacing w:val="-10"/>
                <w:sz w:val="24"/>
                <w:szCs w:val="24"/>
                <w14:textFill>
                  <w14:solidFill>
                    <w14:schemeClr w14:val="tx1"/>
                  </w14:solidFill>
                </w14:textFill>
              </w:rPr>
              <w:t>措施</w:t>
            </w:r>
          </w:p>
          <w:p w14:paraId="59CE47A5">
            <w:pPr>
              <w:pStyle w:val="16"/>
              <w:adjustRightInd w:val="0"/>
              <w:spacing w:line="360" w:lineRule="auto"/>
              <w:ind w:firstLine="440" w:firstLineChars="200"/>
              <w:rPr>
                <w:bCs/>
                <w:color w:val="000000" w:themeColor="text1"/>
                <w:spacing w:val="-10"/>
                <w:sz w:val="24"/>
                <w:szCs w:val="24"/>
                <w14:textFill>
                  <w14:solidFill>
                    <w14:schemeClr w14:val="tx1"/>
                  </w14:solidFill>
                </w14:textFill>
              </w:rPr>
            </w:pPr>
            <w:r>
              <w:rPr>
                <w:rFonts w:hint="eastAsia"/>
                <w:bCs/>
                <w:color w:val="000000" w:themeColor="text1"/>
                <w:spacing w:val="-10"/>
                <w:sz w:val="24"/>
                <w:szCs w:val="24"/>
                <w14:textFill>
                  <w14:solidFill>
                    <w14:schemeClr w14:val="tx1"/>
                  </w14:solidFill>
                </w14:textFill>
              </w:rPr>
              <w:t>本项目在生产厂房内采用装载机进行混合、翻抛，严格控制原料的含水率，使含水率保持在40%-50%之间；发酵完成后的物料，质地松软，体积缩小，含水率约为10%-30%，生产过程中产生的粉尘量较少，且采用的机械设备无法采用集中式的方式收集处理。因此，本项目生产过程采取设备均位于密闭性较好的车间内，位于东西厂房内分别设置1台雾炮机对粉尘进行洒水降尘，可满足废气排放污染防治控制要求，</w:t>
            </w:r>
            <w:r>
              <w:rPr>
                <w:bCs/>
                <w:color w:val="000000" w:themeColor="text1"/>
                <w:spacing w:val="-10"/>
                <w:sz w:val="24"/>
                <w:szCs w:val="24"/>
                <w14:textFill>
                  <w14:solidFill>
                    <w14:schemeClr w14:val="tx1"/>
                  </w14:solidFill>
                </w14:textFill>
              </w:rPr>
              <w:t>废气采用的污染治理</w:t>
            </w:r>
            <w:r>
              <w:rPr>
                <w:rFonts w:hint="eastAsia"/>
                <w:bCs/>
                <w:color w:val="000000" w:themeColor="text1"/>
                <w:spacing w:val="-10"/>
                <w:sz w:val="24"/>
                <w:szCs w:val="24"/>
                <w14:textFill>
                  <w14:solidFill>
                    <w14:schemeClr w14:val="tx1"/>
                  </w14:solidFill>
                </w14:textFill>
              </w:rPr>
              <w:t>措施</w:t>
            </w:r>
            <w:r>
              <w:rPr>
                <w:bCs/>
                <w:color w:val="000000" w:themeColor="text1"/>
                <w:spacing w:val="-10"/>
                <w:sz w:val="24"/>
                <w:szCs w:val="24"/>
                <w14:textFill>
                  <w14:solidFill>
                    <w14:schemeClr w14:val="tx1"/>
                  </w14:solidFill>
                </w14:textFill>
              </w:rPr>
              <w:t>合理可行。</w:t>
            </w:r>
          </w:p>
          <w:p w14:paraId="0DE6B6CC">
            <w:pPr>
              <w:pStyle w:val="16"/>
              <w:adjustRightInd w:val="0"/>
              <w:spacing w:line="360" w:lineRule="auto"/>
              <w:ind w:firstLine="442" w:firstLineChars="200"/>
              <w:rPr>
                <w:b/>
                <w:color w:val="000000" w:themeColor="text1"/>
                <w:spacing w:val="-10"/>
                <w:sz w:val="24"/>
                <w:szCs w:val="24"/>
                <w14:textFill>
                  <w14:solidFill>
                    <w14:schemeClr w14:val="tx1"/>
                  </w14:solidFill>
                </w14:textFill>
              </w:rPr>
            </w:pPr>
            <w:r>
              <w:rPr>
                <w:rFonts w:hint="eastAsia"/>
                <w:b/>
                <w:color w:val="000000" w:themeColor="text1"/>
                <w:spacing w:val="-10"/>
                <w:sz w:val="24"/>
                <w:szCs w:val="24"/>
                <w14:textFill>
                  <w14:solidFill>
                    <w14:schemeClr w14:val="tx1"/>
                  </w14:solidFill>
                </w14:textFill>
              </w:rPr>
              <w:t>5、监测要求</w:t>
            </w:r>
          </w:p>
          <w:p w14:paraId="4762CAF1">
            <w:pPr>
              <w:pStyle w:val="16"/>
              <w:adjustRightInd w:val="0"/>
              <w:spacing w:line="360" w:lineRule="auto"/>
              <w:ind w:firstLine="440" w:firstLineChars="200"/>
              <w:rPr>
                <w:bCs/>
                <w:color w:val="000000" w:themeColor="text1"/>
                <w:spacing w:val="-10"/>
                <w:sz w:val="24"/>
                <w:szCs w:val="24"/>
                <w14:textFill>
                  <w14:solidFill>
                    <w14:schemeClr w14:val="tx1"/>
                  </w14:solidFill>
                </w14:textFill>
              </w:rPr>
            </w:pPr>
            <w:r>
              <w:rPr>
                <w:rFonts w:hint="eastAsia"/>
                <w:bCs/>
                <w:color w:val="000000" w:themeColor="text1"/>
                <w:spacing w:val="-10"/>
                <w:sz w:val="24"/>
                <w:szCs w:val="24"/>
                <w14:textFill>
                  <w14:solidFill>
                    <w14:schemeClr w14:val="tx1"/>
                  </w14:solidFill>
                </w14:textFill>
              </w:rPr>
              <w:t>本项目根据《排污单位自行监测技术指南 总则》（HJ819-2017）及《排污单位自行监测技术指南 磷肥、钾肥、复混肥料、有机肥料及微生物肥料工业》（HJ1088-2020），项目的监测计划如下表。</w:t>
            </w:r>
          </w:p>
          <w:p w14:paraId="4455B901">
            <w:pPr>
              <w:pStyle w:val="58"/>
              <w:rPr>
                <w:color w:val="000000" w:themeColor="text1"/>
                <w14:textFill>
                  <w14:solidFill>
                    <w14:schemeClr w14:val="tx1"/>
                  </w14:solidFill>
                </w14:textFill>
              </w:rPr>
            </w:pPr>
            <w:r>
              <w:rPr>
                <w:rFonts w:hint="eastAsia"/>
                <w:color w:val="000000" w:themeColor="text1"/>
                <w14:textFill>
                  <w14:solidFill>
                    <w14:schemeClr w14:val="tx1"/>
                  </w14:solidFill>
                </w14:textFill>
              </w:rPr>
              <w:t>表4-5  自行监测计划</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525"/>
              <w:gridCol w:w="1214"/>
              <w:gridCol w:w="2003"/>
              <w:gridCol w:w="1793"/>
              <w:gridCol w:w="1204"/>
            </w:tblGrid>
            <w:tr w14:paraId="208B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9" w:type="pct"/>
                  <w:vAlign w:val="center"/>
                </w:tcPr>
                <w:p w14:paraId="3CE8EF27">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项目</w:t>
                  </w:r>
                </w:p>
              </w:tc>
              <w:tc>
                <w:tcPr>
                  <w:tcW w:w="900" w:type="pct"/>
                  <w:vAlign w:val="center"/>
                </w:tcPr>
                <w:p w14:paraId="6379FD48">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排放源</w:t>
                  </w:r>
                </w:p>
              </w:tc>
              <w:tc>
                <w:tcPr>
                  <w:tcW w:w="717" w:type="pct"/>
                  <w:vAlign w:val="center"/>
                </w:tcPr>
                <w:p w14:paraId="1AB19EB4">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排放方式</w:t>
                  </w:r>
                </w:p>
              </w:tc>
              <w:tc>
                <w:tcPr>
                  <w:tcW w:w="1182" w:type="pct"/>
                  <w:vAlign w:val="center"/>
                </w:tcPr>
                <w:p w14:paraId="07CA6E82">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监测点位</w:t>
                  </w:r>
                </w:p>
              </w:tc>
              <w:tc>
                <w:tcPr>
                  <w:tcW w:w="1058" w:type="pct"/>
                  <w:vAlign w:val="center"/>
                </w:tcPr>
                <w:p w14:paraId="0585708A">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监测项目</w:t>
                  </w:r>
                </w:p>
              </w:tc>
              <w:tc>
                <w:tcPr>
                  <w:tcW w:w="711" w:type="pct"/>
                  <w:vAlign w:val="center"/>
                </w:tcPr>
                <w:p w14:paraId="7FE976E8">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监测频次</w:t>
                  </w:r>
                </w:p>
              </w:tc>
            </w:tr>
            <w:tr w14:paraId="3A7C6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29" w:type="pct"/>
                  <w:vAlign w:val="center"/>
                </w:tcPr>
                <w:p w14:paraId="615D4B07">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废气</w:t>
                  </w:r>
                </w:p>
              </w:tc>
              <w:tc>
                <w:tcPr>
                  <w:tcW w:w="900" w:type="pct"/>
                  <w:vAlign w:val="center"/>
                </w:tcPr>
                <w:p w14:paraId="1CA4270B">
                  <w:pPr>
                    <w:pStyle w:val="74"/>
                    <w:rPr>
                      <w:b w:val="0"/>
                      <w:color w:val="000000" w:themeColor="text1"/>
                      <w14:textFill>
                        <w14:solidFill>
                          <w14:schemeClr w14:val="tx1"/>
                        </w14:solidFill>
                      </w14:textFill>
                    </w:rPr>
                  </w:pPr>
                  <w:r>
                    <w:rPr>
                      <w:rFonts w:hint="eastAsia"/>
                      <w:b w:val="0"/>
                      <w:color w:val="000000" w:themeColor="text1"/>
                      <w14:textFill>
                        <w14:solidFill>
                          <w14:schemeClr w14:val="tx1"/>
                        </w14:solidFill>
                      </w14:textFill>
                    </w:rPr>
                    <w:t>生产厂房</w:t>
                  </w:r>
                </w:p>
              </w:tc>
              <w:tc>
                <w:tcPr>
                  <w:tcW w:w="717" w:type="pct"/>
                  <w:vAlign w:val="center"/>
                </w:tcPr>
                <w:p w14:paraId="67B5470D">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厂界无组织</w:t>
                  </w:r>
                </w:p>
              </w:tc>
              <w:tc>
                <w:tcPr>
                  <w:tcW w:w="1182" w:type="pct"/>
                  <w:vAlign w:val="center"/>
                </w:tcPr>
                <w:p w14:paraId="6FB081C3">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厂址上风向设1个对照点、厂址下风向设</w:t>
                  </w:r>
                  <w:r>
                    <w:rPr>
                      <w:rFonts w:hint="eastAsia"/>
                      <w:b w:val="0"/>
                      <w:color w:val="000000" w:themeColor="text1"/>
                      <w14:textFill>
                        <w14:solidFill>
                          <w14:schemeClr w14:val="tx1"/>
                        </w14:solidFill>
                      </w14:textFill>
                    </w:rPr>
                    <w:t>3</w:t>
                  </w:r>
                  <w:r>
                    <w:rPr>
                      <w:b w:val="0"/>
                      <w:color w:val="000000" w:themeColor="text1"/>
                      <w14:textFill>
                        <w14:solidFill>
                          <w14:schemeClr w14:val="tx1"/>
                        </w14:solidFill>
                      </w14:textFill>
                    </w:rPr>
                    <w:t>个监控点</w:t>
                  </w:r>
                </w:p>
              </w:tc>
              <w:tc>
                <w:tcPr>
                  <w:tcW w:w="1058" w:type="pct"/>
                  <w:vAlign w:val="center"/>
                </w:tcPr>
                <w:p w14:paraId="3717D452">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颗粒物、</w:t>
                  </w:r>
                  <w:r>
                    <w:rPr>
                      <w:rFonts w:hint="eastAsia"/>
                      <w:b w:val="0"/>
                      <w:color w:val="000000" w:themeColor="text1"/>
                      <w14:textFill>
                        <w14:solidFill>
                          <w14:schemeClr w14:val="tx1"/>
                        </w14:solidFill>
                      </w14:textFill>
                    </w:rPr>
                    <w:t>氨、硫化氢、臭气浓度</w:t>
                  </w:r>
                </w:p>
              </w:tc>
              <w:tc>
                <w:tcPr>
                  <w:tcW w:w="711" w:type="pct"/>
                  <w:vAlign w:val="center"/>
                </w:tcPr>
                <w:p w14:paraId="6E137DDA">
                  <w:pPr>
                    <w:pStyle w:val="74"/>
                    <w:rPr>
                      <w:b w:val="0"/>
                      <w:color w:val="000000" w:themeColor="text1"/>
                      <w14:textFill>
                        <w14:solidFill>
                          <w14:schemeClr w14:val="tx1"/>
                        </w14:solidFill>
                      </w14:textFill>
                    </w:rPr>
                  </w:pPr>
                  <w:r>
                    <w:rPr>
                      <w:b w:val="0"/>
                      <w:color w:val="000000" w:themeColor="text1"/>
                      <w14:textFill>
                        <w14:solidFill>
                          <w14:schemeClr w14:val="tx1"/>
                        </w14:solidFill>
                      </w14:textFill>
                    </w:rPr>
                    <w:t>1次/</w:t>
                  </w:r>
                  <w:r>
                    <w:rPr>
                      <w:rFonts w:hint="eastAsia"/>
                      <w:b w:val="0"/>
                      <w:color w:val="000000" w:themeColor="text1"/>
                      <w14:textFill>
                        <w14:solidFill>
                          <w14:schemeClr w14:val="tx1"/>
                        </w14:solidFill>
                      </w14:textFill>
                    </w:rPr>
                    <w:t>半</w:t>
                  </w:r>
                  <w:r>
                    <w:rPr>
                      <w:b w:val="0"/>
                      <w:color w:val="000000" w:themeColor="text1"/>
                      <w14:textFill>
                        <w14:solidFill>
                          <w14:schemeClr w14:val="tx1"/>
                        </w14:solidFill>
                      </w14:textFill>
                    </w:rPr>
                    <w:t>年</w:t>
                  </w:r>
                </w:p>
              </w:tc>
            </w:tr>
          </w:tbl>
          <w:p w14:paraId="71BE4C3A">
            <w:pPr>
              <w:pStyle w:val="16"/>
              <w:adjustRightInd w:val="0"/>
              <w:spacing w:line="360" w:lineRule="auto"/>
              <w:rPr>
                <w:b/>
                <w:color w:val="000000" w:themeColor="text1"/>
                <w:spacing w:val="-10"/>
                <w:sz w:val="24"/>
                <w:szCs w:val="24"/>
                <w14:textFill>
                  <w14:solidFill>
                    <w14:schemeClr w14:val="tx1"/>
                  </w14:solidFill>
                </w14:textFill>
              </w:rPr>
            </w:pPr>
            <w:r>
              <w:rPr>
                <w:b/>
                <w:color w:val="000000" w:themeColor="text1"/>
                <w:spacing w:val="-10"/>
                <w:sz w:val="24"/>
                <w:szCs w:val="24"/>
                <w14:textFill>
                  <w14:solidFill>
                    <w14:schemeClr w14:val="tx1"/>
                  </w14:solidFill>
                </w14:textFill>
              </w:rPr>
              <w:t>二、废水</w:t>
            </w:r>
          </w:p>
          <w:p w14:paraId="47A39D74">
            <w:pPr>
              <w:pStyle w:val="16"/>
              <w:adjustRightInd w:val="0"/>
              <w:spacing w:line="360" w:lineRule="auto"/>
              <w:ind w:firstLine="442" w:firstLineChars="200"/>
              <w:rPr>
                <w:b/>
                <w:color w:val="000000" w:themeColor="text1"/>
                <w:spacing w:val="-10"/>
                <w:sz w:val="24"/>
                <w:szCs w:val="24"/>
                <w14:textFill>
                  <w14:solidFill>
                    <w14:schemeClr w14:val="tx1"/>
                  </w14:solidFill>
                </w14:textFill>
              </w:rPr>
            </w:pPr>
            <w:r>
              <w:rPr>
                <w:b/>
                <w:color w:val="000000" w:themeColor="text1"/>
                <w:spacing w:val="-10"/>
                <w:sz w:val="24"/>
                <w:szCs w:val="24"/>
                <w14:textFill>
                  <w14:solidFill>
                    <w14:schemeClr w14:val="tx1"/>
                  </w14:solidFill>
                </w14:textFill>
              </w:rPr>
              <w:t>（1）污染源分析</w:t>
            </w:r>
          </w:p>
          <w:p w14:paraId="4D872ABB">
            <w:pPr>
              <w:adjustRightInd w:val="0"/>
              <w:spacing w:line="360" w:lineRule="auto"/>
              <w:ind w:firstLine="480" w:firstLineChars="200"/>
              <w:jc w:val="left"/>
              <w:rPr>
                <w:color w:val="000000" w:themeColor="text1"/>
                <w:sz w:val="24"/>
                <w14:textFill>
                  <w14:solidFill>
                    <w14:schemeClr w14:val="tx1"/>
                  </w14:solidFill>
                </w14:textFill>
              </w:rPr>
            </w:pPr>
            <w:r>
              <w:rPr>
                <w:rFonts w:hint="eastAsia"/>
                <w:color w:val="000000" w:themeColor="text1"/>
                <w:kern w:val="0"/>
                <w:sz w:val="24"/>
                <w:lang w:bidi="ar"/>
                <w14:textFill>
                  <w14:solidFill>
                    <w14:schemeClr w14:val="tx1"/>
                  </w14:solidFill>
                </w14:textFill>
              </w:rPr>
              <w:t>本项目除臭剂喷淋稀释用水、降尘用水蒸发损耗，不产生废水。生产车间内不产生初期雨水，屋顶和临近项目区道路的初期雨水</w:t>
            </w:r>
            <w:r>
              <w:rPr>
                <w:rFonts w:hint="eastAsia" w:eastAsiaTheme="minorEastAsia"/>
                <w:color w:val="000000" w:themeColor="text1"/>
                <w:sz w:val="24"/>
                <w14:textFill>
                  <w14:solidFill>
                    <w14:schemeClr w14:val="tx1"/>
                  </w14:solidFill>
                </w14:textFill>
              </w:rPr>
              <w:t>经雨水收集沟收集汇入初期雨水收集池（容积为30m</w:t>
            </w:r>
            <w:r>
              <w:rPr>
                <w:rFonts w:hint="eastAsia" w:eastAsiaTheme="minorEastAsia"/>
                <w:color w:val="000000" w:themeColor="text1"/>
                <w:sz w:val="24"/>
                <w:vertAlign w:val="superscript"/>
                <w14:textFill>
                  <w14:solidFill>
                    <w14:schemeClr w14:val="tx1"/>
                  </w14:solidFill>
                </w14:textFill>
              </w:rPr>
              <w:t>3</w:t>
            </w:r>
            <w:r>
              <w:rPr>
                <w:rFonts w:hint="eastAsia" w:eastAsiaTheme="minorEastAsia"/>
                <w:color w:val="000000" w:themeColor="text1"/>
                <w:sz w:val="24"/>
                <w14:textFill>
                  <w14:solidFill>
                    <w14:schemeClr w14:val="tx1"/>
                  </w14:solidFill>
                </w14:textFill>
              </w:rPr>
              <w:t>），全部回用于生产，不外排。</w:t>
            </w:r>
            <w:r>
              <w:rPr>
                <w:rFonts w:hint="eastAsia"/>
                <w:color w:val="000000" w:themeColor="text1"/>
                <w:sz w:val="24"/>
                <w14:textFill>
                  <w14:solidFill>
                    <w14:schemeClr w14:val="tx1"/>
                  </w14:solidFill>
                </w14:textFill>
              </w:rPr>
              <w:t>本项目运输环节要求采用密闭式运输车辆，严禁超载运输，防止运输物料沿路泼洒。</w:t>
            </w:r>
          </w:p>
          <w:p w14:paraId="67E15DF5">
            <w:pPr>
              <w:adjustRightInd w:val="0"/>
              <w:snapToGrid w:val="0"/>
              <w:spacing w:line="360" w:lineRule="auto"/>
              <w:ind w:firstLine="480"/>
              <w:rPr>
                <w:rFonts w:eastAsiaTheme="minorEastAsia"/>
                <w:bCs/>
                <w:color w:val="000000" w:themeColor="text1"/>
                <w:sz w:val="24"/>
                <w14:textFill>
                  <w14:solidFill>
                    <w14:schemeClr w14:val="tx1"/>
                  </w14:solidFill>
                </w14:textFill>
              </w:rPr>
            </w:pPr>
            <w:r>
              <w:rPr>
                <w:rFonts w:hint="eastAsia"/>
                <w:color w:val="000000" w:themeColor="text1"/>
                <w:kern w:val="0"/>
                <w:sz w:val="24"/>
                <w:lang w:bidi="ar"/>
                <w14:textFill>
                  <w14:solidFill>
                    <w14:schemeClr w14:val="tx1"/>
                  </w14:solidFill>
                </w14:textFill>
              </w:rPr>
              <w:t>生产用水主要为工艺用水，</w:t>
            </w:r>
            <w:r>
              <w:rPr>
                <w:rFonts w:eastAsiaTheme="minorEastAsia"/>
                <w:bCs/>
                <w:color w:val="000000" w:themeColor="text1"/>
                <w:sz w:val="24"/>
                <w14:textFill>
                  <w14:solidFill>
                    <w14:schemeClr w14:val="tx1"/>
                  </w14:solidFill>
                </w14:textFill>
              </w:rPr>
              <w:t>该部分水少部分进入产品，大部分在发酵时蒸发。发酵过程中会有少量渗滤液产生，</w:t>
            </w:r>
            <w:r>
              <w:rPr>
                <w:rFonts w:hint="eastAsia" w:eastAsiaTheme="minorEastAsia"/>
                <w:bCs/>
                <w:color w:val="000000" w:themeColor="text1"/>
                <w:sz w:val="24"/>
                <w14:textFill>
                  <w14:solidFill>
                    <w14:schemeClr w14:val="tx1"/>
                  </w14:solidFill>
                </w14:textFill>
              </w:rPr>
              <w:t>产生量为0.15</w:t>
            </w:r>
            <w:r>
              <w:rPr>
                <w:rFonts w:eastAsiaTheme="minorEastAsia"/>
                <w:bCs/>
                <w:color w:val="000000" w:themeColor="text1"/>
                <w:sz w:val="24"/>
                <w14:textFill>
                  <w14:solidFill>
                    <w14:schemeClr w14:val="tx1"/>
                  </w14:solidFill>
                </w14:textFill>
              </w:rPr>
              <w:t>m</w:t>
            </w:r>
            <w:r>
              <w:rPr>
                <w:rFonts w:eastAsiaTheme="minorEastAsia"/>
                <w:bCs/>
                <w:color w:val="000000" w:themeColor="text1"/>
                <w:sz w:val="24"/>
                <w:vertAlign w:val="superscript"/>
                <w14:textFill>
                  <w14:solidFill>
                    <w14:schemeClr w14:val="tx1"/>
                  </w14:solidFill>
                </w14:textFill>
              </w:rPr>
              <w:t>3</w:t>
            </w:r>
            <w:r>
              <w:rPr>
                <w:rFonts w:eastAsiaTheme="minorEastAsia"/>
                <w:bCs/>
                <w:color w:val="000000" w:themeColor="text1"/>
                <w:sz w:val="24"/>
                <w14:textFill>
                  <w14:solidFill>
                    <w14:schemeClr w14:val="tx1"/>
                  </w14:solidFill>
                </w14:textFill>
              </w:rPr>
              <w:t>/d</w:t>
            </w:r>
            <w:r>
              <w:rPr>
                <w:rFonts w:hint="eastAsia" w:eastAsiaTheme="minorEastAsia"/>
                <w:bCs/>
                <w:color w:val="000000" w:themeColor="text1"/>
                <w:sz w:val="24"/>
                <w14:textFill>
                  <w14:solidFill>
                    <w14:schemeClr w14:val="tx1"/>
                  </w14:solidFill>
                </w14:textFill>
              </w:rPr>
              <w:t>。渗滤液产生于发酵工段，厂房地势整体呈南高北低，位于发酵区的东侧和南侧设置收集沟，位于发酵区地势低处设置1个容积为2</w:t>
            </w:r>
            <w:r>
              <w:rPr>
                <w:rFonts w:eastAsiaTheme="minorEastAsia"/>
                <w:bCs/>
                <w:color w:val="000000" w:themeColor="text1"/>
                <w:sz w:val="24"/>
                <w14:textFill>
                  <w14:solidFill>
                    <w14:schemeClr w14:val="tx1"/>
                  </w14:solidFill>
                </w14:textFill>
              </w:rPr>
              <w:t>m</w:t>
            </w:r>
            <w:r>
              <w:rPr>
                <w:rFonts w:eastAsiaTheme="minorEastAsia"/>
                <w:bCs/>
                <w:color w:val="000000" w:themeColor="text1"/>
                <w:sz w:val="24"/>
                <w:vertAlign w:val="superscript"/>
                <w14:textFill>
                  <w14:solidFill>
                    <w14:schemeClr w14:val="tx1"/>
                  </w14:solidFill>
                </w14:textFill>
              </w:rPr>
              <w:t>3</w:t>
            </w:r>
            <w:r>
              <w:rPr>
                <w:rFonts w:hint="eastAsia" w:eastAsiaTheme="minorEastAsia"/>
                <w:bCs/>
                <w:color w:val="000000" w:themeColor="text1"/>
                <w:sz w:val="24"/>
                <w14:textFill>
                  <w14:solidFill>
                    <w14:schemeClr w14:val="tx1"/>
                  </w14:solidFill>
                </w14:textFill>
              </w:rPr>
              <w:t>的</w:t>
            </w:r>
            <w:r>
              <w:rPr>
                <w:rFonts w:eastAsiaTheme="minorEastAsia"/>
                <w:bCs/>
                <w:color w:val="000000" w:themeColor="text1"/>
                <w:sz w:val="24"/>
                <w14:textFill>
                  <w14:solidFill>
                    <w14:schemeClr w14:val="tx1"/>
                  </w14:solidFill>
                </w14:textFill>
              </w:rPr>
              <w:t>渗滤液收集池</w:t>
            </w:r>
            <w:r>
              <w:rPr>
                <w:rFonts w:hint="eastAsia" w:eastAsiaTheme="minorEastAsia"/>
                <w:bCs/>
                <w:color w:val="000000" w:themeColor="text1"/>
                <w:sz w:val="24"/>
                <w14:textFill>
                  <w14:solidFill>
                    <w14:schemeClr w14:val="tx1"/>
                  </w14:solidFill>
                </w14:textFill>
              </w:rPr>
              <w:t>，产生的渗滤液经收集沟收集至收集池</w:t>
            </w:r>
            <w:r>
              <w:rPr>
                <w:rFonts w:eastAsiaTheme="minorEastAsia"/>
                <w:bCs/>
                <w:color w:val="000000" w:themeColor="text1"/>
                <w:sz w:val="24"/>
                <w14:textFill>
                  <w14:solidFill>
                    <w14:schemeClr w14:val="tx1"/>
                  </w14:solidFill>
                </w14:textFill>
              </w:rPr>
              <w:t>暂存</w:t>
            </w:r>
            <w:r>
              <w:rPr>
                <w:rFonts w:hint="eastAsia" w:eastAsiaTheme="minorEastAsia"/>
                <w:bCs/>
                <w:color w:val="000000" w:themeColor="text1"/>
                <w:sz w:val="24"/>
                <w14:textFill>
                  <w14:solidFill>
                    <w14:schemeClr w14:val="tx1"/>
                  </w14:solidFill>
                </w14:textFill>
              </w:rPr>
              <w:t>后，全部回用于发酵过程用水，不外排。</w:t>
            </w:r>
          </w:p>
          <w:p w14:paraId="0B1C763B">
            <w:pPr>
              <w:adjustRightInd w:val="0"/>
              <w:snapToGrid w:val="0"/>
              <w:spacing w:line="360" w:lineRule="auto"/>
              <w:ind w:firstLine="480" w:firstLineChars="200"/>
              <w:rPr>
                <w:rFonts w:eastAsiaTheme="minorEastAsia"/>
                <w:bCs/>
                <w:color w:val="000000" w:themeColor="text1"/>
                <w:kern w:val="0"/>
                <w:sz w:val="24"/>
                <w:szCs w:val="22"/>
                <w14:textFill>
                  <w14:solidFill>
                    <w14:schemeClr w14:val="tx1"/>
                  </w14:solidFill>
                </w14:textFill>
              </w:rPr>
            </w:pPr>
            <w:r>
              <w:rPr>
                <w:rFonts w:eastAsiaTheme="minorEastAsia"/>
                <w:bCs/>
                <w:color w:val="000000" w:themeColor="text1"/>
                <w:kern w:val="0"/>
                <w:sz w:val="24"/>
                <w:szCs w:val="22"/>
                <w14:textFill>
                  <w14:solidFill>
                    <w14:schemeClr w14:val="tx1"/>
                  </w14:solidFill>
                </w14:textFill>
              </w:rPr>
              <w:t>本项目劳动定员</w:t>
            </w:r>
            <w:r>
              <w:rPr>
                <w:rFonts w:hint="eastAsia" w:eastAsiaTheme="minorEastAsia"/>
                <w:bCs/>
                <w:color w:val="000000" w:themeColor="text1"/>
                <w:kern w:val="0"/>
                <w:sz w:val="24"/>
                <w:szCs w:val="22"/>
                <w14:textFill>
                  <w14:solidFill>
                    <w14:schemeClr w14:val="tx1"/>
                  </w14:solidFill>
                </w14:textFill>
              </w:rPr>
              <w:t>10</w:t>
            </w:r>
            <w:r>
              <w:rPr>
                <w:rFonts w:eastAsiaTheme="minorEastAsia"/>
                <w:bCs/>
                <w:color w:val="000000" w:themeColor="text1"/>
                <w:kern w:val="0"/>
                <w:sz w:val="24"/>
                <w:szCs w:val="22"/>
                <w14:textFill>
                  <w14:solidFill>
                    <w14:schemeClr w14:val="tx1"/>
                  </w14:solidFill>
                </w14:textFill>
              </w:rPr>
              <w:t>人，</w:t>
            </w:r>
            <w:r>
              <w:rPr>
                <w:rFonts w:hint="eastAsia" w:eastAsiaTheme="minorEastAsia"/>
                <w:bCs/>
                <w:color w:val="000000" w:themeColor="text1"/>
                <w:kern w:val="0"/>
                <w:sz w:val="24"/>
                <w:szCs w:val="22"/>
                <w14:textFill>
                  <w14:solidFill>
                    <w14:schemeClr w14:val="tx1"/>
                  </w14:solidFill>
                </w14:textFill>
              </w:rPr>
              <w:t>管理人员2人，员工8人，员工均为当地的村民，不在项目区食宿；管理人员依托云南建工云岭水泥有限公司已建的配套宿舍和食堂，本项目</w:t>
            </w:r>
            <w:r>
              <w:rPr>
                <w:rFonts w:eastAsiaTheme="minorEastAsia"/>
                <w:bCs/>
                <w:color w:val="000000" w:themeColor="text1"/>
                <w:kern w:val="0"/>
                <w:sz w:val="24"/>
                <w:szCs w:val="22"/>
                <w14:textFill>
                  <w14:solidFill>
                    <w14:schemeClr w14:val="tx1"/>
                  </w14:solidFill>
                </w14:textFill>
              </w:rPr>
              <w:t>生活污水产生总量为</w:t>
            </w:r>
            <w:r>
              <w:rPr>
                <w:rFonts w:hint="eastAsia" w:eastAsiaTheme="minorEastAsia"/>
                <w:bCs/>
                <w:color w:val="000000" w:themeColor="text1"/>
                <w:kern w:val="0"/>
                <w:sz w:val="24"/>
                <w:szCs w:val="22"/>
                <w14:textFill>
                  <w14:solidFill>
                    <w14:schemeClr w14:val="tx1"/>
                  </w14:solidFill>
                </w14:textFill>
              </w:rPr>
              <w:t>0.304</w:t>
            </w:r>
            <w:r>
              <w:rPr>
                <w:rFonts w:eastAsiaTheme="minorEastAsia"/>
                <w:bCs/>
                <w:color w:val="000000" w:themeColor="text1"/>
                <w:kern w:val="0"/>
                <w:sz w:val="24"/>
                <w:szCs w:val="22"/>
                <w14:textFill>
                  <w14:solidFill>
                    <w14:schemeClr w14:val="tx1"/>
                  </w14:solidFill>
                </w14:textFill>
              </w:rPr>
              <w:t>m</w:t>
            </w:r>
            <w:r>
              <w:rPr>
                <w:rFonts w:eastAsiaTheme="minorEastAsia"/>
                <w:bCs/>
                <w:color w:val="000000" w:themeColor="text1"/>
                <w:kern w:val="0"/>
                <w:sz w:val="24"/>
                <w:szCs w:val="22"/>
                <w:vertAlign w:val="superscript"/>
                <w14:textFill>
                  <w14:solidFill>
                    <w14:schemeClr w14:val="tx1"/>
                  </w14:solidFill>
                </w14:textFill>
              </w:rPr>
              <w:t>3</w:t>
            </w:r>
            <w:r>
              <w:rPr>
                <w:rFonts w:eastAsiaTheme="minorEastAsia"/>
                <w:bCs/>
                <w:color w:val="000000" w:themeColor="text1"/>
                <w:kern w:val="0"/>
                <w:sz w:val="24"/>
                <w:szCs w:val="22"/>
                <w14:textFill>
                  <w14:solidFill>
                    <w14:schemeClr w14:val="tx1"/>
                  </w14:solidFill>
                </w14:textFill>
              </w:rPr>
              <w:t>/d（</w:t>
            </w:r>
            <w:r>
              <w:rPr>
                <w:rFonts w:hint="eastAsia" w:eastAsiaTheme="minorEastAsia"/>
                <w:bCs/>
                <w:color w:val="000000" w:themeColor="text1"/>
                <w:kern w:val="0"/>
                <w:sz w:val="24"/>
                <w:szCs w:val="22"/>
                <w14:textFill>
                  <w14:solidFill>
                    <w14:schemeClr w14:val="tx1"/>
                  </w14:solidFill>
                </w14:textFill>
              </w:rPr>
              <w:t>91.2</w:t>
            </w:r>
            <w:r>
              <w:rPr>
                <w:rFonts w:eastAsiaTheme="minorEastAsia"/>
                <w:bCs/>
                <w:color w:val="000000" w:themeColor="text1"/>
                <w:kern w:val="0"/>
                <w:sz w:val="24"/>
                <w:szCs w:val="22"/>
                <w14:textFill>
                  <w14:solidFill>
                    <w14:schemeClr w14:val="tx1"/>
                  </w14:solidFill>
                </w14:textFill>
              </w:rPr>
              <w:t>m</w:t>
            </w:r>
            <w:r>
              <w:rPr>
                <w:rFonts w:eastAsiaTheme="minorEastAsia"/>
                <w:bCs/>
                <w:color w:val="000000" w:themeColor="text1"/>
                <w:kern w:val="0"/>
                <w:sz w:val="24"/>
                <w:szCs w:val="22"/>
                <w:vertAlign w:val="superscript"/>
                <w14:textFill>
                  <w14:solidFill>
                    <w14:schemeClr w14:val="tx1"/>
                  </w14:solidFill>
                </w14:textFill>
              </w:rPr>
              <w:t>3</w:t>
            </w:r>
            <w:r>
              <w:rPr>
                <w:rFonts w:eastAsiaTheme="minorEastAsia"/>
                <w:bCs/>
                <w:color w:val="000000" w:themeColor="text1"/>
                <w:kern w:val="0"/>
                <w:sz w:val="24"/>
                <w:szCs w:val="22"/>
                <w14:textFill>
                  <w14:solidFill>
                    <w14:schemeClr w14:val="tx1"/>
                  </w14:solidFill>
                </w14:textFill>
              </w:rPr>
              <w:t>/a）。</w:t>
            </w:r>
            <w:r>
              <w:rPr>
                <w:rFonts w:hint="eastAsia" w:eastAsiaTheme="minorEastAsia"/>
                <w:bCs/>
                <w:color w:val="000000" w:themeColor="text1"/>
                <w:kern w:val="0"/>
                <w:sz w:val="24"/>
                <w:szCs w:val="22"/>
                <w14:textFill>
                  <w14:solidFill>
                    <w14:schemeClr w14:val="tx1"/>
                  </w14:solidFill>
                </w14:textFill>
              </w:rPr>
              <w:t>生活污水</w:t>
            </w:r>
            <w:r>
              <w:rPr>
                <w:rFonts w:eastAsiaTheme="minorEastAsia"/>
                <w:bCs/>
                <w:color w:val="000000" w:themeColor="text1"/>
                <w:kern w:val="0"/>
                <w:sz w:val="24"/>
                <w:szCs w:val="22"/>
                <w14:textFill>
                  <w14:solidFill>
                    <w14:schemeClr w14:val="tx1"/>
                  </w14:solidFill>
                </w14:textFill>
              </w:rPr>
              <w:t>进入</w:t>
            </w:r>
            <w:r>
              <w:rPr>
                <w:rFonts w:hint="eastAsia" w:eastAsiaTheme="minorEastAsia"/>
                <w:bCs/>
                <w:color w:val="000000" w:themeColor="text1"/>
                <w:kern w:val="0"/>
                <w:sz w:val="24"/>
                <w:szCs w:val="22"/>
                <w14:textFill>
                  <w14:solidFill>
                    <w14:schemeClr w14:val="tx1"/>
                  </w14:solidFill>
                </w14:textFill>
              </w:rPr>
              <w:t>云南建工云岭水泥有限公司已建5</w:t>
            </w:r>
            <w:r>
              <w:rPr>
                <w:rFonts w:eastAsiaTheme="minorEastAsia"/>
                <w:bCs/>
                <w:color w:val="000000" w:themeColor="text1"/>
                <w:kern w:val="0"/>
                <w:sz w:val="24"/>
                <w:szCs w:val="22"/>
                <w14:textFill>
                  <w14:solidFill>
                    <w14:schemeClr w14:val="tx1"/>
                  </w14:solidFill>
                </w14:textFill>
              </w:rPr>
              <w:t>m</w:t>
            </w:r>
            <w:r>
              <w:rPr>
                <w:rFonts w:eastAsiaTheme="minorEastAsia"/>
                <w:bCs/>
                <w:color w:val="000000" w:themeColor="text1"/>
                <w:kern w:val="0"/>
                <w:sz w:val="24"/>
                <w:szCs w:val="22"/>
                <w:vertAlign w:val="superscript"/>
                <w14:textFill>
                  <w14:solidFill>
                    <w14:schemeClr w14:val="tx1"/>
                  </w14:solidFill>
                </w14:textFill>
              </w:rPr>
              <w:t>3</w:t>
            </w:r>
            <w:r>
              <w:rPr>
                <w:rFonts w:hint="eastAsia" w:eastAsiaTheme="minorEastAsia"/>
                <w:bCs/>
                <w:color w:val="000000" w:themeColor="text1"/>
                <w:kern w:val="0"/>
                <w:sz w:val="24"/>
                <w:szCs w:val="22"/>
                <w14:textFill>
                  <w14:solidFill>
                    <w14:schemeClr w14:val="tx1"/>
                  </w14:solidFill>
                </w14:textFill>
              </w:rPr>
              <w:t>隔油</w:t>
            </w:r>
            <w:r>
              <w:rPr>
                <w:rFonts w:eastAsiaTheme="minorEastAsia"/>
                <w:bCs/>
                <w:color w:val="000000" w:themeColor="text1"/>
                <w:kern w:val="0"/>
                <w:sz w:val="24"/>
                <w:szCs w:val="22"/>
                <w14:textFill>
                  <w14:solidFill>
                    <w14:schemeClr w14:val="tx1"/>
                  </w14:solidFill>
                </w14:textFill>
              </w:rPr>
              <w:t>池</w:t>
            </w:r>
            <w:r>
              <w:rPr>
                <w:rFonts w:hint="eastAsia" w:eastAsiaTheme="minorEastAsia"/>
                <w:bCs/>
                <w:color w:val="000000" w:themeColor="text1"/>
                <w:kern w:val="0"/>
                <w:sz w:val="24"/>
                <w:szCs w:val="22"/>
                <w14:textFill>
                  <w14:solidFill>
                    <w14:schemeClr w14:val="tx1"/>
                  </w14:solidFill>
                </w14:textFill>
              </w:rPr>
              <w:t>和60</w:t>
            </w:r>
            <w:r>
              <w:rPr>
                <w:rFonts w:eastAsiaTheme="minorEastAsia"/>
                <w:bCs/>
                <w:color w:val="000000" w:themeColor="text1"/>
                <w:kern w:val="0"/>
                <w:sz w:val="24"/>
                <w:szCs w:val="22"/>
                <w14:textFill>
                  <w14:solidFill>
                    <w14:schemeClr w14:val="tx1"/>
                  </w14:solidFill>
                </w14:textFill>
              </w:rPr>
              <w:t>m</w:t>
            </w:r>
            <w:r>
              <w:rPr>
                <w:rFonts w:eastAsiaTheme="minorEastAsia"/>
                <w:bCs/>
                <w:color w:val="000000" w:themeColor="text1"/>
                <w:kern w:val="0"/>
                <w:sz w:val="24"/>
                <w:szCs w:val="22"/>
                <w:vertAlign w:val="superscript"/>
                <w14:textFill>
                  <w14:solidFill>
                    <w14:schemeClr w14:val="tx1"/>
                  </w14:solidFill>
                </w14:textFill>
              </w:rPr>
              <w:t>3</w:t>
            </w:r>
            <w:r>
              <w:rPr>
                <w:rFonts w:eastAsiaTheme="minorEastAsia"/>
                <w:bCs/>
                <w:color w:val="000000" w:themeColor="text1"/>
                <w:kern w:val="0"/>
                <w:sz w:val="24"/>
                <w:szCs w:val="22"/>
                <w14:textFill>
                  <w14:solidFill>
                    <w14:schemeClr w14:val="tx1"/>
                  </w14:solidFill>
                </w14:textFill>
              </w:rPr>
              <w:t>化粪池处理，最终</w:t>
            </w:r>
            <w:r>
              <w:rPr>
                <w:rFonts w:hint="eastAsia" w:eastAsiaTheme="minorEastAsia"/>
                <w:bCs/>
                <w:color w:val="000000" w:themeColor="text1"/>
                <w:kern w:val="0"/>
                <w:sz w:val="24"/>
                <w:szCs w:val="22"/>
                <w14:textFill>
                  <w14:solidFill>
                    <w14:schemeClr w14:val="tx1"/>
                  </w14:solidFill>
                </w14:textFill>
              </w:rPr>
              <w:t>进入已建的一体化污水处理设备进行处理达标后，回用于绿化和洒水降尘</w:t>
            </w:r>
            <w:r>
              <w:rPr>
                <w:rFonts w:eastAsiaTheme="minorEastAsia"/>
                <w:bCs/>
                <w:color w:val="000000" w:themeColor="text1"/>
                <w:kern w:val="0"/>
                <w:sz w:val="24"/>
                <w:szCs w:val="22"/>
                <w14:textFill>
                  <w14:solidFill>
                    <w14:schemeClr w14:val="tx1"/>
                  </w14:solidFill>
                </w14:textFill>
              </w:rPr>
              <w:t>。</w:t>
            </w:r>
          </w:p>
          <w:p w14:paraId="13763BCF">
            <w:pPr>
              <w:pStyle w:val="30"/>
              <w:spacing w:line="360" w:lineRule="auto"/>
              <w:rPr>
                <w:rFonts w:eastAsiaTheme="minorEastAsia"/>
                <w:b/>
                <w:color w:val="000000" w:themeColor="text1"/>
                <w:sz w:val="24"/>
                <w:szCs w:val="22"/>
                <w14:textFill>
                  <w14:solidFill>
                    <w14:schemeClr w14:val="tx1"/>
                  </w14:solidFill>
                </w14:textFill>
              </w:rPr>
            </w:pPr>
            <w:r>
              <w:rPr>
                <w:rFonts w:hint="eastAsia" w:eastAsiaTheme="minorEastAsia"/>
                <w:b/>
                <w:color w:val="000000" w:themeColor="text1"/>
                <w:sz w:val="24"/>
                <w:szCs w:val="22"/>
                <w14:textFill>
                  <w14:solidFill>
                    <w14:schemeClr w14:val="tx1"/>
                  </w14:solidFill>
                </w14:textFill>
              </w:rPr>
              <w:t>（2）处理措施可行性分析</w:t>
            </w:r>
          </w:p>
          <w:p w14:paraId="70C198CD">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①渗滤液收集池</w:t>
            </w:r>
          </w:p>
          <w:p w14:paraId="687D517E">
            <w:pPr>
              <w:adjustRightInd w:val="0"/>
              <w:snapToGrid w:val="0"/>
              <w:spacing w:line="360" w:lineRule="auto"/>
              <w:ind w:firstLine="480" w:firstLineChars="200"/>
              <w:rPr>
                <w:rFonts w:eastAsiaTheme="minorEastAsia"/>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本项目渗滤液</w:t>
            </w:r>
            <w:r>
              <w:rPr>
                <w:rFonts w:eastAsiaTheme="minorEastAsia"/>
                <w:bCs/>
                <w:color w:val="000000" w:themeColor="text1"/>
                <w:sz w:val="24"/>
                <w14:textFill>
                  <w14:solidFill>
                    <w14:schemeClr w14:val="tx1"/>
                  </w14:solidFill>
                </w14:textFill>
              </w:rPr>
              <w:t>产生量约为</w:t>
            </w:r>
            <w:r>
              <w:rPr>
                <w:rFonts w:hint="eastAsia" w:eastAsiaTheme="minorEastAsia"/>
                <w:bCs/>
                <w:color w:val="000000" w:themeColor="text1"/>
                <w:sz w:val="24"/>
                <w14:textFill>
                  <w14:solidFill>
                    <w14:schemeClr w14:val="tx1"/>
                  </w14:solidFill>
                </w14:textFill>
              </w:rPr>
              <w:t>51</w:t>
            </w:r>
            <w:r>
              <w:rPr>
                <w:rFonts w:eastAsiaTheme="minorEastAsia"/>
                <w:bCs/>
                <w:color w:val="000000" w:themeColor="text1"/>
                <w:sz w:val="24"/>
                <w14:textFill>
                  <w14:solidFill>
                    <w14:schemeClr w14:val="tx1"/>
                  </w14:solidFill>
                </w14:textFill>
              </w:rPr>
              <w:t>t/a（</w:t>
            </w:r>
            <w:r>
              <w:rPr>
                <w:rFonts w:hint="eastAsia" w:eastAsiaTheme="minorEastAsia"/>
                <w:bCs/>
                <w:color w:val="000000" w:themeColor="text1"/>
                <w:sz w:val="24"/>
                <w14:textFill>
                  <w14:solidFill>
                    <w14:schemeClr w14:val="tx1"/>
                  </w14:solidFill>
                </w14:textFill>
              </w:rPr>
              <w:t>0.15</w:t>
            </w:r>
            <w:r>
              <w:rPr>
                <w:rFonts w:eastAsiaTheme="minorEastAsia"/>
                <w:bCs/>
                <w:color w:val="000000" w:themeColor="text1"/>
                <w:sz w:val="24"/>
                <w14:textFill>
                  <w14:solidFill>
                    <w14:schemeClr w14:val="tx1"/>
                  </w14:solidFill>
                </w14:textFill>
              </w:rPr>
              <w:t>m</w:t>
            </w:r>
            <w:r>
              <w:rPr>
                <w:rFonts w:eastAsiaTheme="minorEastAsia"/>
                <w:bCs/>
                <w:color w:val="000000" w:themeColor="text1"/>
                <w:sz w:val="24"/>
                <w:vertAlign w:val="superscript"/>
                <w14:textFill>
                  <w14:solidFill>
                    <w14:schemeClr w14:val="tx1"/>
                  </w14:solidFill>
                </w14:textFill>
              </w:rPr>
              <w:t>3</w:t>
            </w:r>
            <w:r>
              <w:rPr>
                <w:rFonts w:eastAsiaTheme="minorEastAsia"/>
                <w:bCs/>
                <w:color w:val="000000" w:themeColor="text1"/>
                <w:sz w:val="24"/>
                <w14:textFill>
                  <w14:solidFill>
                    <w14:schemeClr w14:val="tx1"/>
                  </w14:solidFill>
                </w14:textFill>
              </w:rPr>
              <w:t>/d）</w:t>
            </w:r>
            <w:r>
              <w:rPr>
                <w:rFonts w:hint="eastAsia" w:eastAsiaTheme="minorEastAsia"/>
                <w:bCs/>
                <w:color w:val="000000" w:themeColor="text1"/>
                <w:sz w:val="24"/>
                <w14:textFill>
                  <w14:solidFill>
                    <w14:schemeClr w14:val="tx1"/>
                  </w14:solidFill>
                </w14:textFill>
              </w:rPr>
              <w:t>，</w:t>
            </w:r>
            <w:r>
              <w:rPr>
                <w:rFonts w:hint="eastAsia"/>
                <w:bCs/>
                <w:color w:val="000000" w:themeColor="text1"/>
                <w:sz w:val="24"/>
                <w14:textFill>
                  <w14:solidFill>
                    <w14:schemeClr w14:val="tx1"/>
                  </w14:solidFill>
                </w14:textFill>
              </w:rPr>
              <w:t>每次堆肥发酵期间需进行约6次翻抛，全年生产20个批次，共进行120次翻抛，</w:t>
            </w:r>
            <w:r>
              <w:rPr>
                <w:rFonts w:hint="eastAsia" w:eastAsiaTheme="minorEastAsia"/>
                <w:bCs/>
                <w:color w:val="000000" w:themeColor="text1"/>
                <w:sz w:val="24"/>
                <w14:textFill>
                  <w14:solidFill>
                    <w14:schemeClr w14:val="tx1"/>
                  </w14:solidFill>
                </w14:textFill>
              </w:rPr>
              <w:t>每次翻抛时产生量为0.42</w:t>
            </w:r>
            <w:r>
              <w:rPr>
                <w:rFonts w:eastAsiaTheme="minorEastAsia"/>
                <w:bCs/>
                <w:color w:val="000000" w:themeColor="text1"/>
                <w:sz w:val="24"/>
                <w14:textFill>
                  <w14:solidFill>
                    <w14:schemeClr w14:val="tx1"/>
                  </w14:solidFill>
                </w14:textFill>
              </w:rPr>
              <w:t>m</w:t>
            </w:r>
            <w:r>
              <w:rPr>
                <w:rFonts w:eastAsiaTheme="minorEastAsia"/>
                <w:bCs/>
                <w:color w:val="000000" w:themeColor="text1"/>
                <w:sz w:val="24"/>
                <w:vertAlign w:val="superscript"/>
                <w14:textFill>
                  <w14:solidFill>
                    <w14:schemeClr w14:val="tx1"/>
                  </w14:solidFill>
                </w14:textFill>
              </w:rPr>
              <w:t>3</w:t>
            </w:r>
            <w:r>
              <w:rPr>
                <w:rFonts w:eastAsiaTheme="minorEastAsia"/>
                <w:bCs/>
                <w:color w:val="000000" w:themeColor="text1"/>
                <w:sz w:val="24"/>
                <w14:textFill>
                  <w14:solidFill>
                    <w14:schemeClr w14:val="tx1"/>
                  </w14:solidFill>
                </w14:textFill>
              </w:rPr>
              <w:t>/</w:t>
            </w:r>
            <w:r>
              <w:rPr>
                <w:rFonts w:hint="eastAsia" w:eastAsiaTheme="minorEastAsia"/>
                <w:bCs/>
                <w:color w:val="000000" w:themeColor="text1"/>
                <w:sz w:val="24"/>
                <w14:textFill>
                  <w14:solidFill>
                    <w14:schemeClr w14:val="tx1"/>
                  </w14:solidFill>
                </w14:textFill>
              </w:rPr>
              <w:t>次。本项目位于发酵区地势低处设置1个容积为2</w:t>
            </w:r>
            <w:r>
              <w:rPr>
                <w:rFonts w:eastAsiaTheme="minorEastAsia"/>
                <w:bCs/>
                <w:color w:val="000000" w:themeColor="text1"/>
                <w:sz w:val="24"/>
                <w14:textFill>
                  <w14:solidFill>
                    <w14:schemeClr w14:val="tx1"/>
                  </w14:solidFill>
                </w14:textFill>
              </w:rPr>
              <w:t>m</w:t>
            </w:r>
            <w:r>
              <w:rPr>
                <w:rFonts w:eastAsiaTheme="minorEastAsia"/>
                <w:bCs/>
                <w:color w:val="000000" w:themeColor="text1"/>
                <w:sz w:val="24"/>
                <w:vertAlign w:val="superscript"/>
                <w14:textFill>
                  <w14:solidFill>
                    <w14:schemeClr w14:val="tx1"/>
                  </w14:solidFill>
                </w14:textFill>
              </w:rPr>
              <w:t>3</w:t>
            </w:r>
            <w:r>
              <w:rPr>
                <w:rFonts w:hint="eastAsia" w:eastAsiaTheme="minorEastAsia"/>
                <w:bCs/>
                <w:color w:val="000000" w:themeColor="text1"/>
                <w:sz w:val="24"/>
                <w14:textFill>
                  <w14:solidFill>
                    <w14:schemeClr w14:val="tx1"/>
                  </w14:solidFill>
                </w14:textFill>
              </w:rPr>
              <w:t>的</w:t>
            </w:r>
            <w:r>
              <w:rPr>
                <w:rFonts w:eastAsiaTheme="minorEastAsia"/>
                <w:bCs/>
                <w:color w:val="000000" w:themeColor="text1"/>
                <w:sz w:val="24"/>
                <w14:textFill>
                  <w14:solidFill>
                    <w14:schemeClr w14:val="tx1"/>
                  </w14:solidFill>
                </w14:textFill>
              </w:rPr>
              <w:t>渗滤液收集池</w:t>
            </w:r>
            <w:r>
              <w:rPr>
                <w:rFonts w:hint="eastAsia" w:eastAsiaTheme="minorEastAsia"/>
                <w:bCs/>
                <w:color w:val="000000" w:themeColor="text1"/>
                <w:sz w:val="24"/>
                <w14:textFill>
                  <w14:solidFill>
                    <w14:schemeClr w14:val="tx1"/>
                  </w14:solidFill>
                </w14:textFill>
              </w:rPr>
              <w:t>，可满足13天的渗滤液收集量。生产期间工艺用水量为15</w:t>
            </w:r>
            <w:r>
              <w:rPr>
                <w:rFonts w:eastAsiaTheme="minorEastAsia"/>
                <w:bCs/>
                <w:color w:val="000000" w:themeColor="text1"/>
                <w:sz w:val="24"/>
                <w14:textFill>
                  <w14:solidFill>
                    <w14:schemeClr w14:val="tx1"/>
                  </w14:solidFill>
                </w14:textFill>
              </w:rPr>
              <w:t>m³/d，</w:t>
            </w:r>
            <w:r>
              <w:rPr>
                <w:rFonts w:hint="eastAsia" w:eastAsiaTheme="minorEastAsia"/>
                <w:bCs/>
                <w:color w:val="000000" w:themeColor="text1"/>
                <w:sz w:val="24"/>
                <w14:textFill>
                  <w14:solidFill>
                    <w14:schemeClr w14:val="tx1"/>
                  </w14:solidFill>
                </w14:textFill>
              </w:rPr>
              <w:t>产生的渗滤液可以全部回用于生产，不外排；且生产工艺用水对水质无要求，渗滤液回用于生产不外排，措施可行。</w:t>
            </w:r>
          </w:p>
          <w:p w14:paraId="5BD2F2E1">
            <w:pPr>
              <w:pStyle w:val="10"/>
              <w:rPr>
                <w:rFonts w:eastAsiaTheme="minorEastAsia"/>
                <w:bCs/>
                <w:color w:val="000000" w:themeColor="text1"/>
                <w:sz w:val="24"/>
                <w14:textFill>
                  <w14:solidFill>
                    <w14:schemeClr w14:val="tx1"/>
                  </w14:solidFill>
                </w14:textFill>
              </w:rPr>
            </w:pPr>
            <w:r>
              <w:rPr>
                <w:rFonts w:hint="eastAsia" w:eastAsiaTheme="minorEastAsia"/>
                <w:bCs/>
                <w:color w:val="000000" w:themeColor="text1"/>
                <w:sz w:val="24"/>
                <w14:textFill>
                  <w14:solidFill>
                    <w14:schemeClr w14:val="tx1"/>
                  </w14:solidFill>
                </w14:textFill>
              </w:rPr>
              <w:t xml:space="preserve">    ②初期雨水收集池</w:t>
            </w:r>
          </w:p>
          <w:p w14:paraId="4149BE5B">
            <w:pPr>
              <w:adjustRightInd w:val="0"/>
              <w:snapToGrid w:val="0"/>
              <w:spacing w:line="360" w:lineRule="auto"/>
              <w:ind w:firstLine="480" w:firstLineChars="200"/>
              <w:rPr>
                <w:rFonts w:eastAsiaTheme="minorEastAsia"/>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本项目暴雨情况下初期雨水量为</w:t>
            </w:r>
            <w:r>
              <w:rPr>
                <w:rFonts w:hint="eastAsia"/>
                <w:snapToGrid w:val="0"/>
                <w:color w:val="000000" w:themeColor="text1"/>
                <w:sz w:val="24"/>
                <w14:textFill>
                  <w14:solidFill>
                    <w14:schemeClr w14:val="tx1"/>
                  </w14:solidFill>
                </w14:textFill>
              </w:rPr>
              <w:t>22.7</w:t>
            </w:r>
            <w:r>
              <w:rPr>
                <w:snapToGrid w:val="0"/>
                <w:color w:val="000000" w:themeColor="text1"/>
                <w:sz w:val="24"/>
                <w14:textFill>
                  <w14:solidFill>
                    <w14:schemeClr w14:val="tx1"/>
                  </w14:solidFill>
                </w14:textFill>
              </w:rPr>
              <w:t>m</w:t>
            </w:r>
            <w:r>
              <w:rPr>
                <w:snapToGrid w:val="0"/>
                <w:color w:val="000000" w:themeColor="text1"/>
                <w:sz w:val="24"/>
                <w:vertAlign w:val="superscript"/>
                <w14:textFill>
                  <w14:solidFill>
                    <w14:schemeClr w14:val="tx1"/>
                  </w14:solidFill>
                </w14:textFill>
              </w:rPr>
              <w:t>3</w:t>
            </w:r>
            <w:r>
              <w:rPr>
                <w:snapToGrid w:val="0"/>
                <w:color w:val="000000" w:themeColor="text1"/>
                <w:sz w:val="24"/>
                <w14:textFill>
                  <w14:solidFill>
                    <w14:schemeClr w14:val="tx1"/>
                  </w14:solidFill>
                </w14:textFill>
              </w:rPr>
              <w:t>/次，项目设置1个容积</w:t>
            </w:r>
            <w:r>
              <w:rPr>
                <w:rFonts w:hint="eastAsia"/>
                <w:snapToGrid w:val="0"/>
                <w:color w:val="000000" w:themeColor="text1"/>
                <w:sz w:val="24"/>
                <w14:textFill>
                  <w14:solidFill>
                    <w14:schemeClr w14:val="tx1"/>
                  </w14:solidFill>
                </w14:textFill>
              </w:rPr>
              <w:t>3</w:t>
            </w:r>
            <w:r>
              <w:rPr>
                <w:snapToGrid w:val="0"/>
                <w:color w:val="000000" w:themeColor="text1"/>
                <w:sz w:val="24"/>
                <w14:textFill>
                  <w14:solidFill>
                    <w14:schemeClr w14:val="tx1"/>
                  </w14:solidFill>
                </w14:textFill>
              </w:rPr>
              <w:t>0m</w:t>
            </w:r>
            <w:r>
              <w:rPr>
                <w:snapToGrid w:val="0"/>
                <w:color w:val="000000" w:themeColor="text1"/>
                <w:sz w:val="24"/>
                <w:vertAlign w:val="superscript"/>
                <w14:textFill>
                  <w14:solidFill>
                    <w14:schemeClr w14:val="tx1"/>
                  </w14:solidFill>
                </w14:textFill>
              </w:rPr>
              <w:t>3</w:t>
            </w:r>
            <w:r>
              <w:rPr>
                <w:rFonts w:hint="eastAsia"/>
                <w:snapToGrid w:val="0"/>
                <w:color w:val="000000" w:themeColor="text1"/>
                <w:sz w:val="24"/>
                <w14:textFill>
                  <w14:solidFill>
                    <w14:schemeClr w14:val="tx1"/>
                  </w14:solidFill>
                </w14:textFill>
              </w:rPr>
              <w:t>初期雨水收集池</w:t>
            </w:r>
            <w:r>
              <w:rPr>
                <w:snapToGrid w:val="0"/>
                <w:color w:val="000000" w:themeColor="text1"/>
                <w:sz w:val="24"/>
                <w14:textFill>
                  <w14:solidFill>
                    <w14:schemeClr w14:val="tx1"/>
                  </w14:solidFill>
                </w14:textFill>
              </w:rPr>
              <w:t>，可满足初期雨水收集要求。</w:t>
            </w:r>
            <w:r>
              <w:rPr>
                <w:rFonts w:hint="eastAsia"/>
                <w:snapToGrid w:val="0"/>
                <w:color w:val="000000" w:themeColor="text1"/>
                <w:sz w:val="24"/>
                <w14:textFill>
                  <w14:solidFill>
                    <w14:schemeClr w14:val="tx1"/>
                  </w14:solidFill>
                </w14:textFill>
              </w:rPr>
              <w:t>初期雨水收集后回用于生产，初期雨水</w:t>
            </w:r>
            <w:r>
              <w:rPr>
                <w:rFonts w:hint="eastAsia"/>
                <w:bCs/>
                <w:color w:val="000000" w:themeColor="text1"/>
                <w:sz w:val="24"/>
                <w14:textFill>
                  <w14:solidFill>
                    <w14:schemeClr w14:val="tx1"/>
                  </w14:solidFill>
                </w14:textFill>
              </w:rPr>
              <w:t>收集量为2640m</w:t>
            </w:r>
            <w:r>
              <w:rPr>
                <w:rFonts w:hint="eastAsia"/>
                <w:bCs/>
                <w:color w:val="000000" w:themeColor="text1"/>
                <w:sz w:val="24"/>
                <w:vertAlign w:val="superscript"/>
                <w14:textFill>
                  <w14:solidFill>
                    <w14:schemeClr w14:val="tx1"/>
                  </w14:solidFill>
                </w14:textFill>
              </w:rPr>
              <w:t>3</w:t>
            </w:r>
            <w:r>
              <w:rPr>
                <w:rFonts w:hint="eastAsia"/>
                <w:bCs/>
                <w:color w:val="000000" w:themeColor="text1"/>
                <w:sz w:val="24"/>
                <w14:textFill>
                  <w14:solidFill>
                    <w14:schemeClr w14:val="tx1"/>
                  </w14:solidFill>
                </w14:textFill>
              </w:rPr>
              <w:t>/a，13.9m</w:t>
            </w:r>
            <w:r>
              <w:rPr>
                <w:rFonts w:hint="eastAsia"/>
                <w:bCs/>
                <w:color w:val="000000" w:themeColor="text1"/>
                <w:sz w:val="24"/>
                <w:vertAlign w:val="superscript"/>
                <w14:textFill>
                  <w14:solidFill>
                    <w14:schemeClr w14:val="tx1"/>
                  </w14:solidFill>
                </w14:textFill>
              </w:rPr>
              <w:t>3</w:t>
            </w:r>
            <w:r>
              <w:rPr>
                <w:rFonts w:hint="eastAsia"/>
                <w:bCs/>
                <w:color w:val="000000" w:themeColor="text1"/>
                <w:sz w:val="24"/>
                <w14:textFill>
                  <w14:solidFill>
                    <w14:schemeClr w14:val="tx1"/>
                  </w14:solidFill>
                </w14:textFill>
              </w:rPr>
              <w:t>/d，生产用水量为</w:t>
            </w:r>
            <w:r>
              <w:rPr>
                <w:rFonts w:hint="eastAsia" w:eastAsiaTheme="minorEastAsia"/>
                <w:bCs/>
                <w:color w:val="000000" w:themeColor="text1"/>
                <w:sz w:val="24"/>
                <w14:textFill>
                  <w14:solidFill>
                    <w14:schemeClr w14:val="tx1"/>
                  </w14:solidFill>
                </w14:textFill>
              </w:rPr>
              <w:t>5000</w:t>
            </w:r>
            <w:r>
              <w:rPr>
                <w:rFonts w:eastAsiaTheme="minorEastAsia"/>
                <w:bCs/>
                <w:color w:val="000000" w:themeColor="text1"/>
                <w:sz w:val="24"/>
                <w14:textFill>
                  <w14:solidFill>
                    <w14:schemeClr w14:val="tx1"/>
                  </w14:solidFill>
                </w14:textFill>
              </w:rPr>
              <w:t>m³/</w:t>
            </w:r>
            <w:r>
              <w:rPr>
                <w:rFonts w:hint="eastAsia" w:eastAsiaTheme="minorEastAsia"/>
                <w:bCs/>
                <w:color w:val="000000" w:themeColor="text1"/>
                <w:sz w:val="24"/>
                <w14:textFill>
                  <w14:solidFill>
                    <w14:schemeClr w14:val="tx1"/>
                  </w14:solidFill>
                </w14:textFill>
              </w:rPr>
              <w:t>a</w:t>
            </w:r>
            <w:r>
              <w:rPr>
                <w:rFonts w:eastAsiaTheme="minorEastAsia"/>
                <w:bCs/>
                <w:color w:val="000000" w:themeColor="text1"/>
                <w:sz w:val="24"/>
                <w14:textFill>
                  <w14:solidFill>
                    <w14:schemeClr w14:val="tx1"/>
                  </w14:solidFill>
                </w14:textFill>
              </w:rPr>
              <w:t>，</w:t>
            </w:r>
            <w:r>
              <w:rPr>
                <w:rFonts w:hint="eastAsia" w:eastAsiaTheme="minorEastAsia"/>
                <w:bCs/>
                <w:color w:val="000000" w:themeColor="text1"/>
                <w:sz w:val="24"/>
                <w14:textFill>
                  <w14:solidFill>
                    <w14:schemeClr w14:val="tx1"/>
                  </w14:solidFill>
                </w14:textFill>
              </w:rPr>
              <w:t>14.7</w:t>
            </w:r>
            <w:r>
              <w:rPr>
                <w:rFonts w:eastAsiaTheme="minorEastAsia"/>
                <w:bCs/>
                <w:color w:val="000000" w:themeColor="text1"/>
                <w:sz w:val="24"/>
                <w14:textFill>
                  <w14:solidFill>
                    <w14:schemeClr w14:val="tx1"/>
                  </w14:solidFill>
                </w14:textFill>
              </w:rPr>
              <w:t>m³/d，</w:t>
            </w:r>
            <w:r>
              <w:rPr>
                <w:rFonts w:hint="eastAsia" w:eastAsiaTheme="minorEastAsia"/>
                <w:bCs/>
                <w:color w:val="000000" w:themeColor="text1"/>
                <w:sz w:val="24"/>
                <w14:textFill>
                  <w14:solidFill>
                    <w14:schemeClr w14:val="tx1"/>
                  </w14:solidFill>
                </w14:textFill>
              </w:rPr>
              <w:t>产生的初期雨水量小于生产用水量，可实现全部回用不外排，处理措施可行。</w:t>
            </w:r>
          </w:p>
          <w:p w14:paraId="4C79DDC6">
            <w:pPr>
              <w:pStyle w:val="16"/>
              <w:adjustRightInd w:val="0"/>
              <w:spacing w:before="120" w:beforeLines="50" w:line="360" w:lineRule="auto"/>
              <w:ind w:firstLine="442" w:firstLineChars="200"/>
              <w:rPr>
                <w:b/>
                <w:color w:val="000000" w:themeColor="text1"/>
                <w:spacing w:val="-10"/>
                <w:sz w:val="24"/>
                <w:szCs w:val="24"/>
                <w14:textFill>
                  <w14:solidFill>
                    <w14:schemeClr w14:val="tx1"/>
                  </w14:solidFill>
                </w14:textFill>
              </w:rPr>
            </w:pPr>
            <w:r>
              <w:rPr>
                <w:b/>
                <w:color w:val="000000" w:themeColor="text1"/>
                <w:spacing w:val="-10"/>
                <w:sz w:val="24"/>
                <w:szCs w:val="24"/>
                <w14:textFill>
                  <w14:solidFill>
                    <w14:schemeClr w14:val="tx1"/>
                  </w14:solidFill>
                </w14:textFill>
              </w:rPr>
              <w:t>（</w:t>
            </w:r>
            <w:r>
              <w:rPr>
                <w:rFonts w:hint="eastAsia"/>
                <w:b/>
                <w:color w:val="000000" w:themeColor="text1"/>
                <w:spacing w:val="-10"/>
                <w:sz w:val="24"/>
                <w:szCs w:val="24"/>
                <w14:textFill>
                  <w14:solidFill>
                    <w14:schemeClr w14:val="tx1"/>
                  </w14:solidFill>
                </w14:textFill>
              </w:rPr>
              <w:t>3</w:t>
            </w:r>
            <w:r>
              <w:rPr>
                <w:b/>
                <w:color w:val="000000" w:themeColor="text1"/>
                <w:spacing w:val="-10"/>
                <w:sz w:val="24"/>
                <w:szCs w:val="24"/>
                <w14:textFill>
                  <w14:solidFill>
                    <w14:schemeClr w14:val="tx1"/>
                  </w14:solidFill>
                </w14:textFill>
              </w:rPr>
              <w:t>）</w:t>
            </w:r>
            <w:r>
              <w:rPr>
                <w:rFonts w:hint="eastAsia"/>
                <w:b/>
                <w:color w:val="000000" w:themeColor="text1"/>
                <w:spacing w:val="-10"/>
                <w:sz w:val="24"/>
                <w:szCs w:val="24"/>
                <w14:textFill>
                  <w14:solidFill>
                    <w14:schemeClr w14:val="tx1"/>
                  </w14:solidFill>
                </w14:textFill>
              </w:rPr>
              <w:t>依托处置可行性分析</w:t>
            </w:r>
          </w:p>
          <w:p w14:paraId="27D424F7">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云南建工云岭水泥有限公司宿舍、食堂和办公楼目前正常使用，生活污水总产生量约为11m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/d，经5</w:t>
            </w:r>
            <w:r>
              <w:rPr>
                <w:rFonts w:eastAsiaTheme="minorEastAsia"/>
                <w:bCs/>
                <w:color w:val="000000" w:themeColor="text1"/>
                <w:kern w:val="0"/>
                <w:sz w:val="24"/>
                <w:szCs w:val="22"/>
                <w14:textFill>
                  <w14:solidFill>
                    <w14:schemeClr w14:val="tx1"/>
                  </w14:solidFill>
                </w14:textFill>
              </w:rPr>
              <w:t>m</w:t>
            </w:r>
            <w:r>
              <w:rPr>
                <w:rFonts w:eastAsiaTheme="minorEastAsia"/>
                <w:bCs/>
                <w:color w:val="000000" w:themeColor="text1"/>
                <w:kern w:val="0"/>
                <w:sz w:val="24"/>
                <w:szCs w:val="22"/>
                <w:vertAlign w:val="superscript"/>
                <w14:textFill>
                  <w14:solidFill>
                    <w14:schemeClr w14:val="tx1"/>
                  </w14:solidFill>
                </w14:textFill>
              </w:rPr>
              <w:t>3</w:t>
            </w:r>
            <w:r>
              <w:rPr>
                <w:rFonts w:hint="eastAsia" w:eastAsiaTheme="minorEastAsia"/>
                <w:color w:val="000000" w:themeColor="text1"/>
                <w:sz w:val="24"/>
                <w14:textFill>
                  <w14:solidFill>
                    <w14:schemeClr w14:val="tx1"/>
                  </w14:solidFill>
                </w14:textFill>
              </w:rPr>
              <w:t>隔油</w:t>
            </w:r>
            <w:r>
              <w:rPr>
                <w:rFonts w:hint="eastAsia"/>
                <w:color w:val="000000" w:themeColor="text1"/>
                <w:sz w:val="24"/>
                <w14:textFill>
                  <w14:solidFill>
                    <w14:schemeClr w14:val="tx1"/>
                  </w14:solidFill>
                </w14:textFill>
              </w:rPr>
              <w:t>池和</w:t>
            </w:r>
            <w:r>
              <w:rPr>
                <w:rFonts w:hint="eastAsia" w:eastAsiaTheme="minorEastAsia"/>
                <w:bCs/>
                <w:color w:val="000000" w:themeColor="text1"/>
                <w:kern w:val="0"/>
                <w:sz w:val="24"/>
                <w:szCs w:val="22"/>
                <w14:textFill>
                  <w14:solidFill>
                    <w14:schemeClr w14:val="tx1"/>
                  </w14:solidFill>
                </w14:textFill>
              </w:rPr>
              <w:t>60</w:t>
            </w:r>
            <w:r>
              <w:rPr>
                <w:rFonts w:eastAsiaTheme="minorEastAsia"/>
                <w:bCs/>
                <w:color w:val="000000" w:themeColor="text1"/>
                <w:kern w:val="0"/>
                <w:sz w:val="24"/>
                <w:szCs w:val="22"/>
                <w14:textFill>
                  <w14:solidFill>
                    <w14:schemeClr w14:val="tx1"/>
                  </w14:solidFill>
                </w14:textFill>
              </w:rPr>
              <w:t>m</w:t>
            </w:r>
            <w:r>
              <w:rPr>
                <w:rFonts w:eastAsiaTheme="minorEastAsia"/>
                <w:bCs/>
                <w:color w:val="000000" w:themeColor="text1"/>
                <w:kern w:val="0"/>
                <w:sz w:val="24"/>
                <w:szCs w:val="22"/>
                <w:vertAlign w:val="superscript"/>
                <w14:textFill>
                  <w14:solidFill>
                    <w14:schemeClr w14:val="tx1"/>
                  </w14:solidFill>
                </w14:textFill>
              </w:rPr>
              <w:t>3</w:t>
            </w:r>
            <w:r>
              <w:rPr>
                <w:rFonts w:hint="eastAsia"/>
                <w:color w:val="000000" w:themeColor="text1"/>
                <w:sz w:val="24"/>
                <w14:textFill>
                  <w14:solidFill>
                    <w14:schemeClr w14:val="tx1"/>
                  </w14:solidFill>
                </w14:textFill>
              </w:rPr>
              <w:t>化粪池预处理后排入污水处理站（处理规模为120m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/d）处理，达标后排至200m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的蓄水池储存，用于厂区的绿化和洒水降尘。根据《2000吨/天综合利用电石渣新型干法水泥熟料生产线竣工验收监测报告》、《云南建工云岭水泥有限公司2000吨/天新型干法水泥生产线烟气脱硝（SNCR）技术改造项目竣工验收调查表》，污水处理站出水水质满足回用的要求，且中水可以完全回用不外排。根据云南建工云岭水泥有限公司2021年10月自行监测数据，污水处理站出水水质满足《城市污水再生利用 城市杂用水水质》（GB/T 18920-2020）中绿化、道路清扫标准值（见附件12）。</w:t>
            </w:r>
          </w:p>
          <w:p w14:paraId="73632528">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同时，根据《寻甸产业园区金所片区工业废水依托城镇污水处理厂处理可行性评估报告》（2025年7月）调查结论：“云南建工云岭水泥有限公司2021年全厂停产后无生产废水使用和外排，非生产性员工正常上班，员工生活污水经污水处理站处理达标后，用于厂区绿化和洒水，不外排。”</w:t>
            </w:r>
          </w:p>
          <w:p w14:paraId="69FD3650">
            <w:pPr>
              <w:adjustRightInd w:val="0"/>
              <w:snapToGrid w:val="0"/>
              <w:spacing w:line="360" w:lineRule="auto"/>
              <w:ind w:firstLine="480" w:firstLineChars="200"/>
              <w:rPr>
                <w:rFonts w:eastAsiaTheme="minor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根据现场调查，云南建工云岭水泥有限公司宿舍、食堂和办公楼目前正常使用，生活污水总产生量约为11m</w:t>
            </w:r>
            <w:r>
              <w:rPr>
                <w:rFonts w:hint="eastAsia"/>
                <w:color w:val="000000" w:themeColor="text1"/>
                <w:sz w:val="24"/>
                <w:vertAlign w:val="superscript"/>
                <w14:textFill>
                  <w14:solidFill>
                    <w14:schemeClr w14:val="tx1"/>
                  </w14:solidFill>
                </w14:textFill>
              </w:rPr>
              <w:t>3</w:t>
            </w:r>
            <w:r>
              <w:rPr>
                <w:rFonts w:hint="eastAsia"/>
                <w:color w:val="000000" w:themeColor="text1"/>
                <w:sz w:val="24"/>
                <w14:textFill>
                  <w14:solidFill>
                    <w14:schemeClr w14:val="tx1"/>
                  </w14:solidFill>
                </w14:textFill>
              </w:rPr>
              <w:t>/d，而本</w:t>
            </w:r>
            <w:r>
              <w:rPr>
                <w:rFonts w:hint="eastAsia" w:eastAsiaTheme="minorEastAsia"/>
                <w:bCs/>
                <w:color w:val="000000" w:themeColor="text1"/>
                <w:kern w:val="0"/>
                <w:sz w:val="24"/>
                <w:szCs w:val="22"/>
                <w14:textFill>
                  <w14:solidFill>
                    <w14:schemeClr w14:val="tx1"/>
                  </w14:solidFill>
                </w14:textFill>
              </w:rPr>
              <w:t>项目</w:t>
            </w:r>
            <w:r>
              <w:rPr>
                <w:rFonts w:eastAsiaTheme="minorEastAsia"/>
                <w:bCs/>
                <w:color w:val="000000" w:themeColor="text1"/>
                <w:kern w:val="0"/>
                <w:sz w:val="24"/>
                <w:szCs w:val="22"/>
                <w14:textFill>
                  <w14:solidFill>
                    <w14:schemeClr w14:val="tx1"/>
                  </w14:solidFill>
                </w14:textFill>
              </w:rPr>
              <w:t>生活污水产生总量为</w:t>
            </w:r>
            <w:r>
              <w:rPr>
                <w:rFonts w:hint="eastAsia" w:eastAsiaTheme="minorEastAsia"/>
                <w:bCs/>
                <w:color w:val="000000" w:themeColor="text1"/>
                <w:kern w:val="0"/>
                <w:sz w:val="24"/>
                <w:szCs w:val="22"/>
                <w14:textFill>
                  <w14:solidFill>
                    <w14:schemeClr w14:val="tx1"/>
                  </w14:solidFill>
                </w14:textFill>
              </w:rPr>
              <w:t>0.304</w:t>
            </w:r>
            <w:r>
              <w:rPr>
                <w:rFonts w:eastAsiaTheme="minorEastAsia"/>
                <w:bCs/>
                <w:color w:val="000000" w:themeColor="text1"/>
                <w:kern w:val="0"/>
                <w:sz w:val="24"/>
                <w:szCs w:val="22"/>
                <w14:textFill>
                  <w14:solidFill>
                    <w14:schemeClr w14:val="tx1"/>
                  </w14:solidFill>
                </w14:textFill>
              </w:rPr>
              <w:t>m</w:t>
            </w:r>
            <w:r>
              <w:rPr>
                <w:rFonts w:eastAsiaTheme="minorEastAsia"/>
                <w:bCs/>
                <w:color w:val="000000" w:themeColor="text1"/>
                <w:kern w:val="0"/>
                <w:sz w:val="24"/>
                <w:szCs w:val="22"/>
                <w:vertAlign w:val="superscript"/>
                <w14:textFill>
                  <w14:solidFill>
                    <w14:schemeClr w14:val="tx1"/>
                  </w14:solidFill>
                </w14:textFill>
              </w:rPr>
              <w:t>3</w:t>
            </w:r>
            <w:r>
              <w:rPr>
                <w:rFonts w:eastAsiaTheme="minorEastAsia"/>
                <w:bCs/>
                <w:color w:val="000000" w:themeColor="text1"/>
                <w:kern w:val="0"/>
                <w:sz w:val="24"/>
                <w:szCs w:val="22"/>
                <w14:textFill>
                  <w14:solidFill>
                    <w14:schemeClr w14:val="tx1"/>
                  </w14:solidFill>
                </w14:textFill>
              </w:rPr>
              <w:t>/d（</w:t>
            </w:r>
            <w:r>
              <w:rPr>
                <w:rFonts w:hint="eastAsia" w:eastAsiaTheme="minorEastAsia"/>
                <w:bCs/>
                <w:color w:val="000000" w:themeColor="text1"/>
                <w:kern w:val="0"/>
                <w:sz w:val="24"/>
                <w:szCs w:val="22"/>
                <w14:textFill>
                  <w14:solidFill>
                    <w14:schemeClr w14:val="tx1"/>
                  </w14:solidFill>
                </w14:textFill>
              </w:rPr>
              <w:t>91.2</w:t>
            </w:r>
            <w:r>
              <w:rPr>
                <w:rFonts w:eastAsiaTheme="minorEastAsia"/>
                <w:bCs/>
                <w:color w:val="000000" w:themeColor="text1"/>
                <w:kern w:val="0"/>
                <w:sz w:val="24"/>
                <w:szCs w:val="22"/>
                <w14:textFill>
                  <w14:solidFill>
                    <w14:schemeClr w14:val="tx1"/>
                  </w14:solidFill>
                </w14:textFill>
              </w:rPr>
              <w:t>m</w:t>
            </w:r>
            <w:r>
              <w:rPr>
                <w:rFonts w:eastAsiaTheme="minorEastAsia"/>
                <w:bCs/>
                <w:color w:val="000000" w:themeColor="text1"/>
                <w:kern w:val="0"/>
                <w:sz w:val="24"/>
                <w:szCs w:val="22"/>
                <w:vertAlign w:val="superscript"/>
                <w14:textFill>
                  <w14:solidFill>
                    <w14:schemeClr w14:val="tx1"/>
                  </w14:solidFill>
                </w14:textFill>
              </w:rPr>
              <w:t>3</w:t>
            </w:r>
            <w:r>
              <w:rPr>
                <w:rFonts w:eastAsiaTheme="minorEastAsia"/>
                <w:bCs/>
                <w:color w:val="000000" w:themeColor="text1"/>
                <w:kern w:val="0"/>
                <w:sz w:val="24"/>
                <w:szCs w:val="22"/>
                <w14:textFill>
                  <w14:solidFill>
                    <w14:schemeClr w14:val="tx1"/>
                  </w14:solidFill>
                </w14:textFill>
              </w:rPr>
              <w:t>/a）</w:t>
            </w:r>
            <w:r>
              <w:rPr>
                <w:rFonts w:hint="eastAsia" w:eastAsiaTheme="minorEastAsia"/>
                <w:bCs/>
                <w:color w:val="000000" w:themeColor="text1"/>
                <w:kern w:val="0"/>
                <w:sz w:val="24"/>
                <w:szCs w:val="22"/>
                <w14:textFill>
                  <w14:solidFill>
                    <w14:schemeClr w14:val="tx1"/>
                  </w14:solidFill>
                </w14:textFill>
              </w:rPr>
              <w:t>，剩余处理规模完全满足项目污水的处理的需求，且中水可以全部回用不外排。</w:t>
            </w:r>
          </w:p>
          <w:p w14:paraId="464C6B3C">
            <w:pPr>
              <w:pStyle w:val="16"/>
              <w:adjustRightInd w:val="0"/>
              <w:spacing w:line="360" w:lineRule="auto"/>
              <w:rPr>
                <w:b/>
                <w:color w:val="000000" w:themeColor="text1"/>
                <w:spacing w:val="-10"/>
                <w:sz w:val="24"/>
                <w:szCs w:val="24"/>
                <w14:textFill>
                  <w14:solidFill>
                    <w14:schemeClr w14:val="tx1"/>
                  </w14:solidFill>
                </w14:textFill>
              </w:rPr>
            </w:pPr>
            <w:r>
              <w:rPr>
                <w:b/>
                <w:color w:val="000000" w:themeColor="text1"/>
                <w:spacing w:val="-10"/>
                <w:sz w:val="24"/>
                <w:szCs w:val="24"/>
                <w14:textFill>
                  <w14:solidFill>
                    <w14:schemeClr w14:val="tx1"/>
                  </w14:solidFill>
                </w14:textFill>
              </w:rPr>
              <w:t>三、噪声</w:t>
            </w:r>
          </w:p>
          <w:p w14:paraId="7C97D37F">
            <w:pPr>
              <w:pStyle w:val="16"/>
              <w:adjustRightInd w:val="0"/>
              <w:spacing w:line="360" w:lineRule="auto"/>
              <w:ind w:firstLine="442" w:firstLineChars="200"/>
              <w:rPr>
                <w:b/>
                <w:color w:val="000000" w:themeColor="text1"/>
                <w:spacing w:val="-10"/>
                <w:sz w:val="24"/>
                <w:szCs w:val="24"/>
                <w14:textFill>
                  <w14:solidFill>
                    <w14:schemeClr w14:val="tx1"/>
                  </w14:solidFill>
                </w14:textFill>
              </w:rPr>
            </w:pPr>
            <w:r>
              <w:rPr>
                <w:rFonts w:hint="eastAsia"/>
                <w:b/>
                <w:color w:val="000000" w:themeColor="text1"/>
                <w:spacing w:val="-10"/>
                <w:sz w:val="24"/>
                <w:szCs w:val="24"/>
                <w14:textFill>
                  <w14:solidFill>
                    <w14:schemeClr w14:val="tx1"/>
                  </w14:solidFill>
                </w14:textFill>
              </w:rPr>
              <w:t>1、</w:t>
            </w:r>
            <w:r>
              <w:rPr>
                <w:b/>
                <w:color w:val="000000" w:themeColor="text1"/>
                <w:spacing w:val="-10"/>
                <w:sz w:val="24"/>
                <w:szCs w:val="24"/>
                <w14:textFill>
                  <w14:solidFill>
                    <w14:schemeClr w14:val="tx1"/>
                  </w14:solidFill>
                </w14:textFill>
              </w:rPr>
              <w:t>污染源</w:t>
            </w:r>
          </w:p>
          <w:p w14:paraId="2CFD04E2">
            <w:pPr>
              <w:pStyle w:val="16"/>
              <w:adjustRightInd w:val="0"/>
              <w:spacing w:line="360" w:lineRule="auto"/>
              <w:ind w:firstLine="440" w:firstLineChars="200"/>
              <w:rPr>
                <w:bCs/>
                <w:color w:val="000000" w:themeColor="text1"/>
                <w:spacing w:val="-10"/>
                <w:sz w:val="24"/>
                <w:szCs w:val="24"/>
                <w14:textFill>
                  <w14:solidFill>
                    <w14:schemeClr w14:val="tx1"/>
                  </w14:solidFill>
                </w14:textFill>
              </w:rPr>
            </w:pPr>
            <w:r>
              <w:rPr>
                <w:bCs/>
                <w:color w:val="000000" w:themeColor="text1"/>
                <w:spacing w:val="-10"/>
                <w:sz w:val="24"/>
                <w:szCs w:val="24"/>
                <w14:textFill>
                  <w14:solidFill>
                    <w14:schemeClr w14:val="tx1"/>
                  </w14:solidFill>
                </w14:textFill>
              </w:rPr>
              <w:t>本项目噪声源统计详见下表。</w:t>
            </w:r>
          </w:p>
          <w:p w14:paraId="47C8A1AD">
            <w:pPr>
              <w:pStyle w:val="10"/>
              <w:spacing w:before="0" w:after="0" w:line="240" w:lineRule="auto"/>
              <w:ind w:firstLine="1767" w:firstLineChars="800"/>
              <w:rPr>
                <w:b/>
                <w:bCs/>
                <w:color w:val="000000" w:themeColor="text1"/>
                <w:spacing w:val="5"/>
                <w:sz w:val="21"/>
                <w:szCs w:val="21"/>
                <w14:textFill>
                  <w14:solidFill>
                    <w14:schemeClr w14:val="tx1"/>
                  </w14:solidFill>
                </w14:textFill>
              </w:rPr>
            </w:pPr>
            <w:r>
              <w:rPr>
                <w:b/>
                <w:bCs/>
                <w:color w:val="000000" w:themeColor="text1"/>
                <w:spacing w:val="5"/>
                <w:sz w:val="21"/>
                <w:szCs w:val="21"/>
                <w14:textFill>
                  <w14:solidFill>
                    <w14:schemeClr w14:val="tx1"/>
                  </w14:solidFill>
                </w14:textFill>
              </w:rPr>
              <w:t>表</w:t>
            </w:r>
            <w:r>
              <w:rPr>
                <w:b/>
                <w:bCs/>
                <w:color w:val="000000" w:themeColor="text1"/>
                <w:spacing w:val="-22"/>
                <w:sz w:val="21"/>
                <w:szCs w:val="21"/>
                <w14:textFill>
                  <w14:solidFill>
                    <w14:schemeClr w14:val="tx1"/>
                  </w14:solidFill>
                </w14:textFill>
              </w:rPr>
              <w:t xml:space="preserve"> </w:t>
            </w:r>
            <w:r>
              <w:rPr>
                <w:rFonts w:hint="eastAsia"/>
                <w:b/>
                <w:bCs/>
                <w:color w:val="000000" w:themeColor="text1"/>
                <w:spacing w:val="5"/>
                <w:sz w:val="21"/>
                <w:szCs w:val="21"/>
                <w14:textFill>
                  <w14:solidFill>
                    <w14:schemeClr w14:val="tx1"/>
                  </w14:solidFill>
                </w14:textFill>
              </w:rPr>
              <w:t>4-6 工业噪声源调查清单（室内声源）</w:t>
            </w:r>
          </w:p>
          <w:tbl>
            <w:tblPr>
              <w:tblStyle w:val="25"/>
              <w:tblW w:w="4989" w:type="pct"/>
              <w:tblInd w:w="0" w:type="dxa"/>
              <w:tblLayout w:type="fixed"/>
              <w:tblCellMar>
                <w:top w:w="0" w:type="dxa"/>
                <w:left w:w="23" w:type="dxa"/>
                <w:bottom w:w="0" w:type="dxa"/>
                <w:right w:w="23" w:type="dxa"/>
              </w:tblCellMar>
            </w:tblPr>
            <w:tblGrid>
              <w:gridCol w:w="309"/>
              <w:gridCol w:w="550"/>
              <w:gridCol w:w="444"/>
              <w:gridCol w:w="296"/>
              <w:gridCol w:w="449"/>
              <w:gridCol w:w="449"/>
              <w:gridCol w:w="306"/>
              <w:gridCol w:w="313"/>
              <w:gridCol w:w="335"/>
              <w:gridCol w:w="313"/>
              <w:gridCol w:w="360"/>
              <w:gridCol w:w="313"/>
              <w:gridCol w:w="296"/>
              <w:gridCol w:w="289"/>
              <w:gridCol w:w="367"/>
              <w:gridCol w:w="289"/>
              <w:gridCol w:w="240"/>
              <w:gridCol w:w="226"/>
              <w:gridCol w:w="172"/>
              <w:gridCol w:w="243"/>
              <w:gridCol w:w="313"/>
              <w:gridCol w:w="367"/>
              <w:gridCol w:w="380"/>
              <w:gridCol w:w="348"/>
              <w:gridCol w:w="486"/>
            </w:tblGrid>
            <w:tr w14:paraId="476A9673">
              <w:tblPrEx>
                <w:tblCellMar>
                  <w:top w:w="0" w:type="dxa"/>
                  <w:left w:w="23" w:type="dxa"/>
                  <w:bottom w:w="0" w:type="dxa"/>
                  <w:right w:w="23" w:type="dxa"/>
                </w:tblCellMar>
              </w:tblPrEx>
              <w:trPr>
                <w:trHeight w:val="625" w:hRule="atLeast"/>
              </w:trPr>
              <w:tc>
                <w:tcPr>
                  <w:tcW w:w="182" w:type="pct"/>
                  <w:vMerge w:val="restart"/>
                  <w:tcBorders>
                    <w:top w:val="single" w:color="000000" w:sz="4" w:space="0"/>
                    <w:left w:val="single" w:color="000000" w:sz="4" w:space="0"/>
                    <w:bottom w:val="single" w:color="000000" w:sz="4" w:space="0"/>
                    <w:right w:val="single" w:color="auto" w:sz="4" w:space="0"/>
                  </w:tcBorders>
                  <w:vAlign w:val="center"/>
                </w:tcPr>
                <w:p w14:paraId="732C47A1">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厂房名称</w:t>
                  </w:r>
                </w:p>
              </w:tc>
              <w:tc>
                <w:tcPr>
                  <w:tcW w:w="325" w:type="pct"/>
                  <w:vMerge w:val="restart"/>
                  <w:tcBorders>
                    <w:top w:val="single" w:color="000000" w:sz="4" w:space="0"/>
                    <w:left w:val="single" w:color="auto" w:sz="4" w:space="0"/>
                    <w:bottom w:val="single" w:color="000000" w:sz="4" w:space="0"/>
                    <w:right w:val="single" w:color="000000" w:sz="4" w:space="0"/>
                  </w:tcBorders>
                  <w:vAlign w:val="center"/>
                </w:tcPr>
                <w:p w14:paraId="7CB29925">
                  <w:pPr>
                    <w:widowControl/>
                    <w:jc w:val="center"/>
                    <w:textAlignment w:val="center"/>
                    <w:rPr>
                      <w:rFonts w:ascii="宋体" w:hAnsi="宋体" w:cs="宋体"/>
                      <w:color w:val="000000" w:themeColor="text1"/>
                      <w:kern w:val="0"/>
                      <w:szCs w:val="21"/>
                      <w:lang w:bidi="ar"/>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声源名称</w:t>
                  </w:r>
                </w:p>
              </w:tc>
              <w:tc>
                <w:tcPr>
                  <w:tcW w:w="262" w:type="pct"/>
                  <w:tcBorders>
                    <w:top w:val="single" w:color="000000" w:sz="4" w:space="0"/>
                    <w:left w:val="single" w:color="000000" w:sz="4" w:space="0"/>
                    <w:bottom w:val="single" w:color="000000" w:sz="4" w:space="0"/>
                    <w:right w:val="single" w:color="000000" w:sz="4" w:space="0"/>
                  </w:tcBorders>
                  <w:vAlign w:val="center"/>
                </w:tcPr>
                <w:p w14:paraId="2C71B7A0">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声源源强</w:t>
                  </w:r>
                </w:p>
              </w:tc>
              <w:tc>
                <w:tcPr>
                  <w:tcW w:w="175" w:type="pct"/>
                  <w:vMerge w:val="restart"/>
                  <w:tcBorders>
                    <w:top w:val="single" w:color="000000" w:sz="4" w:space="0"/>
                    <w:left w:val="single" w:color="000000" w:sz="4" w:space="0"/>
                    <w:bottom w:val="single" w:color="000000" w:sz="4" w:space="0"/>
                    <w:right w:val="single" w:color="000000" w:sz="4" w:space="0"/>
                  </w:tcBorders>
                  <w:vAlign w:val="center"/>
                </w:tcPr>
                <w:p w14:paraId="4C0D5391">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声源控制措施</w:t>
                  </w:r>
                </w:p>
              </w:tc>
              <w:tc>
                <w:tcPr>
                  <w:tcW w:w="711" w:type="pct"/>
                  <w:gridSpan w:val="3"/>
                  <w:tcBorders>
                    <w:top w:val="single" w:color="000000" w:sz="4" w:space="0"/>
                    <w:left w:val="single" w:color="000000" w:sz="4" w:space="0"/>
                    <w:bottom w:val="single" w:color="000000" w:sz="4" w:space="0"/>
                    <w:right w:val="single" w:color="000000" w:sz="4" w:space="0"/>
                  </w:tcBorders>
                  <w:vAlign w:val="center"/>
                </w:tcPr>
                <w:p w14:paraId="38DF9917">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空间相对位置</w:t>
                  </w:r>
                  <w:r>
                    <w:rPr>
                      <w:rStyle w:val="71"/>
                      <w:rFonts w:hint="default"/>
                      <w:color w:val="000000" w:themeColor="text1"/>
                      <w:lang w:bidi="ar"/>
                      <w14:textFill>
                        <w14:solidFill>
                          <w14:schemeClr w14:val="tx1"/>
                        </w14:solidFill>
                      </w14:textFill>
                    </w:rPr>
                    <w:t>/m</w:t>
                  </w:r>
                </w:p>
              </w:tc>
              <w:tc>
                <w:tcPr>
                  <w:tcW w:w="781" w:type="pct"/>
                  <w:gridSpan w:val="4"/>
                  <w:tcBorders>
                    <w:top w:val="single" w:color="000000" w:sz="4" w:space="0"/>
                    <w:left w:val="single" w:color="000000" w:sz="4" w:space="0"/>
                    <w:bottom w:val="single" w:color="000000" w:sz="4" w:space="0"/>
                    <w:right w:val="single" w:color="000000" w:sz="4" w:space="0"/>
                  </w:tcBorders>
                  <w:vAlign w:val="center"/>
                </w:tcPr>
                <w:p w14:paraId="155F4340">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距室内边界距离</w:t>
                  </w:r>
                  <w:r>
                    <w:rPr>
                      <w:rStyle w:val="71"/>
                      <w:rFonts w:hint="default"/>
                      <w:color w:val="000000" w:themeColor="text1"/>
                      <w:lang w:bidi="ar"/>
                      <w14:textFill>
                        <w14:solidFill>
                          <w14:schemeClr w14:val="tx1"/>
                        </w14:solidFill>
                      </w14:textFill>
                    </w:rPr>
                    <w:t>/m</w:t>
                  </w:r>
                </w:p>
              </w:tc>
              <w:tc>
                <w:tcPr>
                  <w:tcW w:w="748" w:type="pct"/>
                  <w:gridSpan w:val="4"/>
                  <w:tcBorders>
                    <w:top w:val="single" w:color="000000" w:sz="4" w:space="0"/>
                    <w:left w:val="single" w:color="000000" w:sz="4" w:space="0"/>
                    <w:bottom w:val="single" w:color="000000" w:sz="4" w:space="0"/>
                    <w:right w:val="single" w:color="000000" w:sz="4" w:space="0"/>
                  </w:tcBorders>
                  <w:vAlign w:val="center"/>
                </w:tcPr>
                <w:p w14:paraId="14EBFD03">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室内边界声级</w:t>
                  </w:r>
                  <w:r>
                    <w:rPr>
                      <w:rStyle w:val="71"/>
                      <w:rFonts w:hint="default"/>
                      <w:color w:val="000000" w:themeColor="text1"/>
                      <w:lang w:bidi="ar"/>
                      <w14:textFill>
                        <w14:solidFill>
                          <w14:schemeClr w14:val="tx1"/>
                        </w14:solidFill>
                      </w14:textFill>
                    </w:rPr>
                    <w:t>/dB(A)</w:t>
                  </w:r>
                </w:p>
              </w:tc>
              <w:tc>
                <w:tcPr>
                  <w:tcW w:w="171" w:type="pct"/>
                  <w:vMerge w:val="restart"/>
                  <w:tcBorders>
                    <w:top w:val="single" w:color="000000" w:sz="4" w:space="0"/>
                    <w:left w:val="single" w:color="000000" w:sz="4" w:space="0"/>
                    <w:bottom w:val="single" w:color="000000" w:sz="4" w:space="0"/>
                    <w:right w:val="single" w:color="000000" w:sz="4" w:space="0"/>
                  </w:tcBorders>
                  <w:vAlign w:val="center"/>
                </w:tcPr>
                <w:p w14:paraId="2703704D">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运行时段</w:t>
                  </w:r>
                </w:p>
              </w:tc>
              <w:tc>
                <w:tcPr>
                  <w:tcW w:w="522" w:type="pct"/>
                  <w:gridSpan w:val="4"/>
                  <w:tcBorders>
                    <w:top w:val="single" w:color="000000" w:sz="4" w:space="0"/>
                    <w:left w:val="single" w:color="000000" w:sz="4" w:space="0"/>
                    <w:bottom w:val="single" w:color="000000" w:sz="4" w:space="0"/>
                    <w:right w:val="single" w:color="000000" w:sz="4" w:space="0"/>
                  </w:tcBorders>
                  <w:vAlign w:val="center"/>
                </w:tcPr>
                <w:p w14:paraId="1B7E505F">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建筑物插入损失</w:t>
                  </w:r>
                  <w:r>
                    <w:rPr>
                      <w:rStyle w:val="71"/>
                      <w:rFonts w:hint="default"/>
                      <w:color w:val="000000" w:themeColor="text1"/>
                      <w:lang w:bidi="ar"/>
                      <w14:textFill>
                        <w14:solidFill>
                          <w14:schemeClr w14:val="tx1"/>
                        </w14:solidFill>
                      </w14:textFill>
                    </w:rPr>
                    <w:t>/dB(A)</w:t>
                  </w:r>
                </w:p>
              </w:tc>
              <w:tc>
                <w:tcPr>
                  <w:tcW w:w="1120" w:type="pct"/>
                  <w:gridSpan w:val="5"/>
                  <w:tcBorders>
                    <w:top w:val="single" w:color="000000" w:sz="4" w:space="0"/>
                    <w:left w:val="single" w:color="000000" w:sz="4" w:space="0"/>
                    <w:bottom w:val="single" w:color="000000" w:sz="4" w:space="0"/>
                    <w:right w:val="single" w:color="000000" w:sz="4" w:space="0"/>
                  </w:tcBorders>
                  <w:vAlign w:val="center"/>
                </w:tcPr>
                <w:p w14:paraId="6C3AD221">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建筑物外噪声声压级</w:t>
                  </w:r>
                  <w:r>
                    <w:rPr>
                      <w:rStyle w:val="71"/>
                      <w:rFonts w:hint="default"/>
                      <w:color w:val="000000" w:themeColor="text1"/>
                      <w:lang w:bidi="ar"/>
                      <w14:textFill>
                        <w14:solidFill>
                          <w14:schemeClr w14:val="tx1"/>
                        </w14:solidFill>
                      </w14:textFill>
                    </w:rPr>
                    <w:t>/dB(A)</w:t>
                  </w:r>
                </w:p>
              </w:tc>
            </w:tr>
            <w:tr w14:paraId="33BE496B">
              <w:tblPrEx>
                <w:tblCellMar>
                  <w:top w:w="0" w:type="dxa"/>
                  <w:left w:w="23" w:type="dxa"/>
                  <w:bottom w:w="0" w:type="dxa"/>
                  <w:right w:w="23" w:type="dxa"/>
                </w:tblCellMar>
              </w:tblPrEx>
              <w:trPr>
                <w:trHeight w:val="933" w:hRule="atLeast"/>
              </w:trPr>
              <w:tc>
                <w:tcPr>
                  <w:tcW w:w="182" w:type="pct"/>
                  <w:vMerge w:val="continue"/>
                  <w:tcBorders>
                    <w:top w:val="single" w:color="000000" w:sz="4" w:space="0"/>
                    <w:left w:val="single" w:color="000000" w:sz="4" w:space="0"/>
                    <w:bottom w:val="single" w:color="000000" w:sz="4" w:space="0"/>
                    <w:right w:val="single" w:color="auto" w:sz="4" w:space="0"/>
                  </w:tcBorders>
                  <w:vAlign w:val="center"/>
                </w:tcPr>
                <w:p w14:paraId="5C50C55D">
                  <w:pPr>
                    <w:jc w:val="center"/>
                    <w:rPr>
                      <w:rFonts w:ascii="宋体" w:hAnsi="宋体" w:cs="宋体"/>
                      <w:color w:val="000000" w:themeColor="text1"/>
                      <w:szCs w:val="21"/>
                      <w14:textFill>
                        <w14:solidFill>
                          <w14:schemeClr w14:val="tx1"/>
                        </w14:solidFill>
                      </w14:textFill>
                    </w:rPr>
                  </w:pPr>
                </w:p>
              </w:tc>
              <w:tc>
                <w:tcPr>
                  <w:tcW w:w="325" w:type="pct"/>
                  <w:vMerge w:val="continue"/>
                  <w:tcBorders>
                    <w:top w:val="single" w:color="000000" w:sz="4" w:space="0"/>
                    <w:left w:val="single" w:color="auto" w:sz="4" w:space="0"/>
                    <w:bottom w:val="single" w:color="000000" w:sz="4" w:space="0"/>
                    <w:right w:val="single" w:color="000000" w:sz="4" w:space="0"/>
                  </w:tcBorders>
                  <w:vAlign w:val="center"/>
                </w:tcPr>
                <w:p w14:paraId="617B7434">
                  <w:pPr>
                    <w:jc w:val="center"/>
                    <w:rPr>
                      <w:rFonts w:ascii="宋体" w:hAnsi="宋体" w:cs="宋体"/>
                      <w:color w:val="000000" w:themeColor="text1"/>
                      <w:szCs w:val="21"/>
                      <w14:textFill>
                        <w14:solidFill>
                          <w14:schemeClr w14:val="tx1"/>
                        </w14:solidFill>
                      </w14:textFill>
                    </w:rPr>
                  </w:pPr>
                </w:p>
              </w:tc>
              <w:tc>
                <w:tcPr>
                  <w:tcW w:w="262" w:type="pct"/>
                  <w:tcBorders>
                    <w:top w:val="single" w:color="000000" w:sz="4" w:space="0"/>
                    <w:left w:val="single" w:color="000000" w:sz="4" w:space="0"/>
                    <w:bottom w:val="single" w:color="000000" w:sz="4" w:space="0"/>
                    <w:right w:val="single" w:color="000000" w:sz="4" w:space="0"/>
                  </w:tcBorders>
                  <w:vAlign w:val="center"/>
                </w:tcPr>
                <w:p w14:paraId="4558E992">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声功率级</w:t>
                  </w:r>
                  <w:r>
                    <w:rPr>
                      <w:rStyle w:val="71"/>
                      <w:rFonts w:hint="default"/>
                      <w:color w:val="000000" w:themeColor="text1"/>
                      <w:lang w:bidi="ar"/>
                      <w14:textFill>
                        <w14:solidFill>
                          <w14:schemeClr w14:val="tx1"/>
                        </w14:solidFill>
                      </w14:textFill>
                    </w:rPr>
                    <w:t>/dB(A)</w:t>
                  </w:r>
                </w:p>
              </w:tc>
              <w:tc>
                <w:tcPr>
                  <w:tcW w:w="175" w:type="pct"/>
                  <w:vMerge w:val="continue"/>
                  <w:tcBorders>
                    <w:top w:val="single" w:color="000000" w:sz="4" w:space="0"/>
                    <w:left w:val="single" w:color="000000" w:sz="4" w:space="0"/>
                    <w:bottom w:val="single" w:color="000000" w:sz="4" w:space="0"/>
                    <w:right w:val="single" w:color="000000" w:sz="4" w:space="0"/>
                  </w:tcBorders>
                  <w:vAlign w:val="center"/>
                </w:tcPr>
                <w:p w14:paraId="00B60A04">
                  <w:pPr>
                    <w:jc w:val="center"/>
                    <w:rPr>
                      <w:rFonts w:ascii="宋体" w:hAnsi="宋体" w:cs="宋体"/>
                      <w:color w:val="000000" w:themeColor="text1"/>
                      <w:szCs w:val="21"/>
                      <w14:textFill>
                        <w14:solidFill>
                          <w14:schemeClr w14:val="tx1"/>
                        </w14:solidFill>
                      </w14:textFill>
                    </w:rPr>
                  </w:pPr>
                </w:p>
              </w:tc>
              <w:tc>
                <w:tcPr>
                  <w:tcW w:w="265" w:type="pct"/>
                  <w:tcBorders>
                    <w:top w:val="single" w:color="000000" w:sz="4" w:space="0"/>
                    <w:left w:val="single" w:color="000000" w:sz="4" w:space="0"/>
                    <w:bottom w:val="single" w:color="000000" w:sz="4" w:space="0"/>
                    <w:right w:val="single" w:color="000000" w:sz="4" w:space="0"/>
                  </w:tcBorders>
                  <w:vAlign w:val="center"/>
                </w:tcPr>
                <w:p w14:paraId="58589284">
                  <w:pPr>
                    <w:widowControl/>
                    <w:jc w:val="center"/>
                    <w:textAlignment w:val="center"/>
                    <w:rPr>
                      <w:color w:val="000000" w:themeColor="text1"/>
                      <w:szCs w:val="21"/>
                      <w14:textFill>
                        <w14:solidFill>
                          <w14:schemeClr w14:val="tx1"/>
                        </w14:solidFill>
                      </w14:textFill>
                    </w:rPr>
                  </w:pPr>
                  <w:r>
                    <w:rPr>
                      <w:rStyle w:val="71"/>
                      <w:rFonts w:hint="default"/>
                      <w:color w:val="000000" w:themeColor="text1"/>
                      <w:lang w:bidi="ar"/>
                      <w14:textFill>
                        <w14:solidFill>
                          <w14:schemeClr w14:val="tx1"/>
                        </w14:solidFill>
                      </w14:textFill>
                    </w:rPr>
                    <w:t>X</w:t>
                  </w:r>
                </w:p>
              </w:tc>
              <w:tc>
                <w:tcPr>
                  <w:tcW w:w="265" w:type="pct"/>
                  <w:tcBorders>
                    <w:top w:val="single" w:color="000000" w:sz="4" w:space="0"/>
                    <w:left w:val="single" w:color="000000" w:sz="4" w:space="0"/>
                    <w:bottom w:val="single" w:color="000000" w:sz="4" w:space="0"/>
                    <w:right w:val="single" w:color="000000" w:sz="4" w:space="0"/>
                  </w:tcBorders>
                  <w:vAlign w:val="center"/>
                </w:tcPr>
                <w:p w14:paraId="57D05696">
                  <w:pPr>
                    <w:widowControl/>
                    <w:jc w:val="center"/>
                    <w:textAlignment w:val="center"/>
                    <w:rPr>
                      <w:color w:val="000000" w:themeColor="text1"/>
                      <w:szCs w:val="21"/>
                      <w14:textFill>
                        <w14:solidFill>
                          <w14:schemeClr w14:val="tx1"/>
                        </w14:solidFill>
                      </w14:textFill>
                    </w:rPr>
                  </w:pPr>
                  <w:r>
                    <w:rPr>
                      <w:rStyle w:val="71"/>
                      <w:rFonts w:hint="default"/>
                      <w:color w:val="000000" w:themeColor="text1"/>
                      <w:lang w:bidi="ar"/>
                      <w14:textFill>
                        <w14:solidFill>
                          <w14:schemeClr w14:val="tx1"/>
                        </w14:solidFill>
                      </w14:textFill>
                    </w:rPr>
                    <w:t>Y</w:t>
                  </w:r>
                </w:p>
              </w:tc>
              <w:tc>
                <w:tcPr>
                  <w:tcW w:w="181" w:type="pct"/>
                  <w:tcBorders>
                    <w:top w:val="single" w:color="000000" w:sz="4" w:space="0"/>
                    <w:left w:val="single" w:color="000000" w:sz="4" w:space="0"/>
                    <w:bottom w:val="single" w:color="000000" w:sz="4" w:space="0"/>
                    <w:right w:val="single" w:color="000000" w:sz="4" w:space="0"/>
                  </w:tcBorders>
                  <w:vAlign w:val="center"/>
                </w:tcPr>
                <w:p w14:paraId="5DBC30A2">
                  <w:pPr>
                    <w:widowControl/>
                    <w:jc w:val="center"/>
                    <w:textAlignment w:val="center"/>
                    <w:rPr>
                      <w:color w:val="000000" w:themeColor="text1"/>
                      <w:szCs w:val="21"/>
                      <w14:textFill>
                        <w14:solidFill>
                          <w14:schemeClr w14:val="tx1"/>
                        </w14:solidFill>
                      </w14:textFill>
                    </w:rPr>
                  </w:pPr>
                  <w:r>
                    <w:rPr>
                      <w:rStyle w:val="71"/>
                      <w:rFonts w:hint="default"/>
                      <w:color w:val="000000" w:themeColor="text1"/>
                      <w:lang w:bidi="ar"/>
                      <w14:textFill>
                        <w14:solidFill>
                          <w14:schemeClr w14:val="tx1"/>
                        </w14:solidFill>
                      </w14:textFill>
                    </w:rPr>
                    <w:t>Z</w:t>
                  </w:r>
                </w:p>
              </w:tc>
              <w:tc>
                <w:tcPr>
                  <w:tcW w:w="185" w:type="pct"/>
                  <w:tcBorders>
                    <w:top w:val="single" w:color="000000" w:sz="4" w:space="0"/>
                    <w:left w:val="single" w:color="000000" w:sz="4" w:space="0"/>
                    <w:bottom w:val="single" w:color="000000" w:sz="4" w:space="0"/>
                    <w:right w:val="single" w:color="000000" w:sz="4" w:space="0"/>
                  </w:tcBorders>
                  <w:vAlign w:val="center"/>
                </w:tcPr>
                <w:p w14:paraId="0BD0F66C">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东</w:t>
                  </w:r>
                </w:p>
              </w:tc>
              <w:tc>
                <w:tcPr>
                  <w:tcW w:w="198" w:type="pct"/>
                  <w:tcBorders>
                    <w:top w:val="single" w:color="000000" w:sz="4" w:space="0"/>
                    <w:left w:val="single" w:color="000000" w:sz="4" w:space="0"/>
                    <w:bottom w:val="single" w:color="000000" w:sz="4" w:space="0"/>
                    <w:right w:val="single" w:color="000000" w:sz="4" w:space="0"/>
                  </w:tcBorders>
                  <w:vAlign w:val="center"/>
                </w:tcPr>
                <w:p w14:paraId="1B0AE16E">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南</w:t>
                  </w:r>
                </w:p>
              </w:tc>
              <w:tc>
                <w:tcPr>
                  <w:tcW w:w="185" w:type="pct"/>
                  <w:tcBorders>
                    <w:top w:val="single" w:color="000000" w:sz="4" w:space="0"/>
                    <w:left w:val="single" w:color="000000" w:sz="4" w:space="0"/>
                    <w:bottom w:val="single" w:color="000000" w:sz="4" w:space="0"/>
                    <w:right w:val="single" w:color="000000" w:sz="4" w:space="0"/>
                  </w:tcBorders>
                  <w:vAlign w:val="center"/>
                </w:tcPr>
                <w:p w14:paraId="00B45D89">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西</w:t>
                  </w:r>
                </w:p>
              </w:tc>
              <w:tc>
                <w:tcPr>
                  <w:tcW w:w="210" w:type="pct"/>
                  <w:tcBorders>
                    <w:top w:val="single" w:color="000000" w:sz="4" w:space="0"/>
                    <w:left w:val="single" w:color="000000" w:sz="4" w:space="0"/>
                    <w:bottom w:val="single" w:color="000000" w:sz="4" w:space="0"/>
                    <w:right w:val="single" w:color="000000" w:sz="4" w:space="0"/>
                  </w:tcBorders>
                  <w:vAlign w:val="center"/>
                </w:tcPr>
                <w:p w14:paraId="66A5BE15">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北</w:t>
                  </w:r>
                </w:p>
              </w:tc>
              <w:tc>
                <w:tcPr>
                  <w:tcW w:w="185" w:type="pct"/>
                  <w:tcBorders>
                    <w:top w:val="single" w:color="000000" w:sz="4" w:space="0"/>
                    <w:left w:val="single" w:color="000000" w:sz="4" w:space="0"/>
                    <w:bottom w:val="single" w:color="000000" w:sz="4" w:space="0"/>
                    <w:right w:val="single" w:color="000000" w:sz="4" w:space="0"/>
                  </w:tcBorders>
                  <w:vAlign w:val="center"/>
                </w:tcPr>
                <w:p w14:paraId="2549F23A">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东</w:t>
                  </w:r>
                </w:p>
              </w:tc>
              <w:tc>
                <w:tcPr>
                  <w:tcW w:w="175" w:type="pct"/>
                  <w:tcBorders>
                    <w:top w:val="single" w:color="000000" w:sz="4" w:space="0"/>
                    <w:left w:val="single" w:color="000000" w:sz="4" w:space="0"/>
                    <w:bottom w:val="single" w:color="000000" w:sz="4" w:space="0"/>
                    <w:right w:val="single" w:color="000000" w:sz="4" w:space="0"/>
                  </w:tcBorders>
                  <w:vAlign w:val="center"/>
                </w:tcPr>
                <w:p w14:paraId="7C9BB6D2">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南</w:t>
                  </w:r>
                </w:p>
              </w:tc>
              <w:tc>
                <w:tcPr>
                  <w:tcW w:w="171" w:type="pct"/>
                  <w:tcBorders>
                    <w:top w:val="single" w:color="000000" w:sz="4" w:space="0"/>
                    <w:left w:val="single" w:color="000000" w:sz="4" w:space="0"/>
                    <w:bottom w:val="single" w:color="000000" w:sz="4" w:space="0"/>
                    <w:right w:val="single" w:color="000000" w:sz="4" w:space="0"/>
                  </w:tcBorders>
                  <w:vAlign w:val="center"/>
                </w:tcPr>
                <w:p w14:paraId="0593BBAE">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西</w:t>
                  </w:r>
                </w:p>
              </w:tc>
              <w:tc>
                <w:tcPr>
                  <w:tcW w:w="216" w:type="pct"/>
                  <w:tcBorders>
                    <w:top w:val="single" w:color="000000" w:sz="4" w:space="0"/>
                    <w:left w:val="single" w:color="000000" w:sz="4" w:space="0"/>
                    <w:bottom w:val="single" w:color="000000" w:sz="4" w:space="0"/>
                    <w:right w:val="single" w:color="000000" w:sz="4" w:space="0"/>
                  </w:tcBorders>
                  <w:vAlign w:val="center"/>
                </w:tcPr>
                <w:p w14:paraId="624218E6">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北</w:t>
                  </w:r>
                </w:p>
              </w:tc>
              <w:tc>
                <w:tcPr>
                  <w:tcW w:w="171" w:type="pct"/>
                  <w:vMerge w:val="continue"/>
                  <w:tcBorders>
                    <w:top w:val="single" w:color="000000" w:sz="4" w:space="0"/>
                    <w:left w:val="single" w:color="000000" w:sz="4" w:space="0"/>
                    <w:bottom w:val="single" w:color="000000" w:sz="4" w:space="0"/>
                    <w:right w:val="single" w:color="000000" w:sz="4" w:space="0"/>
                  </w:tcBorders>
                  <w:vAlign w:val="center"/>
                </w:tcPr>
                <w:p w14:paraId="35595862">
                  <w:pPr>
                    <w:jc w:val="center"/>
                    <w:rPr>
                      <w:rFonts w:ascii="宋体" w:hAnsi="宋体" w:cs="宋体"/>
                      <w:color w:val="000000" w:themeColor="text1"/>
                      <w:szCs w:val="21"/>
                      <w14:textFill>
                        <w14:solidFill>
                          <w14:schemeClr w14:val="tx1"/>
                        </w14:solidFill>
                      </w14:textFill>
                    </w:rPr>
                  </w:pPr>
                </w:p>
              </w:tc>
              <w:tc>
                <w:tcPr>
                  <w:tcW w:w="142" w:type="pct"/>
                  <w:tcBorders>
                    <w:top w:val="single" w:color="000000" w:sz="4" w:space="0"/>
                    <w:left w:val="single" w:color="000000" w:sz="4" w:space="0"/>
                    <w:bottom w:val="single" w:color="000000" w:sz="4" w:space="0"/>
                    <w:right w:val="single" w:color="000000" w:sz="4" w:space="0"/>
                  </w:tcBorders>
                  <w:vAlign w:val="center"/>
                </w:tcPr>
                <w:p w14:paraId="52895EE1">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东</w:t>
                  </w:r>
                </w:p>
              </w:tc>
              <w:tc>
                <w:tcPr>
                  <w:tcW w:w="134" w:type="pct"/>
                  <w:tcBorders>
                    <w:top w:val="single" w:color="000000" w:sz="4" w:space="0"/>
                    <w:left w:val="single" w:color="000000" w:sz="4" w:space="0"/>
                    <w:bottom w:val="single" w:color="000000" w:sz="4" w:space="0"/>
                    <w:right w:val="single" w:color="000000" w:sz="4" w:space="0"/>
                  </w:tcBorders>
                  <w:vAlign w:val="center"/>
                </w:tcPr>
                <w:p w14:paraId="537298CE">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南</w:t>
                  </w:r>
                </w:p>
              </w:tc>
              <w:tc>
                <w:tcPr>
                  <w:tcW w:w="102" w:type="pct"/>
                  <w:tcBorders>
                    <w:top w:val="single" w:color="000000" w:sz="4" w:space="0"/>
                    <w:left w:val="single" w:color="000000" w:sz="4" w:space="0"/>
                    <w:bottom w:val="single" w:color="000000" w:sz="4" w:space="0"/>
                    <w:right w:val="single" w:color="000000" w:sz="4" w:space="0"/>
                  </w:tcBorders>
                  <w:vAlign w:val="center"/>
                </w:tcPr>
                <w:p w14:paraId="6864C3B6">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西</w:t>
                  </w:r>
                </w:p>
              </w:tc>
              <w:tc>
                <w:tcPr>
                  <w:tcW w:w="143" w:type="pct"/>
                  <w:tcBorders>
                    <w:top w:val="single" w:color="000000" w:sz="4" w:space="0"/>
                    <w:left w:val="single" w:color="000000" w:sz="4" w:space="0"/>
                    <w:bottom w:val="single" w:color="000000" w:sz="4" w:space="0"/>
                    <w:right w:val="single" w:color="000000" w:sz="4" w:space="0"/>
                  </w:tcBorders>
                  <w:vAlign w:val="center"/>
                </w:tcPr>
                <w:p w14:paraId="376BED23">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北</w:t>
                  </w:r>
                </w:p>
              </w:tc>
              <w:tc>
                <w:tcPr>
                  <w:tcW w:w="185" w:type="pct"/>
                  <w:tcBorders>
                    <w:top w:val="single" w:color="000000" w:sz="4" w:space="0"/>
                    <w:left w:val="single" w:color="000000" w:sz="4" w:space="0"/>
                    <w:bottom w:val="single" w:color="000000" w:sz="4" w:space="0"/>
                    <w:right w:val="single" w:color="000000" w:sz="4" w:space="0"/>
                  </w:tcBorders>
                  <w:vAlign w:val="center"/>
                </w:tcPr>
                <w:p w14:paraId="34F9E678">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东</w:t>
                  </w:r>
                </w:p>
              </w:tc>
              <w:tc>
                <w:tcPr>
                  <w:tcW w:w="217" w:type="pct"/>
                  <w:tcBorders>
                    <w:top w:val="single" w:color="000000" w:sz="4" w:space="0"/>
                    <w:left w:val="single" w:color="000000" w:sz="4" w:space="0"/>
                    <w:bottom w:val="single" w:color="000000" w:sz="4" w:space="0"/>
                    <w:right w:val="single" w:color="000000" w:sz="4" w:space="0"/>
                  </w:tcBorders>
                  <w:vAlign w:val="center"/>
                </w:tcPr>
                <w:p w14:paraId="2EFF5FBD">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南</w:t>
                  </w:r>
                </w:p>
              </w:tc>
              <w:tc>
                <w:tcPr>
                  <w:tcW w:w="225" w:type="pct"/>
                  <w:tcBorders>
                    <w:top w:val="single" w:color="000000" w:sz="4" w:space="0"/>
                    <w:left w:val="single" w:color="000000" w:sz="4" w:space="0"/>
                    <w:bottom w:val="single" w:color="000000" w:sz="4" w:space="0"/>
                    <w:right w:val="single" w:color="000000" w:sz="4" w:space="0"/>
                  </w:tcBorders>
                  <w:vAlign w:val="center"/>
                </w:tcPr>
                <w:p w14:paraId="6B391ED4">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西</w:t>
                  </w:r>
                </w:p>
              </w:tc>
              <w:tc>
                <w:tcPr>
                  <w:tcW w:w="206" w:type="pct"/>
                  <w:tcBorders>
                    <w:top w:val="single" w:color="000000" w:sz="4" w:space="0"/>
                    <w:left w:val="single" w:color="000000" w:sz="4" w:space="0"/>
                    <w:bottom w:val="single" w:color="000000" w:sz="4" w:space="0"/>
                    <w:right w:val="single" w:color="000000" w:sz="4" w:space="0"/>
                  </w:tcBorders>
                  <w:vAlign w:val="center"/>
                </w:tcPr>
                <w:p w14:paraId="2437F884">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北</w:t>
                  </w:r>
                </w:p>
              </w:tc>
              <w:tc>
                <w:tcPr>
                  <w:tcW w:w="285" w:type="pct"/>
                  <w:tcBorders>
                    <w:top w:val="single" w:color="000000" w:sz="4" w:space="0"/>
                    <w:left w:val="single" w:color="000000" w:sz="4" w:space="0"/>
                    <w:bottom w:val="single" w:color="000000" w:sz="4" w:space="0"/>
                    <w:right w:val="single" w:color="000000" w:sz="4" w:space="0"/>
                  </w:tcBorders>
                  <w:vAlign w:val="center"/>
                </w:tcPr>
                <w:p w14:paraId="682D8803">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建筑物外距离</w:t>
                  </w:r>
                </w:p>
              </w:tc>
            </w:tr>
            <w:tr w14:paraId="7548ED5F">
              <w:tblPrEx>
                <w:tblCellMar>
                  <w:top w:w="0" w:type="dxa"/>
                  <w:left w:w="23" w:type="dxa"/>
                  <w:bottom w:w="0" w:type="dxa"/>
                  <w:right w:w="23" w:type="dxa"/>
                </w:tblCellMar>
              </w:tblPrEx>
              <w:trPr>
                <w:trHeight w:val="318" w:hRule="atLeast"/>
              </w:trPr>
              <w:tc>
                <w:tcPr>
                  <w:tcW w:w="182" w:type="pct"/>
                  <w:vMerge w:val="restart"/>
                  <w:tcBorders>
                    <w:top w:val="single" w:color="000000" w:sz="4" w:space="0"/>
                    <w:left w:val="single" w:color="000000" w:sz="4" w:space="0"/>
                    <w:right w:val="single" w:color="auto" w:sz="4" w:space="0"/>
                  </w:tcBorders>
                  <w:shd w:val="clear" w:color="auto" w:fill="auto"/>
                  <w:vAlign w:val="center"/>
                </w:tcPr>
                <w:p w14:paraId="6EF2EC24">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西厂房</w:t>
                  </w:r>
                </w:p>
              </w:tc>
              <w:tc>
                <w:tcPr>
                  <w:tcW w:w="325" w:type="pct"/>
                  <w:tcBorders>
                    <w:top w:val="single" w:color="000000" w:sz="4" w:space="0"/>
                    <w:left w:val="single" w:color="auto" w:sz="4" w:space="0"/>
                    <w:bottom w:val="single" w:color="000000" w:sz="4" w:space="0"/>
                    <w:right w:val="single" w:color="000000" w:sz="4" w:space="0"/>
                  </w:tcBorders>
                  <w:shd w:val="clear" w:color="auto" w:fill="auto"/>
                  <w:vAlign w:val="center"/>
                </w:tcPr>
                <w:p w14:paraId="17136FF5">
                  <w:pPr>
                    <w:widowControl/>
                    <w:jc w:val="center"/>
                    <w:textAlignment w:val="center"/>
                    <w:rPr>
                      <w:rFonts w:ascii="宋体" w:hAnsi="宋体" w:cs="宋体"/>
                      <w:color w:val="000000" w:themeColor="text1"/>
                      <w:kern w:val="0"/>
                      <w:szCs w:val="21"/>
                      <w:lang w:bidi="ar"/>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装载机1</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AE7F0">
                  <w:pPr>
                    <w:widowControl/>
                    <w:jc w:val="center"/>
                    <w:textAlignment w:val="center"/>
                    <w:rPr>
                      <w:color w:val="000000" w:themeColor="text1"/>
                      <w:szCs w:val="21"/>
                      <w14:textFill>
                        <w14:solidFill>
                          <w14:schemeClr w14:val="tx1"/>
                        </w14:solidFill>
                      </w14:textFill>
                    </w:rPr>
                  </w:pPr>
                  <w:r>
                    <w:rPr>
                      <w:rFonts w:hint="eastAsia"/>
                      <w:color w:val="000000" w:themeColor="text1"/>
                      <w:kern w:val="0"/>
                      <w:szCs w:val="21"/>
                      <w:lang w:bidi="ar"/>
                      <w14:textFill>
                        <w14:solidFill>
                          <w14:schemeClr w14:val="tx1"/>
                        </w14:solidFill>
                      </w14:textFill>
                    </w:rPr>
                    <w:t>85</w:t>
                  </w:r>
                </w:p>
              </w:tc>
              <w:tc>
                <w:tcPr>
                  <w:tcW w:w="175" w:type="pct"/>
                  <w:vMerge w:val="restart"/>
                  <w:tcBorders>
                    <w:top w:val="single" w:color="000000" w:sz="4" w:space="0"/>
                    <w:left w:val="single" w:color="000000" w:sz="4" w:space="0"/>
                    <w:right w:val="single" w:color="000000" w:sz="4" w:space="0"/>
                  </w:tcBorders>
                  <w:vAlign w:val="center"/>
                </w:tcPr>
                <w:p w14:paraId="64978A2C">
                  <w:pPr>
                    <w:widowControl/>
                    <w:jc w:val="center"/>
                    <w:textAlignment w:val="center"/>
                    <w:rPr>
                      <w:rFonts w:ascii="宋体" w:hAnsi="宋体" w:cs="宋体"/>
                      <w:color w:val="000000" w:themeColor="text1"/>
                      <w:kern w:val="0"/>
                      <w:szCs w:val="21"/>
                      <w:lang w:bidi="ar"/>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建筑隔声、减振机座</w:t>
                  </w:r>
                </w:p>
                <w:p w14:paraId="7907FD31">
                  <w:pPr>
                    <w:jc w:val="center"/>
                    <w:rPr>
                      <w:rFonts w:ascii="宋体" w:hAnsi="宋体" w:cs="宋体"/>
                      <w:color w:val="000000" w:themeColor="text1"/>
                      <w:szCs w:val="21"/>
                      <w14:textFill>
                        <w14:solidFill>
                          <w14:schemeClr w14:val="tx1"/>
                        </w14:solidFill>
                      </w14:textFill>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CA5BB">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94.7</w:t>
                  </w: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0C032">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-188.8</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B398A">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1856D">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24.3</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30040">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8.7</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A9CBB">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93.4</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291ED">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14.8</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76FAA">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70.26</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B10CD">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70.31</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CF3FF">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7.029</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F7A08">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70.3</w:t>
                  </w:r>
                </w:p>
              </w:tc>
              <w:tc>
                <w:tcPr>
                  <w:tcW w:w="171" w:type="pct"/>
                  <w:vMerge w:val="restart"/>
                  <w:tcBorders>
                    <w:top w:val="single" w:color="000000" w:sz="4" w:space="0"/>
                    <w:left w:val="single" w:color="000000" w:sz="4" w:space="0"/>
                    <w:right w:val="single" w:color="000000" w:sz="4" w:space="0"/>
                  </w:tcBorders>
                  <w:vAlign w:val="center"/>
                </w:tcPr>
                <w:p w14:paraId="3B65C949">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连续运行</w:t>
                  </w:r>
                  <w:r>
                    <w:rPr>
                      <w:rStyle w:val="71"/>
                      <w:rFonts w:hint="default"/>
                      <w:color w:val="000000" w:themeColor="text1"/>
                      <w:lang w:bidi="ar"/>
                      <w14:textFill>
                        <w14:solidFill>
                          <w14:schemeClr w14:val="tx1"/>
                        </w14:solidFill>
                      </w14:textFill>
                    </w:rPr>
                    <w:t>10h</w:t>
                  </w:r>
                </w:p>
              </w:tc>
              <w:tc>
                <w:tcPr>
                  <w:tcW w:w="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281D6">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p>
              </w:tc>
              <w:tc>
                <w:tcPr>
                  <w:tcW w:w="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D4B0F">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p>
              </w:tc>
              <w:tc>
                <w:tcPr>
                  <w:tcW w:w="1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6B144">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p>
              </w:tc>
              <w:tc>
                <w:tcPr>
                  <w:tcW w:w="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34D6A">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FAD7D">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50.26</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0CBB9">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50.31</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3C7BD">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5.029</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1C7E7">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50.3</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487EE">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1</w:t>
                  </w:r>
                </w:p>
              </w:tc>
            </w:tr>
            <w:tr w14:paraId="12FFA583">
              <w:tblPrEx>
                <w:tblCellMar>
                  <w:top w:w="0" w:type="dxa"/>
                  <w:left w:w="23" w:type="dxa"/>
                  <w:bottom w:w="0" w:type="dxa"/>
                  <w:right w:w="23" w:type="dxa"/>
                </w:tblCellMar>
              </w:tblPrEx>
              <w:trPr>
                <w:trHeight w:val="318" w:hRule="atLeast"/>
              </w:trPr>
              <w:tc>
                <w:tcPr>
                  <w:tcW w:w="182" w:type="pct"/>
                  <w:vMerge w:val="continue"/>
                  <w:tcBorders>
                    <w:left w:val="single" w:color="000000" w:sz="4" w:space="0"/>
                    <w:right w:val="single" w:color="auto" w:sz="4" w:space="0"/>
                  </w:tcBorders>
                  <w:shd w:val="clear" w:color="auto" w:fill="auto"/>
                  <w:vAlign w:val="center"/>
                </w:tcPr>
                <w:p w14:paraId="30773D98">
                  <w:pPr>
                    <w:widowControl/>
                    <w:jc w:val="center"/>
                    <w:textAlignment w:val="center"/>
                    <w:rPr>
                      <w:rFonts w:ascii="宋体" w:hAnsi="宋体" w:cs="宋体"/>
                      <w:color w:val="000000" w:themeColor="text1"/>
                      <w:szCs w:val="21"/>
                      <w14:textFill>
                        <w14:solidFill>
                          <w14:schemeClr w14:val="tx1"/>
                        </w14:solidFill>
                      </w14:textFill>
                    </w:rPr>
                  </w:pPr>
                </w:p>
              </w:tc>
              <w:tc>
                <w:tcPr>
                  <w:tcW w:w="325" w:type="pct"/>
                  <w:tcBorders>
                    <w:top w:val="single" w:color="000000" w:sz="4" w:space="0"/>
                    <w:left w:val="single" w:color="auto" w:sz="4" w:space="0"/>
                    <w:bottom w:val="single" w:color="000000" w:sz="4" w:space="0"/>
                    <w:right w:val="single" w:color="000000" w:sz="4" w:space="0"/>
                  </w:tcBorders>
                  <w:shd w:val="clear" w:color="auto" w:fill="auto"/>
                  <w:vAlign w:val="center"/>
                </w:tcPr>
                <w:p w14:paraId="00CC4940">
                  <w:pPr>
                    <w:widowControl/>
                    <w:jc w:val="center"/>
                    <w:textAlignment w:val="center"/>
                    <w:rPr>
                      <w:rFonts w:ascii="宋体" w:hAnsi="宋体" w:cs="宋体"/>
                      <w:color w:val="000000" w:themeColor="text1"/>
                      <w:kern w:val="0"/>
                      <w:szCs w:val="21"/>
                      <w:lang w:bidi="ar"/>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翻抛机</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88EDB">
                  <w:pPr>
                    <w:widowControl/>
                    <w:jc w:val="center"/>
                    <w:textAlignment w:val="center"/>
                    <w:rPr>
                      <w:color w:val="000000" w:themeColor="text1"/>
                      <w:szCs w:val="21"/>
                      <w14:textFill>
                        <w14:solidFill>
                          <w14:schemeClr w14:val="tx1"/>
                        </w14:solidFill>
                      </w14:textFill>
                    </w:rPr>
                  </w:pPr>
                  <w:r>
                    <w:rPr>
                      <w:rFonts w:hint="eastAsia"/>
                      <w:color w:val="000000" w:themeColor="text1"/>
                      <w:kern w:val="0"/>
                      <w:szCs w:val="21"/>
                      <w:lang w:bidi="ar"/>
                      <w14:textFill>
                        <w14:solidFill>
                          <w14:schemeClr w14:val="tx1"/>
                        </w14:solidFill>
                      </w14:textFill>
                    </w:rPr>
                    <w:t>80</w:t>
                  </w:r>
                </w:p>
              </w:tc>
              <w:tc>
                <w:tcPr>
                  <w:tcW w:w="175" w:type="pct"/>
                  <w:vMerge w:val="continue"/>
                  <w:tcBorders>
                    <w:left w:val="single" w:color="000000" w:sz="4" w:space="0"/>
                    <w:right w:val="single" w:color="000000" w:sz="4" w:space="0"/>
                  </w:tcBorders>
                  <w:vAlign w:val="center"/>
                </w:tcPr>
                <w:p w14:paraId="7A4B16B0">
                  <w:pPr>
                    <w:jc w:val="center"/>
                    <w:rPr>
                      <w:rFonts w:ascii="宋体" w:hAnsi="宋体" w:cs="宋体"/>
                      <w:color w:val="000000" w:themeColor="text1"/>
                      <w:szCs w:val="21"/>
                      <w14:textFill>
                        <w14:solidFill>
                          <w14:schemeClr w14:val="tx1"/>
                        </w14:solidFill>
                      </w14:textFill>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1C641">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67.22</w:t>
                  </w: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7DDC6">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-175.75</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4D107">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2A5B3">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88.0</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6D34E">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12.5</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99E64">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29.4</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4D96A">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14.6</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7D765">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65.26</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B1255">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65.31</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EADB9">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65.26</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0518B">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65.31</w:t>
                  </w:r>
                </w:p>
              </w:tc>
              <w:tc>
                <w:tcPr>
                  <w:tcW w:w="171" w:type="pct"/>
                  <w:vMerge w:val="continue"/>
                  <w:tcBorders>
                    <w:left w:val="single" w:color="000000" w:sz="4" w:space="0"/>
                    <w:right w:val="single" w:color="000000" w:sz="4" w:space="0"/>
                  </w:tcBorders>
                  <w:vAlign w:val="center"/>
                </w:tcPr>
                <w:p w14:paraId="20EF175E">
                  <w:pPr>
                    <w:jc w:val="center"/>
                    <w:rPr>
                      <w:rFonts w:ascii="宋体" w:hAnsi="宋体" w:cs="宋体"/>
                      <w:color w:val="000000" w:themeColor="text1"/>
                      <w:szCs w:val="21"/>
                      <w14:textFill>
                        <w14:solidFill>
                          <w14:schemeClr w14:val="tx1"/>
                        </w14:solidFill>
                      </w14:textFill>
                    </w:rPr>
                  </w:pPr>
                </w:p>
              </w:tc>
              <w:tc>
                <w:tcPr>
                  <w:tcW w:w="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826FB">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p>
              </w:tc>
              <w:tc>
                <w:tcPr>
                  <w:tcW w:w="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A37D9">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p>
              </w:tc>
              <w:tc>
                <w:tcPr>
                  <w:tcW w:w="1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84C86">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p>
              </w:tc>
              <w:tc>
                <w:tcPr>
                  <w:tcW w:w="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F2CF2">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92A57">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45.26</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519E3">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45.31</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FB670">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45.26</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38167">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45.31</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55A8F">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1</w:t>
                  </w:r>
                </w:p>
              </w:tc>
            </w:tr>
            <w:tr w14:paraId="5E6CFCEA">
              <w:tblPrEx>
                <w:tblCellMar>
                  <w:top w:w="0" w:type="dxa"/>
                  <w:left w:w="23" w:type="dxa"/>
                  <w:bottom w:w="0" w:type="dxa"/>
                  <w:right w:w="23" w:type="dxa"/>
                </w:tblCellMar>
              </w:tblPrEx>
              <w:trPr>
                <w:trHeight w:val="318" w:hRule="atLeast"/>
              </w:trPr>
              <w:tc>
                <w:tcPr>
                  <w:tcW w:w="182" w:type="pct"/>
                  <w:vMerge w:val="continue"/>
                  <w:tcBorders>
                    <w:left w:val="single" w:color="000000" w:sz="4" w:space="0"/>
                    <w:right w:val="single" w:color="auto" w:sz="4" w:space="0"/>
                  </w:tcBorders>
                  <w:shd w:val="clear" w:color="auto" w:fill="auto"/>
                  <w:vAlign w:val="center"/>
                </w:tcPr>
                <w:p w14:paraId="73EE2034">
                  <w:pPr>
                    <w:widowControl/>
                    <w:jc w:val="center"/>
                    <w:textAlignment w:val="center"/>
                    <w:rPr>
                      <w:rFonts w:ascii="宋体" w:hAnsi="宋体" w:cs="宋体"/>
                      <w:color w:val="000000" w:themeColor="text1"/>
                      <w:szCs w:val="21"/>
                      <w14:textFill>
                        <w14:solidFill>
                          <w14:schemeClr w14:val="tx1"/>
                        </w14:solidFill>
                      </w14:textFill>
                    </w:rPr>
                  </w:pPr>
                </w:p>
              </w:tc>
              <w:tc>
                <w:tcPr>
                  <w:tcW w:w="325" w:type="pct"/>
                  <w:tcBorders>
                    <w:top w:val="single" w:color="000000" w:sz="4" w:space="0"/>
                    <w:left w:val="single" w:color="auto" w:sz="4" w:space="0"/>
                    <w:bottom w:val="single" w:color="000000" w:sz="4" w:space="0"/>
                    <w:right w:val="single" w:color="000000" w:sz="4" w:space="0"/>
                  </w:tcBorders>
                  <w:shd w:val="clear" w:color="auto" w:fill="auto"/>
                  <w:vAlign w:val="center"/>
                </w:tcPr>
                <w:p w14:paraId="30041FB9">
                  <w:pPr>
                    <w:widowControl/>
                    <w:jc w:val="center"/>
                    <w:textAlignment w:val="center"/>
                    <w:rPr>
                      <w:rFonts w:ascii="宋体" w:hAnsi="宋体" w:cs="宋体"/>
                      <w:color w:val="000000" w:themeColor="text1"/>
                      <w:kern w:val="0"/>
                      <w:szCs w:val="21"/>
                      <w:lang w:bidi="ar"/>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雾炮机1</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48AB0">
                  <w:pPr>
                    <w:widowControl/>
                    <w:jc w:val="center"/>
                    <w:textAlignment w:val="center"/>
                    <w:rPr>
                      <w:color w:val="000000" w:themeColor="text1"/>
                      <w:szCs w:val="21"/>
                      <w14:textFill>
                        <w14:solidFill>
                          <w14:schemeClr w14:val="tx1"/>
                        </w14:solidFill>
                      </w14:textFill>
                    </w:rPr>
                  </w:pPr>
                  <w:r>
                    <w:rPr>
                      <w:rFonts w:hint="eastAsia"/>
                      <w:color w:val="000000" w:themeColor="text1"/>
                      <w:kern w:val="0"/>
                      <w:szCs w:val="21"/>
                      <w:lang w:bidi="ar"/>
                      <w14:textFill>
                        <w14:solidFill>
                          <w14:schemeClr w14:val="tx1"/>
                        </w14:solidFill>
                      </w14:textFill>
                    </w:rPr>
                    <w:t>7</w:t>
                  </w:r>
                  <w:r>
                    <w:rPr>
                      <w:color w:val="000000" w:themeColor="text1"/>
                      <w:kern w:val="0"/>
                      <w:szCs w:val="21"/>
                      <w:lang w:bidi="ar"/>
                      <w14:textFill>
                        <w14:solidFill>
                          <w14:schemeClr w14:val="tx1"/>
                        </w14:solidFill>
                      </w14:textFill>
                    </w:rPr>
                    <w:t>0</w:t>
                  </w:r>
                </w:p>
              </w:tc>
              <w:tc>
                <w:tcPr>
                  <w:tcW w:w="175" w:type="pct"/>
                  <w:vMerge w:val="continue"/>
                  <w:tcBorders>
                    <w:left w:val="single" w:color="000000" w:sz="4" w:space="0"/>
                    <w:right w:val="single" w:color="000000" w:sz="4" w:space="0"/>
                  </w:tcBorders>
                  <w:vAlign w:val="center"/>
                </w:tcPr>
                <w:p w14:paraId="552D46B3">
                  <w:pPr>
                    <w:jc w:val="center"/>
                    <w:rPr>
                      <w:rFonts w:ascii="宋体" w:hAnsi="宋体" w:cs="宋体"/>
                      <w:color w:val="000000" w:themeColor="text1"/>
                      <w:szCs w:val="21"/>
                      <w14:textFill>
                        <w14:solidFill>
                          <w14:schemeClr w14:val="tx1"/>
                        </w14:solidFill>
                      </w14:textFill>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74023">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45.23</w:t>
                  </w: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37940">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-165.44</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8760F">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E8619">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57.7</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A7C30">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11.4</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C311C">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59.7</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62143">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14.1</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48587">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55.26</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F0E91">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55.31</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4927F">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55.31</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7B84E">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55.26</w:t>
                  </w:r>
                </w:p>
              </w:tc>
              <w:tc>
                <w:tcPr>
                  <w:tcW w:w="171" w:type="pct"/>
                  <w:vMerge w:val="continue"/>
                  <w:tcBorders>
                    <w:left w:val="single" w:color="000000" w:sz="4" w:space="0"/>
                    <w:right w:val="single" w:color="000000" w:sz="4" w:space="0"/>
                  </w:tcBorders>
                  <w:vAlign w:val="center"/>
                </w:tcPr>
                <w:p w14:paraId="17B2CA40">
                  <w:pPr>
                    <w:jc w:val="center"/>
                    <w:rPr>
                      <w:rFonts w:ascii="宋体" w:hAnsi="宋体" w:cs="宋体"/>
                      <w:color w:val="000000" w:themeColor="text1"/>
                      <w:szCs w:val="21"/>
                      <w14:textFill>
                        <w14:solidFill>
                          <w14:schemeClr w14:val="tx1"/>
                        </w14:solidFill>
                      </w14:textFill>
                    </w:rPr>
                  </w:pPr>
                </w:p>
              </w:tc>
              <w:tc>
                <w:tcPr>
                  <w:tcW w:w="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BE7AD">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p>
              </w:tc>
              <w:tc>
                <w:tcPr>
                  <w:tcW w:w="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75AEF">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p>
              </w:tc>
              <w:tc>
                <w:tcPr>
                  <w:tcW w:w="1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FA333">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p>
              </w:tc>
              <w:tc>
                <w:tcPr>
                  <w:tcW w:w="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109E2">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6263E">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35.26</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2E394">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35.31</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FFB65">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35.31</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C3F02">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35.26</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7DAA9">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1</w:t>
                  </w:r>
                </w:p>
              </w:tc>
            </w:tr>
            <w:tr w14:paraId="2E5668D0">
              <w:tblPrEx>
                <w:tblCellMar>
                  <w:top w:w="0" w:type="dxa"/>
                  <w:left w:w="23" w:type="dxa"/>
                  <w:bottom w:w="0" w:type="dxa"/>
                  <w:right w:w="23" w:type="dxa"/>
                </w:tblCellMar>
              </w:tblPrEx>
              <w:trPr>
                <w:trHeight w:val="318" w:hRule="atLeast"/>
              </w:trPr>
              <w:tc>
                <w:tcPr>
                  <w:tcW w:w="182" w:type="pct"/>
                  <w:vMerge w:val="continue"/>
                  <w:tcBorders>
                    <w:left w:val="single" w:color="000000" w:sz="4" w:space="0"/>
                    <w:bottom w:val="single" w:color="000000" w:sz="4" w:space="0"/>
                    <w:right w:val="single" w:color="auto" w:sz="4" w:space="0"/>
                  </w:tcBorders>
                  <w:shd w:val="clear" w:color="auto" w:fill="auto"/>
                  <w:vAlign w:val="center"/>
                </w:tcPr>
                <w:p w14:paraId="5965627C">
                  <w:pPr>
                    <w:widowControl/>
                    <w:jc w:val="center"/>
                    <w:textAlignment w:val="center"/>
                    <w:rPr>
                      <w:rFonts w:ascii="宋体" w:hAnsi="宋体" w:cs="宋体"/>
                      <w:color w:val="000000" w:themeColor="text1"/>
                      <w:szCs w:val="21"/>
                      <w14:textFill>
                        <w14:solidFill>
                          <w14:schemeClr w14:val="tx1"/>
                        </w14:solidFill>
                      </w14:textFill>
                    </w:rPr>
                  </w:pPr>
                </w:p>
              </w:tc>
              <w:tc>
                <w:tcPr>
                  <w:tcW w:w="325" w:type="pct"/>
                  <w:tcBorders>
                    <w:top w:val="single" w:color="000000" w:sz="4" w:space="0"/>
                    <w:left w:val="single" w:color="auto" w:sz="4" w:space="0"/>
                    <w:bottom w:val="single" w:color="000000" w:sz="4" w:space="0"/>
                    <w:right w:val="single" w:color="000000" w:sz="4" w:space="0"/>
                  </w:tcBorders>
                  <w:shd w:val="clear" w:color="auto" w:fill="auto"/>
                  <w:vAlign w:val="center"/>
                </w:tcPr>
                <w:p w14:paraId="26AEB648">
                  <w:pPr>
                    <w:widowControl/>
                    <w:jc w:val="center"/>
                    <w:textAlignment w:val="center"/>
                    <w:rPr>
                      <w:rFonts w:ascii="宋体" w:hAnsi="宋体" w:cs="宋体"/>
                      <w:color w:val="000000" w:themeColor="text1"/>
                      <w:kern w:val="0"/>
                      <w:szCs w:val="21"/>
                      <w:lang w:bidi="ar"/>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通风设备1</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D6943">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70</w:t>
                  </w:r>
                </w:p>
              </w:tc>
              <w:tc>
                <w:tcPr>
                  <w:tcW w:w="175" w:type="pct"/>
                  <w:vMerge w:val="continue"/>
                  <w:tcBorders>
                    <w:left w:val="single" w:color="000000" w:sz="4" w:space="0"/>
                    <w:right w:val="single" w:color="000000" w:sz="4" w:space="0"/>
                  </w:tcBorders>
                  <w:vAlign w:val="center"/>
                </w:tcPr>
                <w:p w14:paraId="5F049C94">
                  <w:pPr>
                    <w:jc w:val="center"/>
                    <w:rPr>
                      <w:rFonts w:ascii="宋体" w:hAnsi="宋体" w:cs="宋体"/>
                      <w:color w:val="000000" w:themeColor="text1"/>
                      <w:szCs w:val="21"/>
                      <w14:textFill>
                        <w14:solidFill>
                          <w14:schemeClr w14:val="tx1"/>
                        </w14:solidFill>
                      </w14:textFill>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F919B">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19.81</w:t>
                  </w: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F4940">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-158.57</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B6955">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456BF">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85.0</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F98AB">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11.5</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8EF95">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32.4</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190E2">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13.6</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E6CAE">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55.26</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D09EE">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55.37</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6F2F6">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55.26</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F4302">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55.3</w:t>
                  </w:r>
                </w:p>
              </w:tc>
              <w:tc>
                <w:tcPr>
                  <w:tcW w:w="171" w:type="pct"/>
                  <w:vMerge w:val="continue"/>
                  <w:tcBorders>
                    <w:left w:val="single" w:color="000000" w:sz="4" w:space="0"/>
                    <w:right w:val="single" w:color="000000" w:sz="4" w:space="0"/>
                  </w:tcBorders>
                  <w:vAlign w:val="center"/>
                </w:tcPr>
                <w:p w14:paraId="38D39C23">
                  <w:pPr>
                    <w:jc w:val="center"/>
                    <w:rPr>
                      <w:rFonts w:ascii="宋体" w:hAnsi="宋体" w:cs="宋体"/>
                      <w:color w:val="000000" w:themeColor="text1"/>
                      <w:szCs w:val="21"/>
                      <w14:textFill>
                        <w14:solidFill>
                          <w14:schemeClr w14:val="tx1"/>
                        </w14:solidFill>
                      </w14:textFill>
                    </w:rPr>
                  </w:pPr>
                </w:p>
              </w:tc>
              <w:tc>
                <w:tcPr>
                  <w:tcW w:w="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CC59C">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20</w:t>
                  </w:r>
                </w:p>
              </w:tc>
              <w:tc>
                <w:tcPr>
                  <w:tcW w:w="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434B4">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20</w:t>
                  </w:r>
                </w:p>
              </w:tc>
              <w:tc>
                <w:tcPr>
                  <w:tcW w:w="1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32627">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20</w:t>
                  </w:r>
                </w:p>
              </w:tc>
              <w:tc>
                <w:tcPr>
                  <w:tcW w:w="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DC694">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87EBD">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35.26</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6C5F7">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35.37</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281DA">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35.26</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DFD6F">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35.3</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C95B2">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1</w:t>
                  </w:r>
                </w:p>
              </w:tc>
            </w:tr>
            <w:tr w14:paraId="4F011E20">
              <w:tblPrEx>
                <w:tblCellMar>
                  <w:top w:w="0" w:type="dxa"/>
                  <w:left w:w="23" w:type="dxa"/>
                  <w:bottom w:w="0" w:type="dxa"/>
                  <w:right w:w="23" w:type="dxa"/>
                </w:tblCellMar>
              </w:tblPrEx>
              <w:trPr>
                <w:trHeight w:val="318" w:hRule="atLeast"/>
              </w:trPr>
              <w:tc>
                <w:tcPr>
                  <w:tcW w:w="182" w:type="pct"/>
                  <w:vMerge w:val="restart"/>
                  <w:tcBorders>
                    <w:left w:val="single" w:color="000000" w:sz="4" w:space="0"/>
                    <w:right w:val="single" w:color="auto" w:sz="4" w:space="0"/>
                  </w:tcBorders>
                  <w:shd w:val="clear" w:color="auto" w:fill="auto"/>
                  <w:vAlign w:val="center"/>
                </w:tcPr>
                <w:p w14:paraId="71A7F890">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东厂房</w:t>
                  </w:r>
                </w:p>
              </w:tc>
              <w:tc>
                <w:tcPr>
                  <w:tcW w:w="325" w:type="pct"/>
                  <w:tcBorders>
                    <w:top w:val="single" w:color="000000" w:sz="4" w:space="0"/>
                    <w:left w:val="single" w:color="auto" w:sz="4" w:space="0"/>
                    <w:bottom w:val="single" w:color="000000" w:sz="4" w:space="0"/>
                    <w:right w:val="single" w:color="000000" w:sz="4" w:space="0"/>
                  </w:tcBorders>
                  <w:shd w:val="clear" w:color="auto" w:fill="auto"/>
                  <w:vAlign w:val="center"/>
                </w:tcPr>
                <w:p w14:paraId="7CCDF24E">
                  <w:pPr>
                    <w:widowControl/>
                    <w:jc w:val="center"/>
                    <w:textAlignment w:val="center"/>
                    <w:rPr>
                      <w:rFonts w:ascii="宋体" w:hAnsi="宋体" w:cs="宋体"/>
                      <w:color w:val="000000" w:themeColor="text1"/>
                      <w:kern w:val="0"/>
                      <w:szCs w:val="21"/>
                      <w:lang w:bidi="ar"/>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装载机2</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0C417">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85</w:t>
                  </w:r>
                </w:p>
              </w:tc>
              <w:tc>
                <w:tcPr>
                  <w:tcW w:w="175" w:type="pct"/>
                  <w:vMerge w:val="continue"/>
                  <w:tcBorders>
                    <w:left w:val="single" w:color="000000" w:sz="4" w:space="0"/>
                    <w:right w:val="single" w:color="000000" w:sz="4" w:space="0"/>
                  </w:tcBorders>
                  <w:vAlign w:val="center"/>
                </w:tcPr>
                <w:p w14:paraId="3106A38B">
                  <w:pPr>
                    <w:jc w:val="center"/>
                    <w:rPr>
                      <w:rFonts w:ascii="宋体" w:hAnsi="宋体" w:cs="宋体"/>
                      <w:color w:val="000000" w:themeColor="text1"/>
                      <w:szCs w:val="21"/>
                      <w14:textFill>
                        <w14:solidFill>
                          <w14:schemeClr w14:val="tx1"/>
                        </w14:solidFill>
                      </w14:textFill>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8BF96">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175.76</w:t>
                  </w: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23465">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-159.26</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2AC1B">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49748">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7.5</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82DF6">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62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41D2F">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7.5</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7995E">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5.6</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93291">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73.29</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2F1A2">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73.25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3AB39">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73.29</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FD2F2">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73.35</w:t>
                  </w:r>
                </w:p>
              </w:tc>
              <w:tc>
                <w:tcPr>
                  <w:tcW w:w="171" w:type="pct"/>
                  <w:vMerge w:val="continue"/>
                  <w:tcBorders>
                    <w:left w:val="single" w:color="000000" w:sz="4" w:space="0"/>
                    <w:right w:val="single" w:color="000000" w:sz="4" w:space="0"/>
                  </w:tcBorders>
                  <w:vAlign w:val="center"/>
                </w:tcPr>
                <w:p w14:paraId="6D51CCA9">
                  <w:pPr>
                    <w:jc w:val="center"/>
                    <w:rPr>
                      <w:rFonts w:ascii="宋体" w:hAnsi="宋体" w:cs="宋体"/>
                      <w:color w:val="000000" w:themeColor="text1"/>
                      <w:szCs w:val="21"/>
                      <w14:textFill>
                        <w14:solidFill>
                          <w14:schemeClr w14:val="tx1"/>
                        </w14:solidFill>
                      </w14:textFill>
                    </w:rPr>
                  </w:pPr>
                </w:p>
              </w:tc>
              <w:tc>
                <w:tcPr>
                  <w:tcW w:w="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1533B">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20</w:t>
                  </w:r>
                </w:p>
              </w:tc>
              <w:tc>
                <w:tcPr>
                  <w:tcW w:w="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B56BF">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20</w:t>
                  </w:r>
                </w:p>
              </w:tc>
              <w:tc>
                <w:tcPr>
                  <w:tcW w:w="1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F8691">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20</w:t>
                  </w:r>
                </w:p>
              </w:tc>
              <w:tc>
                <w:tcPr>
                  <w:tcW w:w="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A625F">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70CE7">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53.29</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DC8A0">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53.25</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220A7">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53.29</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6FB63">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53.35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4EBDE">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1</w:t>
                  </w:r>
                </w:p>
              </w:tc>
            </w:tr>
            <w:tr w14:paraId="53D6A811">
              <w:tblPrEx>
                <w:tblCellMar>
                  <w:top w:w="0" w:type="dxa"/>
                  <w:left w:w="23" w:type="dxa"/>
                  <w:bottom w:w="0" w:type="dxa"/>
                  <w:right w:w="23" w:type="dxa"/>
                </w:tblCellMar>
              </w:tblPrEx>
              <w:trPr>
                <w:trHeight w:val="606" w:hRule="atLeast"/>
              </w:trPr>
              <w:tc>
                <w:tcPr>
                  <w:tcW w:w="182" w:type="pct"/>
                  <w:vMerge w:val="continue"/>
                  <w:tcBorders>
                    <w:left w:val="single" w:color="000000" w:sz="4" w:space="0"/>
                    <w:right w:val="single" w:color="auto" w:sz="4" w:space="0"/>
                  </w:tcBorders>
                  <w:shd w:val="clear" w:color="auto" w:fill="auto"/>
                  <w:vAlign w:val="center"/>
                </w:tcPr>
                <w:p w14:paraId="16626441">
                  <w:pPr>
                    <w:widowControl/>
                    <w:jc w:val="center"/>
                    <w:textAlignment w:val="center"/>
                    <w:rPr>
                      <w:rFonts w:ascii="宋体" w:hAnsi="宋体" w:cs="宋体"/>
                      <w:color w:val="000000" w:themeColor="text1"/>
                      <w:szCs w:val="21"/>
                      <w14:textFill>
                        <w14:solidFill>
                          <w14:schemeClr w14:val="tx1"/>
                        </w14:solidFill>
                      </w14:textFill>
                    </w:rPr>
                  </w:pPr>
                </w:p>
              </w:tc>
              <w:tc>
                <w:tcPr>
                  <w:tcW w:w="325" w:type="pct"/>
                  <w:tcBorders>
                    <w:top w:val="single" w:color="000000" w:sz="4" w:space="0"/>
                    <w:left w:val="single" w:color="auto" w:sz="4" w:space="0"/>
                    <w:bottom w:val="single" w:color="000000" w:sz="4" w:space="0"/>
                    <w:right w:val="single" w:color="000000" w:sz="4" w:space="0"/>
                  </w:tcBorders>
                  <w:shd w:val="clear" w:color="auto" w:fill="auto"/>
                  <w:vAlign w:val="center"/>
                </w:tcPr>
                <w:p w14:paraId="20D5D3AB">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包装机</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2CB57">
                  <w:pPr>
                    <w:widowControl/>
                    <w:jc w:val="center"/>
                    <w:textAlignment w:val="center"/>
                    <w:rPr>
                      <w:color w:val="000000" w:themeColor="text1"/>
                      <w:szCs w:val="21"/>
                      <w14:textFill>
                        <w14:solidFill>
                          <w14:schemeClr w14:val="tx1"/>
                        </w14:solidFill>
                      </w14:textFill>
                    </w:rPr>
                  </w:pPr>
                  <w:r>
                    <w:rPr>
                      <w:rFonts w:hint="eastAsia"/>
                      <w:color w:val="000000" w:themeColor="text1"/>
                      <w:kern w:val="0"/>
                      <w:szCs w:val="21"/>
                      <w:lang w:bidi="ar"/>
                      <w14:textFill>
                        <w14:solidFill>
                          <w14:schemeClr w14:val="tx1"/>
                        </w14:solidFill>
                      </w14:textFill>
                    </w:rPr>
                    <w:t>70</w:t>
                  </w:r>
                </w:p>
              </w:tc>
              <w:tc>
                <w:tcPr>
                  <w:tcW w:w="175" w:type="pct"/>
                  <w:vMerge w:val="continue"/>
                  <w:tcBorders>
                    <w:left w:val="single" w:color="000000" w:sz="4" w:space="0"/>
                    <w:right w:val="single" w:color="000000" w:sz="4" w:space="0"/>
                  </w:tcBorders>
                  <w:vAlign w:val="center"/>
                </w:tcPr>
                <w:p w14:paraId="59CA5F66">
                  <w:pPr>
                    <w:jc w:val="center"/>
                    <w:rPr>
                      <w:rFonts w:ascii="宋体" w:hAnsi="宋体" w:cs="宋体"/>
                      <w:color w:val="000000" w:themeColor="text1"/>
                      <w:szCs w:val="21"/>
                      <w14:textFill>
                        <w14:solidFill>
                          <w14:schemeClr w14:val="tx1"/>
                        </w14:solidFill>
                      </w14:textFill>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D96DD">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168.89</w:t>
                  </w: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0AAFF">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-171.62</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11E87">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4847E">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7.3</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C3D4F">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48.7</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27C7E">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7.7</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EEC8E">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18.9</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74DAA">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58.3</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8CD83">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58.25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92A61">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58.26</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DFC03">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58.26</w:t>
                  </w:r>
                </w:p>
              </w:tc>
              <w:tc>
                <w:tcPr>
                  <w:tcW w:w="171" w:type="pct"/>
                  <w:vMerge w:val="continue"/>
                  <w:tcBorders>
                    <w:left w:val="single" w:color="000000" w:sz="4" w:space="0"/>
                    <w:right w:val="single" w:color="000000" w:sz="4" w:space="0"/>
                  </w:tcBorders>
                  <w:vAlign w:val="center"/>
                </w:tcPr>
                <w:p w14:paraId="0BA0712F">
                  <w:pPr>
                    <w:jc w:val="center"/>
                    <w:rPr>
                      <w:rFonts w:ascii="宋体" w:hAnsi="宋体" w:cs="宋体"/>
                      <w:color w:val="000000" w:themeColor="text1"/>
                      <w:szCs w:val="21"/>
                      <w14:textFill>
                        <w14:solidFill>
                          <w14:schemeClr w14:val="tx1"/>
                        </w14:solidFill>
                      </w14:textFill>
                    </w:rPr>
                  </w:pPr>
                </w:p>
              </w:tc>
              <w:tc>
                <w:tcPr>
                  <w:tcW w:w="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C25AA">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p>
              </w:tc>
              <w:tc>
                <w:tcPr>
                  <w:tcW w:w="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FA1E4">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p>
              </w:tc>
              <w:tc>
                <w:tcPr>
                  <w:tcW w:w="1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56F38">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p>
              </w:tc>
              <w:tc>
                <w:tcPr>
                  <w:tcW w:w="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75F4F">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23350">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38.3</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718DA">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38.25</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79936">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38.26</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A7413">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38.26</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784DE">
                  <w:pPr>
                    <w:widowControl/>
                    <w:jc w:val="center"/>
                    <w:textAlignment w:val="center"/>
                    <w:rPr>
                      <w:color w:val="000000" w:themeColor="text1"/>
                      <w:szCs w:val="21"/>
                      <w14:textFill>
                        <w14:solidFill>
                          <w14:schemeClr w14:val="tx1"/>
                        </w14:solidFill>
                      </w14:textFill>
                    </w:rPr>
                  </w:pPr>
                  <w:r>
                    <w:rPr>
                      <w:color w:val="000000" w:themeColor="text1"/>
                      <w:kern w:val="0"/>
                      <w:szCs w:val="21"/>
                      <w:lang w:bidi="ar"/>
                      <w14:textFill>
                        <w14:solidFill>
                          <w14:schemeClr w14:val="tx1"/>
                        </w14:solidFill>
                      </w14:textFill>
                    </w:rPr>
                    <w:t>1</w:t>
                  </w:r>
                </w:p>
              </w:tc>
            </w:tr>
            <w:tr w14:paraId="39DE9077">
              <w:tblPrEx>
                <w:tblCellMar>
                  <w:top w:w="0" w:type="dxa"/>
                  <w:left w:w="23" w:type="dxa"/>
                  <w:bottom w:w="0" w:type="dxa"/>
                  <w:right w:w="23" w:type="dxa"/>
                </w:tblCellMar>
              </w:tblPrEx>
              <w:trPr>
                <w:trHeight w:val="606" w:hRule="atLeast"/>
              </w:trPr>
              <w:tc>
                <w:tcPr>
                  <w:tcW w:w="182" w:type="pct"/>
                  <w:vMerge w:val="continue"/>
                  <w:tcBorders>
                    <w:left w:val="single" w:color="000000" w:sz="4" w:space="0"/>
                    <w:right w:val="single" w:color="auto" w:sz="4" w:space="0"/>
                  </w:tcBorders>
                  <w:shd w:val="clear" w:color="auto" w:fill="auto"/>
                  <w:vAlign w:val="center"/>
                </w:tcPr>
                <w:p w14:paraId="37C8EA06">
                  <w:pPr>
                    <w:widowControl/>
                    <w:jc w:val="center"/>
                    <w:textAlignment w:val="center"/>
                    <w:rPr>
                      <w:rFonts w:ascii="宋体" w:hAnsi="宋体" w:cs="宋体"/>
                      <w:color w:val="000000" w:themeColor="text1"/>
                      <w:kern w:val="0"/>
                      <w:szCs w:val="21"/>
                      <w:lang w:bidi="ar"/>
                      <w14:textFill>
                        <w14:solidFill>
                          <w14:schemeClr w14:val="tx1"/>
                        </w14:solidFill>
                      </w14:textFill>
                    </w:rPr>
                  </w:pPr>
                </w:p>
              </w:tc>
              <w:tc>
                <w:tcPr>
                  <w:tcW w:w="325" w:type="pct"/>
                  <w:tcBorders>
                    <w:top w:val="single" w:color="000000" w:sz="4" w:space="0"/>
                    <w:left w:val="single" w:color="auto" w:sz="4" w:space="0"/>
                    <w:bottom w:val="single" w:color="000000" w:sz="4" w:space="0"/>
                    <w:right w:val="single" w:color="000000" w:sz="4" w:space="0"/>
                  </w:tcBorders>
                  <w:shd w:val="clear" w:color="auto" w:fill="auto"/>
                  <w:vAlign w:val="center"/>
                </w:tcPr>
                <w:p w14:paraId="5F26F82F">
                  <w:pPr>
                    <w:widowControl/>
                    <w:jc w:val="center"/>
                    <w:textAlignment w:val="center"/>
                    <w:rPr>
                      <w:rFonts w:ascii="宋体" w:hAnsi="宋体" w:cs="宋体"/>
                      <w:color w:val="000000" w:themeColor="text1"/>
                      <w:kern w:val="0"/>
                      <w:szCs w:val="21"/>
                      <w:lang w:bidi="ar"/>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雾炮机2</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4A090">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70</w:t>
                  </w:r>
                </w:p>
              </w:tc>
              <w:tc>
                <w:tcPr>
                  <w:tcW w:w="175" w:type="pct"/>
                  <w:vMerge w:val="continue"/>
                  <w:tcBorders>
                    <w:left w:val="single" w:color="000000" w:sz="4" w:space="0"/>
                    <w:right w:val="single" w:color="000000" w:sz="4" w:space="0"/>
                  </w:tcBorders>
                  <w:vAlign w:val="center"/>
                </w:tcPr>
                <w:p w14:paraId="1E3601CB">
                  <w:pPr>
                    <w:jc w:val="center"/>
                    <w:rPr>
                      <w:rFonts w:ascii="宋体" w:hAnsi="宋体" w:cs="宋体"/>
                      <w:color w:val="000000" w:themeColor="text1"/>
                      <w:szCs w:val="21"/>
                      <w14:textFill>
                        <w14:solidFill>
                          <w14:schemeClr w14:val="tx1"/>
                        </w14:solidFill>
                      </w14:textFill>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98536">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157.9</w:t>
                  </w: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09C0D">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-189.49</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F79F4">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1.2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61B60">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8.5</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F1A1C">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15.4</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D028E">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8.1</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DDFF7">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51.6</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137B7">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58.31</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EB5A7">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58.25</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D4A19">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58.3</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F4274">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58.25</w:t>
                  </w:r>
                </w:p>
              </w:tc>
              <w:tc>
                <w:tcPr>
                  <w:tcW w:w="171" w:type="pct"/>
                  <w:vMerge w:val="continue"/>
                  <w:tcBorders>
                    <w:left w:val="single" w:color="000000" w:sz="4" w:space="0"/>
                    <w:right w:val="single" w:color="000000" w:sz="4" w:space="0"/>
                  </w:tcBorders>
                  <w:vAlign w:val="center"/>
                </w:tcPr>
                <w:p w14:paraId="3771BCF3">
                  <w:pPr>
                    <w:jc w:val="center"/>
                    <w:rPr>
                      <w:rFonts w:ascii="宋体" w:hAnsi="宋体" w:cs="宋体"/>
                      <w:color w:val="000000" w:themeColor="text1"/>
                      <w:szCs w:val="21"/>
                      <w14:textFill>
                        <w14:solidFill>
                          <w14:schemeClr w14:val="tx1"/>
                        </w14:solidFill>
                      </w14:textFill>
                    </w:rPr>
                  </w:pPr>
                </w:p>
              </w:tc>
              <w:tc>
                <w:tcPr>
                  <w:tcW w:w="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DDB60">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20</w:t>
                  </w:r>
                </w:p>
              </w:tc>
              <w:tc>
                <w:tcPr>
                  <w:tcW w:w="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7099D">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20</w:t>
                  </w:r>
                </w:p>
              </w:tc>
              <w:tc>
                <w:tcPr>
                  <w:tcW w:w="1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45D99">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20</w:t>
                  </w:r>
                </w:p>
              </w:tc>
              <w:tc>
                <w:tcPr>
                  <w:tcW w:w="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073DA">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2D2F1">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38.31</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DEE40">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38.25</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2139E">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38.3</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A3D88">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38.25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970FE">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1</w:t>
                  </w:r>
                </w:p>
              </w:tc>
            </w:tr>
            <w:tr w14:paraId="50246093">
              <w:tblPrEx>
                <w:tblCellMar>
                  <w:top w:w="0" w:type="dxa"/>
                  <w:left w:w="23" w:type="dxa"/>
                  <w:bottom w:w="0" w:type="dxa"/>
                  <w:right w:w="23" w:type="dxa"/>
                </w:tblCellMar>
              </w:tblPrEx>
              <w:trPr>
                <w:trHeight w:val="606" w:hRule="atLeast"/>
              </w:trPr>
              <w:tc>
                <w:tcPr>
                  <w:tcW w:w="182" w:type="pct"/>
                  <w:vMerge w:val="continue"/>
                  <w:tcBorders>
                    <w:left w:val="single" w:color="000000" w:sz="4" w:space="0"/>
                    <w:bottom w:val="single" w:color="000000" w:sz="4" w:space="0"/>
                    <w:right w:val="single" w:color="auto" w:sz="4" w:space="0"/>
                  </w:tcBorders>
                  <w:shd w:val="clear" w:color="auto" w:fill="auto"/>
                  <w:vAlign w:val="center"/>
                </w:tcPr>
                <w:p w14:paraId="161356AD">
                  <w:pPr>
                    <w:widowControl/>
                    <w:jc w:val="center"/>
                    <w:textAlignment w:val="center"/>
                    <w:rPr>
                      <w:rFonts w:ascii="宋体" w:hAnsi="宋体" w:cs="宋体"/>
                      <w:color w:val="000000" w:themeColor="text1"/>
                      <w:kern w:val="0"/>
                      <w:szCs w:val="21"/>
                      <w:lang w:bidi="ar"/>
                      <w14:textFill>
                        <w14:solidFill>
                          <w14:schemeClr w14:val="tx1"/>
                        </w14:solidFill>
                      </w14:textFill>
                    </w:rPr>
                  </w:pPr>
                </w:p>
              </w:tc>
              <w:tc>
                <w:tcPr>
                  <w:tcW w:w="325" w:type="pct"/>
                  <w:tcBorders>
                    <w:top w:val="single" w:color="000000" w:sz="4" w:space="0"/>
                    <w:left w:val="single" w:color="auto" w:sz="4" w:space="0"/>
                    <w:bottom w:val="single" w:color="000000" w:sz="4" w:space="0"/>
                    <w:right w:val="single" w:color="000000" w:sz="4" w:space="0"/>
                  </w:tcBorders>
                  <w:shd w:val="clear" w:color="auto" w:fill="auto"/>
                  <w:vAlign w:val="center"/>
                </w:tcPr>
                <w:p w14:paraId="2EF8A618">
                  <w:pPr>
                    <w:widowControl/>
                    <w:jc w:val="center"/>
                    <w:textAlignment w:val="center"/>
                    <w:rPr>
                      <w:rFonts w:ascii="宋体" w:hAnsi="宋体" w:cs="宋体"/>
                      <w:color w:val="000000" w:themeColor="text1"/>
                      <w:kern w:val="0"/>
                      <w:szCs w:val="21"/>
                      <w:lang w:bidi="ar"/>
                      <w14:textFill>
                        <w14:solidFill>
                          <w14:schemeClr w14:val="tx1"/>
                        </w14:solidFill>
                      </w14:textFill>
                    </w:rPr>
                  </w:pPr>
                  <w:r>
                    <w:rPr>
                      <w:rFonts w:hint="eastAsia" w:ascii="宋体" w:hAnsi="宋体" w:cs="宋体"/>
                      <w:color w:val="000000" w:themeColor="text1"/>
                      <w:kern w:val="0"/>
                      <w:szCs w:val="21"/>
                      <w:lang w:bidi="ar"/>
                      <w14:textFill>
                        <w14:solidFill>
                          <w14:schemeClr w14:val="tx1"/>
                        </w14:solidFill>
                      </w14:textFill>
                    </w:rPr>
                    <w:t>通风设备2</w:t>
                  </w:r>
                </w:p>
              </w:tc>
              <w:tc>
                <w:tcPr>
                  <w:tcW w:w="2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7C138">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70</w:t>
                  </w:r>
                </w:p>
              </w:tc>
              <w:tc>
                <w:tcPr>
                  <w:tcW w:w="175" w:type="pct"/>
                  <w:vMerge w:val="continue"/>
                  <w:tcBorders>
                    <w:left w:val="single" w:color="000000" w:sz="4" w:space="0"/>
                    <w:bottom w:val="single" w:color="000000" w:sz="4" w:space="0"/>
                    <w:right w:val="single" w:color="000000" w:sz="4" w:space="0"/>
                  </w:tcBorders>
                  <w:vAlign w:val="center"/>
                </w:tcPr>
                <w:p w14:paraId="43A90A61">
                  <w:pPr>
                    <w:jc w:val="center"/>
                    <w:rPr>
                      <w:rFonts w:ascii="宋体" w:hAnsi="宋体" w:cs="宋体"/>
                      <w:color w:val="000000" w:themeColor="text1"/>
                      <w:szCs w:val="21"/>
                      <w14:textFill>
                        <w14:solidFill>
                          <w14:schemeClr w14:val="tx1"/>
                        </w14:solidFill>
                      </w14:textFill>
                    </w:rPr>
                  </w:pP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35051">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151.03</w:t>
                  </w:r>
                </w:p>
              </w:tc>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CF8F3">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-203.23</w:t>
                  </w:r>
                </w:p>
              </w:tc>
              <w:tc>
                <w:tcPr>
                  <w:tcW w:w="1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FD4AA">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250BC">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7.8</w:t>
                  </w:r>
                </w:p>
              </w:tc>
              <w:tc>
                <w:tcPr>
                  <w:tcW w:w="1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E9ED9">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32.2</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75367">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7.2</w:t>
                  </w:r>
                </w:p>
              </w:tc>
              <w:tc>
                <w:tcPr>
                  <w:tcW w:w="2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97BAB">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35.4</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5C1F4">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58.31</w:t>
                  </w:r>
                </w:p>
              </w:tc>
              <w:tc>
                <w:tcPr>
                  <w:tcW w:w="1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2174B">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58.27</w:t>
                  </w:r>
                </w:p>
              </w:tc>
              <w:tc>
                <w:tcPr>
                  <w:tcW w:w="1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5BA70">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58.29</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F37BA">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58.25</w:t>
                  </w:r>
                </w:p>
              </w:tc>
              <w:tc>
                <w:tcPr>
                  <w:tcW w:w="171" w:type="pct"/>
                  <w:vMerge w:val="continue"/>
                  <w:tcBorders>
                    <w:left w:val="single" w:color="000000" w:sz="4" w:space="0"/>
                    <w:bottom w:val="single" w:color="000000" w:sz="4" w:space="0"/>
                    <w:right w:val="single" w:color="000000" w:sz="4" w:space="0"/>
                  </w:tcBorders>
                  <w:vAlign w:val="center"/>
                </w:tcPr>
                <w:p w14:paraId="5BEE82C0">
                  <w:pPr>
                    <w:jc w:val="center"/>
                    <w:rPr>
                      <w:rFonts w:ascii="宋体" w:hAnsi="宋体" w:cs="宋体"/>
                      <w:color w:val="000000" w:themeColor="text1"/>
                      <w:szCs w:val="21"/>
                      <w14:textFill>
                        <w14:solidFill>
                          <w14:schemeClr w14:val="tx1"/>
                        </w14:solidFill>
                      </w14:textFill>
                    </w:rPr>
                  </w:pPr>
                </w:p>
              </w:tc>
              <w:tc>
                <w:tcPr>
                  <w:tcW w:w="1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E7B84">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20</w:t>
                  </w:r>
                </w:p>
              </w:tc>
              <w:tc>
                <w:tcPr>
                  <w:tcW w:w="1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128D0">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20</w:t>
                  </w:r>
                </w:p>
              </w:tc>
              <w:tc>
                <w:tcPr>
                  <w:tcW w:w="1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0782B">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20</w:t>
                  </w:r>
                </w:p>
              </w:tc>
              <w:tc>
                <w:tcPr>
                  <w:tcW w:w="1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5D698">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szCs w:val="21"/>
                      <w14:textFill>
                        <w14:solidFill>
                          <w14:schemeClr w14:val="tx1"/>
                        </w14:solidFill>
                      </w14:textFill>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4470D">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38.31</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8B3F0">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38.27</w:t>
                  </w:r>
                </w:p>
              </w:tc>
              <w:tc>
                <w:tcPr>
                  <w:tcW w:w="2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F58E4">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38.29</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C2CD1">
                  <w:pPr>
                    <w:widowControl/>
                    <w:jc w:val="center"/>
                    <w:textAlignment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38.25</w:t>
                  </w:r>
                </w:p>
              </w:tc>
              <w:tc>
                <w:tcPr>
                  <w:tcW w:w="2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4C308">
                  <w:pPr>
                    <w:widowControl/>
                    <w:jc w:val="center"/>
                    <w:textAlignment w:val="center"/>
                    <w:rPr>
                      <w:color w:val="000000" w:themeColor="text1"/>
                      <w:kern w:val="0"/>
                      <w:szCs w:val="21"/>
                      <w:lang w:bidi="ar"/>
                      <w14:textFill>
                        <w14:solidFill>
                          <w14:schemeClr w14:val="tx1"/>
                        </w14:solidFill>
                      </w14:textFill>
                    </w:rPr>
                  </w:pPr>
                  <w:r>
                    <w:rPr>
                      <w:rFonts w:hint="eastAsia"/>
                      <w:color w:val="000000" w:themeColor="text1"/>
                      <w:kern w:val="0"/>
                      <w:szCs w:val="21"/>
                      <w:lang w:bidi="ar"/>
                      <w14:textFill>
                        <w14:solidFill>
                          <w14:schemeClr w14:val="tx1"/>
                        </w14:solidFill>
                      </w14:textFill>
                    </w:rPr>
                    <w:t>1</w:t>
                  </w:r>
                </w:p>
              </w:tc>
            </w:tr>
          </w:tbl>
          <w:p w14:paraId="48F5D2AC">
            <w:pPr>
              <w:pStyle w:val="10"/>
              <w:spacing w:before="0" w:after="0" w:line="240" w:lineRule="auto"/>
              <w:ind w:firstLine="1767" w:firstLineChars="800"/>
              <w:rPr>
                <w:b/>
                <w:bCs/>
                <w:color w:val="000000" w:themeColor="text1"/>
                <w:spacing w:val="5"/>
                <w:sz w:val="21"/>
                <w:szCs w:val="21"/>
                <w14:textFill>
                  <w14:solidFill>
                    <w14:schemeClr w14:val="tx1"/>
                  </w14:solidFill>
                </w14:textFill>
              </w:rPr>
            </w:pPr>
          </w:p>
          <w:p w14:paraId="78244CA4">
            <w:pPr>
              <w:spacing w:line="360" w:lineRule="auto"/>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2、预测范围、点位与评价因子</w:t>
            </w:r>
          </w:p>
          <w:p w14:paraId="70121093">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①噪声预测范围为：厂界外1m。</w:t>
            </w:r>
          </w:p>
          <w:p w14:paraId="1A164654">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②预测点位：噪声分别预测东、西厂房厂界东西南北4个厂界处贡献值。</w:t>
            </w:r>
          </w:p>
          <w:p w14:paraId="49BDEF17">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③噪声预测因子：昼夜等效连续A声级。</w:t>
            </w:r>
          </w:p>
          <w:p w14:paraId="39EEF2C6">
            <w:pPr>
              <w:spacing w:line="360" w:lineRule="auto"/>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3、</w:t>
            </w:r>
            <w:r>
              <w:rPr>
                <w:b/>
                <w:bCs/>
                <w:color w:val="000000" w:themeColor="text1"/>
                <w:sz w:val="24"/>
                <w14:textFill>
                  <w14:solidFill>
                    <w14:schemeClr w14:val="tx1"/>
                  </w14:solidFill>
                </w14:textFill>
              </w:rPr>
              <w:t>声环境影响预测</w:t>
            </w:r>
          </w:p>
          <w:p w14:paraId="7DD04117">
            <w:pPr>
              <w:spacing w:line="360" w:lineRule="auto"/>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（1）建筑物插入损失计算</w:t>
            </w:r>
          </w:p>
          <w:p w14:paraId="5D5E2F0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根据《环境影响评</w:t>
            </w:r>
            <w:r>
              <w:rPr>
                <w:color w:val="000000" w:themeColor="text1"/>
                <w:kern w:val="0"/>
                <w:sz w:val="24"/>
                <w:lang w:bidi="ar"/>
                <w14:textFill>
                  <w14:solidFill>
                    <w14:schemeClr w14:val="tx1"/>
                  </w14:solidFill>
                </w14:textFill>
              </w:rPr>
              <w:t>价技术导则 声环境》（HJ2.4-2021）</w:t>
            </w:r>
            <w:r>
              <w:rPr>
                <w:color w:val="000000" w:themeColor="text1"/>
                <w:sz w:val="24"/>
                <w14:textFill>
                  <w14:solidFill>
                    <w14:schemeClr w14:val="tx1"/>
                  </w14:solidFill>
                </w14:textFill>
              </w:rPr>
              <w:t>附录B可知，室内声源可采用等效室外声源声功率级法进行计算。设靠近开口处（或窗户）室内、室外某倍频带的声压级分别为L</w:t>
            </w:r>
            <w:r>
              <w:rPr>
                <w:color w:val="000000" w:themeColor="text1"/>
                <w:sz w:val="24"/>
                <w:vertAlign w:val="subscript"/>
                <w14:textFill>
                  <w14:solidFill>
                    <w14:schemeClr w14:val="tx1"/>
                  </w14:solidFill>
                </w14:textFill>
              </w:rPr>
              <w:t>P1</w:t>
            </w:r>
            <w:r>
              <w:rPr>
                <w:color w:val="000000" w:themeColor="text1"/>
                <w:sz w:val="24"/>
                <w14:textFill>
                  <w14:solidFill>
                    <w14:schemeClr w14:val="tx1"/>
                  </w14:solidFill>
                </w14:textFill>
              </w:rPr>
              <w:t>和L</w:t>
            </w:r>
            <w:r>
              <w:rPr>
                <w:color w:val="000000" w:themeColor="text1"/>
                <w:sz w:val="24"/>
                <w:vertAlign w:val="subscript"/>
                <w14:textFill>
                  <w14:solidFill>
                    <w14:schemeClr w14:val="tx1"/>
                  </w14:solidFill>
                </w14:textFill>
              </w:rPr>
              <w:t>P2</w:t>
            </w:r>
            <w:r>
              <w:rPr>
                <w:color w:val="000000" w:themeColor="text1"/>
                <w:sz w:val="24"/>
                <w14:textFill>
                  <w14:solidFill>
                    <w14:schemeClr w14:val="tx1"/>
                  </w14:solidFill>
                </w14:textFill>
              </w:rPr>
              <w:t>。若声源所在室内声场为近似扩散声场，则室外的倍频带声压级可按以下公式近似求出：</w:t>
            </w:r>
          </w:p>
          <w:p w14:paraId="598CB37C">
            <w:pPr>
              <w:snapToGrid w:val="0"/>
              <w:spacing w:line="360" w:lineRule="auto"/>
              <w:ind w:firstLine="480" w:firstLineChars="200"/>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P2</w:t>
            </w: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P1</w:t>
            </w:r>
            <w:r>
              <w:rPr>
                <w:color w:val="000000" w:themeColor="text1"/>
                <w:sz w:val="24"/>
                <w14:textFill>
                  <w14:solidFill>
                    <w14:schemeClr w14:val="tx1"/>
                  </w14:solidFill>
                </w14:textFill>
              </w:rPr>
              <w:t>-（TL+6）</w:t>
            </w:r>
          </w:p>
          <w:p w14:paraId="15FC33A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式中：TL—隔墙（或窗户）倍频带的隔声量，dB。</w:t>
            </w:r>
          </w:p>
          <w:p w14:paraId="32D6462A">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综上可知，建筑物插入损失等于建筑物隔音量+6。根据《环境工程手册 环境噪声控制卷》表4-14可知，单层板平均隔声量为20.5dB（A），本项目设备设置减振装置，</w:t>
            </w:r>
            <w:r>
              <w:rPr>
                <w:rFonts w:hint="eastAsia"/>
                <w:color w:val="000000" w:themeColor="text1"/>
                <w:sz w:val="24"/>
                <w14:textFill>
                  <w14:solidFill>
                    <w14:schemeClr w14:val="tx1"/>
                  </w14:solidFill>
                </w14:textFill>
              </w:rPr>
              <w:t>厂房为</w:t>
            </w:r>
            <w:r>
              <w:rPr>
                <w:color w:val="000000" w:themeColor="text1"/>
                <w:sz w:val="24"/>
                <w14:textFill>
                  <w14:solidFill>
                    <w14:schemeClr w14:val="tx1"/>
                  </w14:solidFill>
                </w14:textFill>
              </w:rPr>
              <w:t>钢架结构厂房，综合考虑，本项目建筑物隔音量选取</w:t>
            </w:r>
            <w:r>
              <w:rPr>
                <w:rFonts w:hint="eastAsia"/>
                <w:color w:val="000000" w:themeColor="text1"/>
                <w:sz w:val="24"/>
                <w14:textFill>
                  <w14:solidFill>
                    <w14:schemeClr w14:val="tx1"/>
                  </w14:solidFill>
                </w14:textFill>
              </w:rPr>
              <w:t>9</w:t>
            </w:r>
            <w:r>
              <w:rPr>
                <w:color w:val="000000" w:themeColor="text1"/>
                <w:sz w:val="24"/>
                <w14:textFill>
                  <w14:solidFill>
                    <w14:schemeClr w14:val="tx1"/>
                  </w14:solidFill>
                </w14:textFill>
              </w:rPr>
              <w:t>dB（A），则建筑物插入损失即为</w:t>
            </w:r>
            <w:r>
              <w:rPr>
                <w:rFonts w:hint="eastAsia"/>
                <w:color w:val="000000" w:themeColor="text1"/>
                <w:sz w:val="24"/>
                <w14:textFill>
                  <w14:solidFill>
                    <w14:schemeClr w14:val="tx1"/>
                  </w14:solidFill>
                </w14:textFill>
              </w:rPr>
              <w:t>20</w:t>
            </w:r>
            <w:r>
              <w:rPr>
                <w:color w:val="000000" w:themeColor="text1"/>
                <w:sz w:val="24"/>
                <w14:textFill>
                  <w14:solidFill>
                    <w14:schemeClr w14:val="tx1"/>
                  </w14:solidFill>
                </w14:textFill>
              </w:rPr>
              <w:t>dB（A）。</w:t>
            </w:r>
          </w:p>
          <w:p w14:paraId="104F9FF2">
            <w:pPr>
              <w:widowControl/>
              <w:spacing w:line="360" w:lineRule="auto"/>
              <w:ind w:firstLine="482" w:firstLineChars="200"/>
              <w:rPr>
                <w:b/>
                <w:bCs/>
                <w:color w:val="000000" w:themeColor="text1"/>
                <w:kern w:val="0"/>
                <w:sz w:val="24"/>
                <w:lang w:bidi="ar"/>
                <w14:textFill>
                  <w14:solidFill>
                    <w14:schemeClr w14:val="tx1"/>
                  </w14:solidFill>
                </w14:textFill>
              </w:rPr>
            </w:pPr>
            <w:r>
              <w:rPr>
                <w:b/>
                <w:bCs/>
                <w:color w:val="000000" w:themeColor="text1"/>
                <w:sz w:val="24"/>
                <w14:textFill>
                  <w14:solidFill>
                    <w14:schemeClr w14:val="tx1"/>
                  </w14:solidFill>
                </w14:textFill>
              </w:rPr>
              <w:t>（2）</w:t>
            </w:r>
            <w:r>
              <w:rPr>
                <w:b/>
                <w:bCs/>
                <w:color w:val="000000" w:themeColor="text1"/>
                <w:kern w:val="0"/>
                <w:sz w:val="24"/>
                <w:lang w:bidi="ar"/>
                <w14:textFill>
                  <w14:solidFill>
                    <w14:schemeClr w14:val="tx1"/>
                  </w14:solidFill>
                </w14:textFill>
              </w:rPr>
              <w:t>噪声预测模式及方法</w:t>
            </w:r>
          </w:p>
          <w:p w14:paraId="7966A1B7">
            <w:pPr>
              <w:widowControl/>
              <w:spacing w:line="360" w:lineRule="auto"/>
              <w:ind w:firstLine="480" w:firstLineChars="2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根据《环境影响评价技术导则 声环境》（HJ2.4-2021）中规定，本项目选用导则中附录A、B中给定的噪声预测模型，在不能取得声源倍频带声功率级或倍频带声压级，只能获得A声功率级或某点的A声级时，可用A声功率级或某点的A声级计算。</w:t>
            </w:r>
          </w:p>
          <w:p w14:paraId="364AA40B">
            <w:pPr>
              <w:widowControl/>
              <w:spacing w:line="360" w:lineRule="auto"/>
              <w:ind w:firstLine="482" w:firstLineChars="200"/>
              <w:rPr>
                <w:b/>
                <w:bCs/>
                <w:color w:val="000000" w:themeColor="text1"/>
                <w:kern w:val="0"/>
                <w:sz w:val="24"/>
                <w:lang w:bidi="ar"/>
                <w14:textFill>
                  <w14:solidFill>
                    <w14:schemeClr w14:val="tx1"/>
                  </w14:solidFill>
                </w14:textFill>
              </w:rPr>
            </w:pPr>
            <w:r>
              <w:rPr>
                <w:b/>
                <w:bCs/>
                <w:color w:val="000000" w:themeColor="text1"/>
                <w:kern w:val="0"/>
                <w:sz w:val="24"/>
                <w:lang w:bidi="ar"/>
                <w14:textFill>
                  <w14:solidFill>
                    <w14:schemeClr w14:val="tx1"/>
                  </w14:solidFill>
                </w14:textFill>
              </w:rPr>
              <w:t>1）基本公式</w:t>
            </w:r>
          </w:p>
          <w:p w14:paraId="66935B1E">
            <w:pPr>
              <w:widowControl/>
              <w:spacing w:line="360" w:lineRule="auto"/>
              <w:jc w:val="center"/>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Lp(r)=Lw+DC-(Adiv++Aatm+Agr+Abar+Amisc)</w:t>
            </w:r>
          </w:p>
          <w:p w14:paraId="3BBED630">
            <w:pPr>
              <w:widowControl/>
              <w:spacing w:line="360" w:lineRule="auto"/>
              <w:ind w:firstLine="480" w:firstLineChars="2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式中Lp(r)——预测点处声压级，dB；</w:t>
            </w:r>
          </w:p>
          <w:p w14:paraId="562AFF80">
            <w:pPr>
              <w:widowControl/>
              <w:spacing w:line="360" w:lineRule="auto"/>
              <w:ind w:firstLine="960" w:firstLineChars="4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Lw——由点声源产生的声功率级（A计权或倍频带），dB；</w:t>
            </w:r>
          </w:p>
          <w:p w14:paraId="0D209C73">
            <w:pPr>
              <w:widowControl/>
              <w:spacing w:line="360" w:lineRule="auto"/>
              <w:ind w:firstLine="960" w:firstLineChars="4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DC——指向性校正，它描述点声源的等效连续声压级与产生声功率级Lw的全向点声源在规定方向的声级的偏差程度，dB；</w:t>
            </w:r>
          </w:p>
          <w:p w14:paraId="77F0A387">
            <w:pPr>
              <w:widowControl/>
              <w:spacing w:line="360" w:lineRule="auto"/>
              <w:ind w:firstLine="960" w:firstLineChars="4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Adiv——几何发散引起的衰减，dB；</w:t>
            </w:r>
          </w:p>
          <w:p w14:paraId="1E3C9D02">
            <w:pPr>
              <w:widowControl/>
              <w:spacing w:line="360" w:lineRule="auto"/>
              <w:ind w:firstLine="960" w:firstLineChars="4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Aatm——大气吸收引起的衰减，dB；</w:t>
            </w:r>
          </w:p>
          <w:p w14:paraId="0B1E304A">
            <w:pPr>
              <w:widowControl/>
              <w:spacing w:line="360" w:lineRule="auto"/>
              <w:ind w:firstLine="960" w:firstLineChars="4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Agr——地面效应引起的衰减，dB；</w:t>
            </w:r>
          </w:p>
          <w:p w14:paraId="05E2878E">
            <w:pPr>
              <w:widowControl/>
              <w:spacing w:line="360" w:lineRule="auto"/>
              <w:ind w:firstLine="960" w:firstLineChars="4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Abar——障碍物屏蔽引起的衰减，dB；</w:t>
            </w:r>
          </w:p>
          <w:p w14:paraId="32BC2B0C">
            <w:pPr>
              <w:spacing w:line="360" w:lineRule="auto"/>
              <w:rPr>
                <w:color w:val="000000" w:themeColor="text1"/>
                <w:sz w:val="24"/>
                <w14:textFill>
                  <w14:solidFill>
                    <w14:schemeClr w14:val="tx1"/>
                  </w14:solidFill>
                </w14:textFill>
              </w:rPr>
            </w:pPr>
            <w:r>
              <w:rPr>
                <w:color w:val="000000" w:themeColor="text1"/>
                <w:kern w:val="0"/>
                <w:sz w:val="24"/>
                <w:lang w:bidi="ar"/>
                <w14:textFill>
                  <w14:solidFill>
                    <w14:schemeClr w14:val="tx1"/>
                  </w14:solidFill>
                </w14:textFill>
              </w:rPr>
              <w:t>Amisc——其他多方面效应引起的衰减，dB。</w:t>
            </w:r>
          </w:p>
          <w:p w14:paraId="763C368B">
            <w:pPr>
              <w:widowControl/>
              <w:spacing w:line="360" w:lineRule="auto"/>
              <w:ind w:firstLine="482" w:firstLineChars="200"/>
              <w:rPr>
                <w:b/>
                <w:bCs/>
                <w:color w:val="000000" w:themeColor="text1"/>
                <w:kern w:val="0"/>
                <w:sz w:val="24"/>
                <w:lang w:bidi="ar"/>
                <w14:textFill>
                  <w14:solidFill>
                    <w14:schemeClr w14:val="tx1"/>
                  </w14:solidFill>
                </w14:textFill>
              </w:rPr>
            </w:pPr>
            <w:r>
              <w:rPr>
                <w:b/>
                <w:bCs/>
                <w:color w:val="000000" w:themeColor="text1"/>
                <w:kern w:val="0"/>
                <w:sz w:val="24"/>
                <w:lang w:bidi="ar"/>
                <w14:textFill>
                  <w14:solidFill>
                    <w14:schemeClr w14:val="tx1"/>
                  </w14:solidFill>
                </w14:textFill>
              </w:rPr>
              <w:t>2）预测条件假设</w:t>
            </w:r>
          </w:p>
          <w:p w14:paraId="1708D9E4">
            <w:pPr>
              <w:widowControl/>
              <w:spacing w:line="360" w:lineRule="auto"/>
              <w:ind w:firstLine="480" w:firstLineChars="2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①所有产噪设备均在正常工况条件下运行；</w:t>
            </w:r>
          </w:p>
          <w:p w14:paraId="0CE76AF0">
            <w:pPr>
              <w:widowControl/>
              <w:spacing w:line="360" w:lineRule="auto"/>
              <w:ind w:firstLine="480" w:firstLineChars="2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②考虑室内声源所在厂房围护结构的隔声、吸声作用；</w:t>
            </w:r>
          </w:p>
          <w:p w14:paraId="1397E74C">
            <w:pPr>
              <w:widowControl/>
              <w:spacing w:line="360" w:lineRule="auto"/>
              <w:ind w:firstLine="480" w:firstLineChars="2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③衰减仅考虑几何发散衰减。</w:t>
            </w:r>
          </w:p>
          <w:p w14:paraId="1C1F91BC">
            <w:pPr>
              <w:widowControl/>
              <w:spacing w:line="360" w:lineRule="auto"/>
              <w:ind w:firstLine="482" w:firstLineChars="200"/>
              <w:rPr>
                <w:b/>
                <w:bCs/>
                <w:color w:val="000000" w:themeColor="text1"/>
                <w:kern w:val="0"/>
                <w:sz w:val="24"/>
                <w:lang w:bidi="ar"/>
                <w14:textFill>
                  <w14:solidFill>
                    <w14:schemeClr w14:val="tx1"/>
                  </w14:solidFill>
                </w14:textFill>
              </w:rPr>
            </w:pPr>
            <w:r>
              <w:rPr>
                <w:b/>
                <w:bCs/>
                <w:color w:val="000000" w:themeColor="text1"/>
                <w:kern w:val="0"/>
                <w:sz w:val="24"/>
                <w:lang w:bidi="ar"/>
                <w14:textFill>
                  <w14:solidFill>
                    <w14:schemeClr w14:val="tx1"/>
                  </w14:solidFill>
                </w14:textFill>
              </w:rPr>
              <w:t>3）室内声源</w:t>
            </w:r>
          </w:p>
          <w:p w14:paraId="1A532D47">
            <w:pPr>
              <w:widowControl/>
              <w:spacing w:line="360" w:lineRule="auto"/>
              <w:ind w:firstLine="480" w:firstLineChars="2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室内声源由室内向室外传播示意图见下图。</w:t>
            </w:r>
          </w:p>
          <w:p w14:paraId="7AAB6CD5">
            <w:pPr>
              <w:widowControl/>
              <w:spacing w:line="360" w:lineRule="auto"/>
              <w:jc w:val="center"/>
              <w:rPr>
                <w:color w:val="000000" w:themeColor="text1"/>
                <w:kern w:val="0"/>
                <w:sz w:val="24"/>
                <w:lang w:bidi="ar"/>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3716655" cy="1722120"/>
                  <wp:effectExtent l="0" t="0" r="17145" b="1143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4"/>
                          <a:stretch>
                            <a:fillRect/>
                          </a:stretch>
                        </pic:blipFill>
                        <pic:spPr>
                          <a:xfrm>
                            <a:off x="0" y="0"/>
                            <a:ext cx="3716655" cy="1722120"/>
                          </a:xfrm>
                          <a:prstGeom prst="rect">
                            <a:avLst/>
                          </a:prstGeom>
                          <a:noFill/>
                          <a:ln>
                            <a:noFill/>
                          </a:ln>
                        </pic:spPr>
                      </pic:pic>
                    </a:graphicData>
                  </a:graphic>
                </wp:inline>
              </w:drawing>
            </w:r>
          </w:p>
          <w:p w14:paraId="7722EFE6">
            <w:pPr>
              <w:widowControl/>
              <w:spacing w:line="360" w:lineRule="auto"/>
              <w:jc w:val="center"/>
              <w:rPr>
                <w:color w:val="000000" w:themeColor="text1"/>
                <w:kern w:val="0"/>
                <w:sz w:val="24"/>
                <w:lang w:bidi="ar"/>
                <w14:textFill>
                  <w14:solidFill>
                    <w14:schemeClr w14:val="tx1"/>
                  </w14:solidFill>
                </w14:textFill>
              </w:rPr>
            </w:pPr>
            <w:r>
              <w:rPr>
                <w:b/>
                <w:bCs/>
                <w:color w:val="000000" w:themeColor="text1"/>
                <w:kern w:val="0"/>
                <w:sz w:val="24"/>
                <w:lang w:bidi="ar"/>
                <w14:textFill>
                  <w14:solidFill>
                    <w14:schemeClr w14:val="tx1"/>
                  </w14:solidFill>
                </w14:textFill>
              </w:rPr>
              <w:t>室内声源由室内向室外传播示意图</w:t>
            </w:r>
          </w:p>
          <w:p w14:paraId="79A6C9A6">
            <w:pPr>
              <w:widowControl/>
              <w:spacing w:line="360" w:lineRule="auto"/>
              <w:ind w:firstLine="480" w:firstLineChars="2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①如果已知声源的声压级L(r0)，且声源位于地面上，则</w:t>
            </w:r>
          </w:p>
          <w:p w14:paraId="34A87F90">
            <w:pPr>
              <w:widowControl/>
              <w:spacing w:line="360" w:lineRule="auto"/>
              <w:jc w:val="center"/>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L</w:t>
            </w:r>
            <w:r>
              <w:rPr>
                <w:color w:val="000000" w:themeColor="text1"/>
                <w:kern w:val="0"/>
                <w:sz w:val="24"/>
                <w:vertAlign w:val="subscript"/>
                <w:lang w:bidi="ar"/>
                <w14:textFill>
                  <w14:solidFill>
                    <w14:schemeClr w14:val="tx1"/>
                  </w14:solidFill>
                </w14:textFill>
              </w:rPr>
              <w:t>w</w:t>
            </w:r>
            <w:r>
              <w:rPr>
                <w:color w:val="000000" w:themeColor="text1"/>
                <w:kern w:val="0"/>
                <w:sz w:val="24"/>
                <w:lang w:bidi="ar"/>
                <w14:textFill>
                  <w14:solidFill>
                    <w14:schemeClr w14:val="tx1"/>
                  </w14:solidFill>
                </w14:textFill>
              </w:rPr>
              <w:t>=L(r0)+20lgr</w:t>
            </w:r>
            <w:r>
              <w:rPr>
                <w:color w:val="000000" w:themeColor="text1"/>
                <w:kern w:val="0"/>
                <w:sz w:val="24"/>
                <w:vertAlign w:val="subscript"/>
                <w:lang w:bidi="ar"/>
                <w14:textFill>
                  <w14:solidFill>
                    <w14:schemeClr w14:val="tx1"/>
                  </w14:solidFill>
                </w14:textFill>
              </w:rPr>
              <w:t>0</w:t>
            </w:r>
            <w:r>
              <w:rPr>
                <w:color w:val="000000" w:themeColor="text1"/>
                <w:kern w:val="0"/>
                <w:sz w:val="24"/>
                <w:lang w:bidi="ar"/>
                <w14:textFill>
                  <w14:solidFill>
                    <w14:schemeClr w14:val="tx1"/>
                  </w14:solidFill>
                </w14:textFill>
              </w:rPr>
              <w:t>+8</w:t>
            </w:r>
          </w:p>
          <w:p w14:paraId="51B0B305">
            <w:pPr>
              <w:widowControl/>
              <w:spacing w:line="360" w:lineRule="auto"/>
              <w:ind w:firstLine="480" w:firstLineChars="2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②首先计算出某个室内声源靠近围护结构处的声压级：</w:t>
            </w:r>
          </w:p>
          <w:p w14:paraId="03620D49">
            <w:pPr>
              <w:widowControl/>
              <w:spacing w:line="360" w:lineRule="auto"/>
              <w:jc w:val="center"/>
              <w:rPr>
                <w:color w:val="000000" w:themeColor="text1"/>
                <w:kern w:val="0"/>
                <w:sz w:val="24"/>
                <w:lang w:bidi="ar"/>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2840355" cy="676275"/>
                  <wp:effectExtent l="0" t="0" r="17145"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5"/>
                          <a:stretch>
                            <a:fillRect/>
                          </a:stretch>
                        </pic:blipFill>
                        <pic:spPr>
                          <a:xfrm>
                            <a:off x="0" y="0"/>
                            <a:ext cx="2840355" cy="676275"/>
                          </a:xfrm>
                          <a:prstGeom prst="rect">
                            <a:avLst/>
                          </a:prstGeom>
                          <a:noFill/>
                          <a:ln>
                            <a:noFill/>
                          </a:ln>
                        </pic:spPr>
                      </pic:pic>
                    </a:graphicData>
                  </a:graphic>
                </wp:inline>
              </w:drawing>
            </w:r>
          </w:p>
          <w:p w14:paraId="2BAAD030">
            <w:pPr>
              <w:widowControl/>
              <w:spacing w:line="360" w:lineRule="auto"/>
              <w:ind w:firstLine="480" w:firstLineChars="2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式中：L</w:t>
            </w:r>
            <w:r>
              <w:rPr>
                <w:color w:val="000000" w:themeColor="text1"/>
                <w:kern w:val="0"/>
                <w:sz w:val="24"/>
                <w:vertAlign w:val="subscript"/>
                <w:lang w:bidi="ar"/>
                <w14:textFill>
                  <w14:solidFill>
                    <w14:schemeClr w14:val="tx1"/>
                  </w14:solidFill>
                </w14:textFill>
              </w:rPr>
              <w:t>p1</w:t>
            </w:r>
            <w:r>
              <w:rPr>
                <w:color w:val="000000" w:themeColor="text1"/>
                <w:kern w:val="0"/>
                <w:sz w:val="24"/>
                <w:lang w:bidi="ar"/>
                <w14:textFill>
                  <w14:solidFill>
                    <w14:schemeClr w14:val="tx1"/>
                  </w14:solidFill>
                </w14:textFill>
              </w:rPr>
              <w:t>——某个室内声源靠近围护结构处的声压级。</w:t>
            </w:r>
          </w:p>
          <w:p w14:paraId="7CC0D66B">
            <w:pPr>
              <w:widowControl/>
              <w:spacing w:line="360" w:lineRule="auto"/>
              <w:ind w:firstLine="1200" w:firstLineChars="5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Lw——某个室内声源靠近围护结构处产生的声功率级。</w:t>
            </w:r>
          </w:p>
          <w:p w14:paraId="1CE4EBB5">
            <w:pPr>
              <w:widowControl/>
              <w:spacing w:line="360" w:lineRule="auto"/>
              <w:ind w:firstLine="1200" w:firstLineChars="5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Q——指向性因数；通常对无指向性声源，当声源放在房间中心时，Q=1；当放在一面墙的中心时，Q=2；当放在两面墙夹角处时，Q=4；当放在三面墙夹角处时，Q=8。</w:t>
            </w:r>
          </w:p>
          <w:p w14:paraId="31BFBE50">
            <w:pPr>
              <w:widowControl/>
              <w:spacing w:line="360" w:lineRule="auto"/>
              <w:ind w:firstLine="1200" w:firstLineChars="5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R——房间常数；R=Sa/(1-a)，S为房间内表面面积，m²；a为平均吸声系数，本评价a取0.15。</w:t>
            </w:r>
          </w:p>
          <w:p w14:paraId="2D512C0C">
            <w:pPr>
              <w:widowControl/>
              <w:spacing w:line="360" w:lineRule="auto"/>
              <w:ind w:firstLine="1200" w:firstLineChars="5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r——声源到靠近围护结构某点处的距离，m。</w:t>
            </w:r>
          </w:p>
          <w:p w14:paraId="5ACA896A">
            <w:pPr>
              <w:widowControl/>
              <w:spacing w:line="360" w:lineRule="auto"/>
              <w:ind w:firstLine="480" w:firstLineChars="2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③计算出所有室内声源在围护结构处产生的总声压级：</w:t>
            </w:r>
          </w:p>
          <w:p w14:paraId="19BEF6D4">
            <w:pPr>
              <w:adjustRightInd w:val="0"/>
              <w:snapToGrid w:val="0"/>
              <w:spacing w:line="360" w:lineRule="auto"/>
              <w:jc w:val="center"/>
              <w:rPr>
                <w:color w:val="000000" w:themeColor="text1"/>
                <w:sz w:val="24"/>
                <w:vertAlign w:val="subscript"/>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3279140" cy="823595"/>
                  <wp:effectExtent l="0" t="0" r="16510" b="14605"/>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26"/>
                          <a:stretch>
                            <a:fillRect/>
                          </a:stretch>
                        </pic:blipFill>
                        <pic:spPr>
                          <a:xfrm>
                            <a:off x="0" y="0"/>
                            <a:ext cx="3279140" cy="823595"/>
                          </a:xfrm>
                          <a:prstGeom prst="rect">
                            <a:avLst/>
                          </a:prstGeom>
                          <a:noFill/>
                          <a:ln>
                            <a:noFill/>
                          </a:ln>
                        </pic:spPr>
                      </pic:pic>
                    </a:graphicData>
                  </a:graphic>
                </wp:inline>
              </w:drawing>
            </w:r>
          </w:p>
          <w:p w14:paraId="61E196AF">
            <w:pPr>
              <w:widowControl/>
              <w:spacing w:line="360" w:lineRule="auto"/>
              <w:ind w:firstLine="480" w:firstLineChars="2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式中：L</w:t>
            </w:r>
            <w:r>
              <w:rPr>
                <w:color w:val="000000" w:themeColor="text1"/>
                <w:kern w:val="0"/>
                <w:sz w:val="24"/>
                <w:vertAlign w:val="subscript"/>
                <w:lang w:bidi="ar"/>
                <w14:textFill>
                  <w14:solidFill>
                    <w14:schemeClr w14:val="tx1"/>
                  </w14:solidFill>
                </w14:textFill>
              </w:rPr>
              <w:t>p1i</w:t>
            </w:r>
            <w:r>
              <w:rPr>
                <w:color w:val="000000" w:themeColor="text1"/>
                <w:kern w:val="0"/>
                <w:sz w:val="24"/>
                <w:lang w:bidi="ar"/>
                <w14:textFill>
                  <w14:solidFill>
                    <w14:schemeClr w14:val="tx1"/>
                  </w14:solidFill>
                </w14:textFill>
              </w:rPr>
              <w:t>（T）——靠近围护结构处室内N个声源i倍频带的叠加声压级，dB；</w:t>
            </w:r>
          </w:p>
          <w:p w14:paraId="50E422A0">
            <w:pPr>
              <w:widowControl/>
              <w:spacing w:line="360" w:lineRule="auto"/>
              <w:ind w:firstLine="1200" w:firstLineChars="5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L</w:t>
            </w:r>
            <w:r>
              <w:rPr>
                <w:color w:val="000000" w:themeColor="text1"/>
                <w:kern w:val="0"/>
                <w:sz w:val="24"/>
                <w:vertAlign w:val="subscript"/>
                <w:lang w:bidi="ar"/>
                <w14:textFill>
                  <w14:solidFill>
                    <w14:schemeClr w14:val="tx1"/>
                  </w14:solidFill>
                </w14:textFill>
              </w:rPr>
              <w:t>plij</w:t>
            </w:r>
            <w:r>
              <w:rPr>
                <w:color w:val="000000" w:themeColor="text1"/>
                <w:kern w:val="0"/>
                <w:sz w:val="24"/>
                <w:lang w:bidi="ar"/>
                <w14:textFill>
                  <w14:solidFill>
                    <w14:schemeClr w14:val="tx1"/>
                  </w14:solidFill>
                </w14:textFill>
              </w:rPr>
              <w:t>——室内j声源i倍频带的声压级，dB；</w:t>
            </w:r>
          </w:p>
          <w:p w14:paraId="14F279C4">
            <w:pPr>
              <w:widowControl/>
              <w:spacing w:line="360" w:lineRule="auto"/>
              <w:ind w:firstLine="1200" w:firstLineChars="5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N——室内声源总数。</w:t>
            </w:r>
          </w:p>
          <w:p w14:paraId="0A34A17F">
            <w:pPr>
              <w:widowControl/>
              <w:spacing w:line="360" w:lineRule="auto"/>
              <w:ind w:firstLine="480" w:firstLineChars="2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④计算出室外靠近围护结构处的声压级：</w:t>
            </w:r>
          </w:p>
          <w:p w14:paraId="186A15F2">
            <w:pPr>
              <w:adjustRightInd w:val="0"/>
              <w:snapToGrid w:val="0"/>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p2</w:t>
            </w: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p1</w:t>
            </w:r>
            <w:r>
              <w:rPr>
                <w:color w:val="000000" w:themeColor="text1"/>
                <w:sz w:val="24"/>
                <w14:textFill>
                  <w14:solidFill>
                    <w14:schemeClr w14:val="tx1"/>
                  </w14:solidFill>
                </w14:textFill>
              </w:rPr>
              <w:t>-(TL+6)</w:t>
            </w:r>
          </w:p>
          <w:p w14:paraId="700936F8">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式中：L</w:t>
            </w:r>
            <w:r>
              <w:rPr>
                <w:color w:val="000000" w:themeColor="text1"/>
                <w:sz w:val="24"/>
                <w:vertAlign w:val="subscript"/>
                <w14:textFill>
                  <w14:solidFill>
                    <w14:schemeClr w14:val="tx1"/>
                  </w14:solidFill>
                </w14:textFill>
              </w:rPr>
              <w:t>p1</w:t>
            </w:r>
            <w:r>
              <w:rPr>
                <w:color w:val="000000" w:themeColor="text1"/>
                <w:kern w:val="0"/>
                <w:sz w:val="24"/>
                <w:lang w:bidi="ar"/>
                <w14:textFill>
                  <w14:solidFill>
                    <w14:schemeClr w14:val="tx1"/>
                  </w14:solidFill>
                </w14:textFill>
              </w:rPr>
              <w:t>——</w:t>
            </w:r>
            <w:r>
              <w:rPr>
                <w:color w:val="000000" w:themeColor="text1"/>
                <w:sz w:val="24"/>
                <w14:textFill>
                  <w14:solidFill>
                    <w14:schemeClr w14:val="tx1"/>
                  </w14:solidFill>
                </w14:textFill>
              </w:rPr>
              <w:t>靠近开口处（或窗户）室内某倍频带的声压级或 A 声级，dB；</w:t>
            </w:r>
          </w:p>
          <w:p w14:paraId="74475926">
            <w:pPr>
              <w:adjustRightInd w:val="0"/>
              <w:snapToGrid w:val="0"/>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p2</w:t>
            </w:r>
            <w:r>
              <w:rPr>
                <w:color w:val="000000" w:themeColor="text1"/>
                <w:kern w:val="0"/>
                <w:sz w:val="24"/>
                <w:lang w:bidi="ar"/>
                <w14:textFill>
                  <w14:solidFill>
                    <w14:schemeClr w14:val="tx1"/>
                  </w14:solidFill>
                </w14:textFill>
              </w:rPr>
              <w:t>——</w:t>
            </w:r>
            <w:r>
              <w:rPr>
                <w:color w:val="000000" w:themeColor="text1"/>
                <w:sz w:val="24"/>
                <w14:textFill>
                  <w14:solidFill>
                    <w14:schemeClr w14:val="tx1"/>
                  </w14:solidFill>
                </w14:textFill>
              </w:rPr>
              <w:t>靠近开口处（或窗户）室外某倍频带的声压级或 A 声级，dB；</w:t>
            </w:r>
          </w:p>
          <w:p w14:paraId="492039C4">
            <w:pPr>
              <w:adjustRightInd w:val="0"/>
              <w:snapToGrid w:val="0"/>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TL</w:t>
            </w:r>
            <w:r>
              <w:rPr>
                <w:color w:val="000000" w:themeColor="text1"/>
                <w:kern w:val="0"/>
                <w:sz w:val="24"/>
                <w:lang w:bidi="ar"/>
                <w14:textFill>
                  <w14:solidFill>
                    <w14:schemeClr w14:val="tx1"/>
                  </w14:solidFill>
                </w14:textFill>
              </w:rPr>
              <w:t>——</w:t>
            </w:r>
            <w:r>
              <w:rPr>
                <w:color w:val="000000" w:themeColor="text1"/>
                <w:sz w:val="24"/>
                <w14:textFill>
                  <w14:solidFill>
                    <w14:schemeClr w14:val="tx1"/>
                  </w14:solidFill>
                </w14:textFill>
              </w:rPr>
              <w:t>隔墙（或窗户）倍频带或 A 声级的隔声量，dB。</w:t>
            </w:r>
          </w:p>
          <w:p w14:paraId="211B0E3B">
            <w:pPr>
              <w:widowControl/>
              <w:spacing w:line="360" w:lineRule="auto"/>
              <w:ind w:firstLine="480" w:firstLineChars="200"/>
              <w:rPr>
                <w:color w:val="000000" w:themeColor="text1"/>
                <w:kern w:val="0"/>
                <w:sz w:val="24"/>
                <w:lang w:bidi="ar"/>
                <w14:textFill>
                  <w14:solidFill>
                    <w14:schemeClr w14:val="tx1"/>
                  </w14:solidFill>
                </w14:textFill>
              </w:rPr>
            </w:pPr>
            <w:r>
              <w:rPr>
                <w:color w:val="000000" w:themeColor="text1"/>
                <w:kern w:val="0"/>
                <w:sz w:val="24"/>
                <w:lang w:bidi="ar"/>
                <w14:textFill>
                  <w14:solidFill>
                    <w14:schemeClr w14:val="tx1"/>
                  </w14:solidFill>
                </w14:textFill>
              </w:rPr>
              <w:t>⑤将室外声级</w:t>
            </w:r>
            <w:r>
              <w:rPr>
                <w:color w:val="000000" w:themeColor="text1"/>
                <w:sz w:val="24"/>
                <w14:textFill>
                  <w14:solidFill>
                    <w14:schemeClr w14:val="tx1"/>
                  </w14:solidFill>
                </w14:textFill>
              </w:rPr>
              <w:t>L</w:t>
            </w:r>
            <w:r>
              <w:rPr>
                <w:color w:val="000000" w:themeColor="text1"/>
                <w:sz w:val="24"/>
                <w:vertAlign w:val="subscript"/>
                <w14:textFill>
                  <w14:solidFill>
                    <w14:schemeClr w14:val="tx1"/>
                  </w14:solidFill>
                </w14:textFill>
              </w:rPr>
              <w:t>p2</w:t>
            </w:r>
            <w:r>
              <w:rPr>
                <w:color w:val="000000" w:themeColor="text1"/>
                <w:sz w:val="24"/>
                <w14:textFill>
                  <w14:solidFill>
                    <w14:schemeClr w14:val="tx1"/>
                  </w14:solidFill>
                </w14:textFill>
              </w:rPr>
              <w:t>（</w:t>
            </w:r>
            <w:r>
              <w:rPr>
                <w:color w:val="000000" w:themeColor="text1"/>
                <w:kern w:val="0"/>
                <w:sz w:val="24"/>
                <w:lang w:bidi="ar"/>
                <w14:textFill>
                  <w14:solidFill>
                    <w14:schemeClr w14:val="tx1"/>
                  </w14:solidFill>
                </w14:textFill>
              </w:rPr>
              <w:t>T）和透声面积换算成等效的室外声源，计算出等效声源的声功率级Lw；</w:t>
            </w:r>
          </w:p>
          <w:p w14:paraId="39AD500C">
            <w:pPr>
              <w:adjustRightInd w:val="0"/>
              <w:snapToGrid w:val="0"/>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L=L</w:t>
            </w:r>
            <w:r>
              <w:rPr>
                <w:color w:val="000000" w:themeColor="text1"/>
                <w:sz w:val="24"/>
                <w:vertAlign w:val="subscript"/>
                <w14:textFill>
                  <w14:solidFill>
                    <w14:schemeClr w14:val="tx1"/>
                  </w14:solidFill>
                </w14:textFill>
              </w:rPr>
              <w:t>p2</w:t>
            </w:r>
            <w:r>
              <w:rPr>
                <w:color w:val="000000" w:themeColor="text1"/>
                <w:sz w:val="24"/>
                <w14:textFill>
                  <w14:solidFill>
                    <w14:schemeClr w14:val="tx1"/>
                  </w14:solidFill>
                </w14:textFill>
              </w:rPr>
              <w:t>(T)+101gS</w:t>
            </w:r>
          </w:p>
          <w:p w14:paraId="1F9ADBB6">
            <w:pPr>
              <w:adjustRightInd w:val="0"/>
              <w:snapToGrid w:val="0"/>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式中：S为透声面积，m</w:t>
            </w:r>
            <w:r>
              <w:rPr>
                <w:color w:val="000000" w:themeColor="text1"/>
                <w:sz w:val="24"/>
                <w:vertAlign w:val="superscript"/>
                <w14:textFill>
                  <w14:solidFill>
                    <w14:schemeClr w14:val="tx1"/>
                  </w14:solidFill>
                </w14:textFill>
              </w:rPr>
              <w:t>2</w:t>
            </w:r>
            <w:r>
              <w:rPr>
                <w:color w:val="000000" w:themeColor="text1"/>
                <w:sz w:val="24"/>
                <w14:textFill>
                  <w14:solidFill>
                    <w14:schemeClr w14:val="tx1"/>
                  </w14:solidFill>
                </w14:textFill>
              </w:rPr>
              <w:t>。</w:t>
            </w:r>
          </w:p>
          <w:p w14:paraId="1451238F">
            <w:pPr>
              <w:spacing w:line="360" w:lineRule="auto"/>
              <w:ind w:firstLine="480" w:firstLineChars="200"/>
              <w:rPr>
                <w:color w:val="000000" w:themeColor="text1"/>
                <w:sz w:val="24"/>
                <w14:textFill>
                  <w14:solidFill>
                    <w14:schemeClr w14:val="tx1"/>
                  </w14:solidFill>
                </w14:textFill>
              </w:rPr>
            </w:pPr>
            <w:r>
              <w:rPr>
                <w:color w:val="000000" w:themeColor="text1"/>
                <w:kern w:val="0"/>
                <w:sz w:val="24"/>
                <w:lang w:bidi="ar"/>
                <w14:textFill>
                  <w14:solidFill>
                    <w14:schemeClr w14:val="tx1"/>
                  </w14:solidFill>
                </w14:textFill>
              </w:rPr>
              <w:t>⑥等效室外声源的位置为围护结构的位置，其声功率级为Lw，由此按室外声源方法计算等效室外声源在预测点产生的A声级。</w:t>
            </w:r>
          </w:p>
          <w:p w14:paraId="45191744">
            <w:pPr>
              <w:widowControl/>
              <w:spacing w:line="360" w:lineRule="auto"/>
              <w:ind w:firstLine="482" w:firstLineChars="200"/>
              <w:rPr>
                <w:b/>
                <w:bCs/>
                <w:color w:val="000000" w:themeColor="text1"/>
                <w:kern w:val="0"/>
                <w:sz w:val="24"/>
                <w:lang w:bidi="ar"/>
                <w14:textFill>
                  <w14:solidFill>
                    <w14:schemeClr w14:val="tx1"/>
                  </w14:solidFill>
                </w14:textFill>
              </w:rPr>
            </w:pPr>
            <w:r>
              <w:rPr>
                <w:rFonts w:hint="eastAsia"/>
                <w:b/>
                <w:bCs/>
                <w:color w:val="000000" w:themeColor="text1"/>
                <w:kern w:val="0"/>
                <w:sz w:val="24"/>
                <w:lang w:bidi="ar"/>
                <w14:textFill>
                  <w14:solidFill>
                    <w14:schemeClr w14:val="tx1"/>
                  </w14:solidFill>
                </w14:textFill>
              </w:rPr>
              <w:t>4</w:t>
            </w:r>
            <w:r>
              <w:rPr>
                <w:b/>
                <w:bCs/>
                <w:color w:val="000000" w:themeColor="text1"/>
                <w:kern w:val="0"/>
                <w:sz w:val="24"/>
                <w:lang w:bidi="ar"/>
                <w14:textFill>
                  <w14:solidFill>
                    <w14:schemeClr w14:val="tx1"/>
                  </w14:solidFill>
                </w14:textFill>
              </w:rPr>
              <w:t>）计算总声压级</w:t>
            </w:r>
          </w:p>
          <w:p w14:paraId="134B0CAC">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设第i个室外声源在预测点产生的A声级为LAi，在T时间内该声源工作时间为ti；第j个等效室外声源在预测点产生的A声级为LAj，在T时间内该声源工作时间为tj，则工程声源对预测点产生的贡献值（Leqg）为：</w:t>
            </w:r>
          </w:p>
          <w:p w14:paraId="05296DBE">
            <w:pPr>
              <w:adjustRightInd w:val="0"/>
              <w:snapToGrid w:val="0"/>
              <w:spacing w:line="360" w:lineRule="auto"/>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drawing>
                <wp:inline distT="0" distB="0" distL="114300" distR="114300">
                  <wp:extent cx="3962400" cy="733425"/>
                  <wp:effectExtent l="0" t="0" r="0" b="9525"/>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27"/>
                          <a:srcRect r="3082"/>
                          <a:stretch>
                            <a:fillRect/>
                          </a:stretch>
                        </pic:blipFill>
                        <pic:spPr>
                          <a:xfrm>
                            <a:off x="0" y="0"/>
                            <a:ext cx="3971834" cy="735331"/>
                          </a:xfrm>
                          <a:prstGeom prst="rect">
                            <a:avLst/>
                          </a:prstGeom>
                          <a:noFill/>
                          <a:ln>
                            <a:noFill/>
                          </a:ln>
                        </pic:spPr>
                      </pic:pic>
                    </a:graphicData>
                  </a:graphic>
                </wp:inline>
              </w:drawing>
            </w:r>
          </w:p>
          <w:p w14:paraId="00EB4860">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式中：Leqg——建设项目声源在预测点产生的噪声贡献值，dB；</w:t>
            </w:r>
          </w:p>
          <w:p w14:paraId="5571DE04">
            <w:pPr>
              <w:adjustRightInd w:val="0"/>
              <w:snapToGrid w:val="0"/>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T——用于计算等效声级的时间，s；</w:t>
            </w:r>
          </w:p>
          <w:p w14:paraId="7E1FBDB2">
            <w:pPr>
              <w:adjustRightInd w:val="0"/>
              <w:snapToGrid w:val="0"/>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N——室外声源个数；</w:t>
            </w:r>
          </w:p>
          <w:p w14:paraId="600894DC">
            <w:pPr>
              <w:adjustRightInd w:val="0"/>
              <w:snapToGrid w:val="0"/>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t i——在T时间内i声源工作时间，s；</w:t>
            </w:r>
          </w:p>
          <w:p w14:paraId="1939B50C">
            <w:pPr>
              <w:adjustRightInd w:val="0"/>
              <w:snapToGrid w:val="0"/>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M——等效室外声源个数；</w:t>
            </w:r>
          </w:p>
          <w:p w14:paraId="312169EA">
            <w:pPr>
              <w:spacing w:line="360" w:lineRule="auto"/>
              <w:rPr>
                <w:color w:val="000000" w:themeColor="text1"/>
                <w:sz w:val="24"/>
                <w14:textFill>
                  <w14:solidFill>
                    <w14:schemeClr w14:val="tx1"/>
                  </w14:solidFill>
                </w14:textFill>
              </w:rPr>
            </w:pPr>
            <w:r>
              <w:rPr>
                <w:color w:val="000000" w:themeColor="text1"/>
                <w:sz w:val="24"/>
                <w14:textFill>
                  <w14:solidFill>
                    <w14:schemeClr w14:val="tx1"/>
                  </w14:solidFill>
                </w14:textFill>
              </w:rPr>
              <w:t>t j——在T时间内j声源工作时间，s。</w:t>
            </w:r>
          </w:p>
          <w:p w14:paraId="5B187B4C">
            <w:pPr>
              <w:keepNext/>
              <w:keepLines/>
              <w:spacing w:line="360" w:lineRule="auto"/>
              <w:ind w:firstLine="482" w:firstLineChars="200"/>
              <w:outlineLvl w:val="3"/>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4、</w:t>
            </w:r>
            <w:r>
              <w:rPr>
                <w:b/>
                <w:bCs/>
                <w:color w:val="000000" w:themeColor="text1"/>
                <w:kern w:val="0"/>
                <w:sz w:val="24"/>
                <w14:textFill>
                  <w14:solidFill>
                    <w14:schemeClr w14:val="tx1"/>
                  </w14:solidFill>
                </w14:textFill>
              </w:rPr>
              <w:t>预测模式及结果</w:t>
            </w:r>
          </w:p>
          <w:p w14:paraId="4084EEF9">
            <w:pPr>
              <w:spacing w:line="360" w:lineRule="auto"/>
              <w:ind w:firstLine="448" w:firstLineChars="200"/>
              <w:rPr>
                <w:color w:val="000000" w:themeColor="text1"/>
                <w:spacing w:val="-8"/>
                <w:kern w:val="0"/>
                <w:sz w:val="24"/>
                <w14:textFill>
                  <w14:solidFill>
                    <w14:schemeClr w14:val="tx1"/>
                  </w14:solidFill>
                </w14:textFill>
              </w:rPr>
            </w:pPr>
            <w:r>
              <w:rPr>
                <w:color w:val="000000" w:themeColor="text1"/>
                <w:spacing w:val="-8"/>
                <w:kern w:val="0"/>
                <w:sz w:val="24"/>
                <w14:textFill>
                  <w14:solidFill>
                    <w14:schemeClr w14:val="tx1"/>
                  </w14:solidFill>
                </w14:textFill>
              </w:rPr>
              <w:t>本</w:t>
            </w:r>
            <w:r>
              <w:rPr>
                <w:rFonts w:hint="eastAsia"/>
                <w:color w:val="000000" w:themeColor="text1"/>
                <w:spacing w:val="-8"/>
                <w:kern w:val="0"/>
                <w:sz w:val="24"/>
                <w14:textFill>
                  <w14:solidFill>
                    <w14:schemeClr w14:val="tx1"/>
                  </w14:solidFill>
                </w14:textFill>
              </w:rPr>
              <w:t>次</w:t>
            </w:r>
            <w:r>
              <w:rPr>
                <w:color w:val="000000" w:themeColor="text1"/>
                <w:spacing w:val="-8"/>
                <w:kern w:val="0"/>
                <w:sz w:val="24"/>
                <w14:textFill>
                  <w14:solidFill>
                    <w14:schemeClr w14:val="tx1"/>
                  </w14:solidFill>
                </w14:textFill>
              </w:rPr>
              <w:t>评价采用</w:t>
            </w:r>
            <w:r>
              <w:rPr>
                <w:rFonts w:hint="eastAsia"/>
                <w:color w:val="000000" w:themeColor="text1"/>
                <w:spacing w:val="-8"/>
                <w:kern w:val="0"/>
                <w:sz w:val="24"/>
                <w14:textFill>
                  <w14:solidFill>
                    <w14:schemeClr w14:val="tx1"/>
                  </w14:solidFill>
                </w14:textFill>
              </w:rPr>
              <w:t>“</w:t>
            </w:r>
            <w:r>
              <w:rPr>
                <w:color w:val="000000" w:themeColor="text1"/>
                <w:spacing w:val="-8"/>
                <w:kern w:val="0"/>
                <w:sz w:val="24"/>
                <w14:textFill>
                  <w14:solidFill>
                    <w14:schemeClr w14:val="tx1"/>
                  </w14:solidFill>
                </w14:textFill>
              </w:rPr>
              <w:t>环安科技-NoiseSystem4.0</w:t>
            </w:r>
            <w:r>
              <w:rPr>
                <w:rFonts w:hint="eastAsia"/>
                <w:color w:val="000000" w:themeColor="text1"/>
                <w:spacing w:val="-8"/>
                <w:kern w:val="0"/>
                <w:sz w:val="24"/>
                <w14:textFill>
                  <w14:solidFill>
                    <w14:schemeClr w14:val="tx1"/>
                  </w14:solidFill>
                </w14:textFill>
              </w:rPr>
              <w:t>”</w:t>
            </w:r>
            <w:r>
              <w:rPr>
                <w:color w:val="000000" w:themeColor="text1"/>
                <w:spacing w:val="-8"/>
                <w:kern w:val="0"/>
                <w:sz w:val="24"/>
                <w14:textFill>
                  <w14:solidFill>
                    <w14:schemeClr w14:val="tx1"/>
                  </w14:solidFill>
                </w14:textFill>
              </w:rPr>
              <w:t>进行预测</w:t>
            </w:r>
            <w:r>
              <w:rPr>
                <w:rFonts w:hint="eastAsia"/>
                <w:color w:val="000000" w:themeColor="text1"/>
                <w:spacing w:val="-8"/>
                <w:kern w:val="0"/>
                <w:sz w:val="24"/>
                <w14:textFill>
                  <w14:solidFill>
                    <w14:schemeClr w14:val="tx1"/>
                  </w14:solidFill>
                </w14:textFill>
              </w:rPr>
              <w:t>，按照厂界等间距取接收点和厂界东、南、西、北侧线性接收点处</w:t>
            </w:r>
            <w:r>
              <w:rPr>
                <w:color w:val="000000" w:themeColor="text1"/>
                <w:spacing w:val="-8"/>
                <w:kern w:val="0"/>
                <w:sz w:val="24"/>
                <w14:textFill>
                  <w14:solidFill>
                    <w14:schemeClr w14:val="tx1"/>
                  </w14:solidFill>
                </w14:textFill>
              </w:rPr>
              <w:t>贡献值最大的点位进行分析。</w:t>
            </w:r>
            <w:r>
              <w:rPr>
                <w:rFonts w:hint="eastAsia"/>
                <w:color w:val="000000" w:themeColor="text1"/>
                <w:spacing w:val="-8"/>
                <w:kern w:val="0"/>
                <w:sz w:val="24"/>
                <w14:textFill>
                  <w14:solidFill>
                    <w14:schemeClr w14:val="tx1"/>
                  </w14:solidFill>
                </w14:textFill>
              </w:rPr>
              <w:t>因云南建工云岭水泥有限公司目前仅有部分非生产性员工办公，无生产性设备，因此，噪声达标以项目厂界进行考核。</w:t>
            </w:r>
          </w:p>
          <w:p w14:paraId="62471F94">
            <w:pPr>
              <w:spacing w:line="360" w:lineRule="auto"/>
              <w:ind w:firstLine="448" w:firstLineChars="200"/>
              <w:rPr>
                <w:color w:val="000000" w:themeColor="text1"/>
                <w14:textFill>
                  <w14:solidFill>
                    <w14:schemeClr w14:val="tx1"/>
                  </w14:solidFill>
                </w14:textFill>
              </w:rPr>
            </w:pPr>
            <w:r>
              <w:rPr>
                <w:color w:val="000000" w:themeColor="text1"/>
                <w:spacing w:val="-8"/>
                <w:kern w:val="0"/>
                <w:sz w:val="24"/>
                <w14:textFill>
                  <w14:solidFill>
                    <w14:schemeClr w14:val="tx1"/>
                  </w14:solidFill>
                </w14:textFill>
              </w:rPr>
              <w:t>项目在采取各种隔声降噪措施后，项目建设完成投入运行后设备噪声对厂界声环境贡献值预测结果如</w:t>
            </w:r>
            <w:r>
              <w:rPr>
                <w:color w:val="000000" w:themeColor="text1"/>
                <w:spacing w:val="-2"/>
                <w:kern w:val="0"/>
                <w:sz w:val="24"/>
                <w14:textFill>
                  <w14:solidFill>
                    <w14:schemeClr w14:val="tx1"/>
                  </w14:solidFill>
                </w14:textFill>
              </w:rPr>
              <w:t>下表</w:t>
            </w:r>
            <w:r>
              <w:rPr>
                <w:color w:val="000000" w:themeColor="text1"/>
                <w:spacing w:val="-8"/>
                <w:kern w:val="0"/>
                <w:sz w:val="24"/>
                <w14:textFill>
                  <w14:solidFill>
                    <w14:schemeClr w14:val="tx1"/>
                  </w14:solidFill>
                </w14:textFill>
              </w:rPr>
              <w:t>所示：</w:t>
            </w:r>
          </w:p>
          <w:p w14:paraId="681E0895">
            <w:pPr>
              <w:pStyle w:val="58"/>
              <w:rPr>
                <w:color w:val="000000" w:themeColor="text1"/>
                <w14:textFill>
                  <w14:solidFill>
                    <w14:schemeClr w14:val="tx1"/>
                  </w14:solidFill>
                </w14:textFill>
              </w:rPr>
            </w:pPr>
            <w:r>
              <w:rPr>
                <w:rFonts w:hint="eastAsia"/>
                <w:color w:val="000000" w:themeColor="text1"/>
                <w14:textFill>
                  <w14:solidFill>
                    <w14:schemeClr w14:val="tx1"/>
                  </w14:solidFill>
                </w14:textFill>
              </w:rPr>
              <w:t>表4-7 本项目运营期厂界等间距噪声贡献值预测结果（单位：dB（A））</w:t>
            </w:r>
          </w:p>
          <w:tbl>
            <w:tblPr>
              <w:tblStyle w:val="25"/>
              <w:tblW w:w="83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4"/>
              <w:gridCol w:w="994"/>
              <w:gridCol w:w="994"/>
              <w:gridCol w:w="994"/>
              <w:gridCol w:w="763"/>
              <w:gridCol w:w="757"/>
              <w:gridCol w:w="849"/>
              <w:gridCol w:w="1208"/>
              <w:gridCol w:w="793"/>
            </w:tblGrid>
            <w:tr w14:paraId="2D092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94" w:type="dxa"/>
                  <w:vMerge w:val="restart"/>
                  <w:vAlign w:val="center"/>
                </w:tcPr>
                <w:p w14:paraId="56D19F9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厂房名称</w:t>
                  </w:r>
                </w:p>
              </w:tc>
              <w:tc>
                <w:tcPr>
                  <w:tcW w:w="994" w:type="dxa"/>
                  <w:vMerge w:val="restart"/>
                  <w:vAlign w:val="center"/>
                </w:tcPr>
                <w:p w14:paraId="52A323D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预测方位</w:t>
                  </w:r>
                </w:p>
              </w:tc>
              <w:tc>
                <w:tcPr>
                  <w:tcW w:w="2751" w:type="dxa"/>
                  <w:gridSpan w:val="3"/>
                  <w:vAlign w:val="center"/>
                </w:tcPr>
                <w:p w14:paraId="12B24CE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最大值点空间相对位置/m</w:t>
                  </w:r>
                </w:p>
              </w:tc>
              <w:tc>
                <w:tcPr>
                  <w:tcW w:w="757" w:type="dxa"/>
                  <w:vMerge w:val="restart"/>
                  <w:vAlign w:val="center"/>
                </w:tcPr>
                <w:p w14:paraId="37D12E4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时段</w:t>
                  </w:r>
                </w:p>
              </w:tc>
              <w:tc>
                <w:tcPr>
                  <w:tcW w:w="849" w:type="dxa"/>
                  <w:vMerge w:val="restart"/>
                  <w:vAlign w:val="center"/>
                </w:tcPr>
                <w:p w14:paraId="2FD50BB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贡献值（dB(A)）</w:t>
                  </w:r>
                </w:p>
              </w:tc>
              <w:tc>
                <w:tcPr>
                  <w:tcW w:w="1208" w:type="dxa"/>
                  <w:vMerge w:val="restart"/>
                  <w:vAlign w:val="center"/>
                </w:tcPr>
                <w:p w14:paraId="5A4124D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标准限值（dB(A)）</w:t>
                  </w:r>
                </w:p>
              </w:tc>
              <w:tc>
                <w:tcPr>
                  <w:tcW w:w="793" w:type="dxa"/>
                  <w:vMerge w:val="restart"/>
                  <w:vAlign w:val="center"/>
                </w:tcPr>
                <w:p w14:paraId="00024DE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达标情况</w:t>
                  </w:r>
                </w:p>
              </w:tc>
            </w:tr>
            <w:tr w14:paraId="57615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94" w:type="dxa"/>
                  <w:vMerge w:val="continue"/>
                  <w:vAlign w:val="center"/>
                </w:tcPr>
                <w:p w14:paraId="1183F6F5">
                  <w:pPr>
                    <w:jc w:val="center"/>
                    <w:rPr>
                      <w:color w:val="000000" w:themeColor="text1"/>
                      <w14:textFill>
                        <w14:solidFill>
                          <w14:schemeClr w14:val="tx1"/>
                        </w14:solidFill>
                      </w14:textFill>
                    </w:rPr>
                  </w:pPr>
                </w:p>
              </w:tc>
              <w:tc>
                <w:tcPr>
                  <w:tcW w:w="994" w:type="dxa"/>
                  <w:vMerge w:val="continue"/>
                  <w:vAlign w:val="center"/>
                </w:tcPr>
                <w:p w14:paraId="2C0432FF">
                  <w:pPr>
                    <w:jc w:val="center"/>
                    <w:rPr>
                      <w:color w:val="000000" w:themeColor="text1"/>
                      <w14:textFill>
                        <w14:solidFill>
                          <w14:schemeClr w14:val="tx1"/>
                        </w14:solidFill>
                      </w14:textFill>
                    </w:rPr>
                  </w:pPr>
                </w:p>
              </w:tc>
              <w:tc>
                <w:tcPr>
                  <w:tcW w:w="994" w:type="dxa"/>
                  <w:vAlign w:val="center"/>
                </w:tcPr>
                <w:p w14:paraId="41683E7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X</w:t>
                  </w:r>
                </w:p>
              </w:tc>
              <w:tc>
                <w:tcPr>
                  <w:tcW w:w="994" w:type="dxa"/>
                  <w:vAlign w:val="center"/>
                </w:tcPr>
                <w:p w14:paraId="1E6D0C4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Y</w:t>
                  </w:r>
                </w:p>
              </w:tc>
              <w:tc>
                <w:tcPr>
                  <w:tcW w:w="763" w:type="dxa"/>
                  <w:vAlign w:val="center"/>
                </w:tcPr>
                <w:p w14:paraId="6BC971F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Z</w:t>
                  </w:r>
                </w:p>
              </w:tc>
              <w:tc>
                <w:tcPr>
                  <w:tcW w:w="757" w:type="dxa"/>
                  <w:vMerge w:val="continue"/>
                  <w:vAlign w:val="center"/>
                </w:tcPr>
                <w:p w14:paraId="11723557">
                  <w:pPr>
                    <w:jc w:val="center"/>
                    <w:rPr>
                      <w:color w:val="000000" w:themeColor="text1"/>
                      <w14:textFill>
                        <w14:solidFill>
                          <w14:schemeClr w14:val="tx1"/>
                        </w14:solidFill>
                      </w14:textFill>
                    </w:rPr>
                  </w:pPr>
                </w:p>
              </w:tc>
              <w:tc>
                <w:tcPr>
                  <w:tcW w:w="849" w:type="dxa"/>
                  <w:vMerge w:val="continue"/>
                  <w:vAlign w:val="center"/>
                </w:tcPr>
                <w:p w14:paraId="6DF26027">
                  <w:pPr>
                    <w:jc w:val="center"/>
                    <w:rPr>
                      <w:color w:val="000000" w:themeColor="text1"/>
                      <w14:textFill>
                        <w14:solidFill>
                          <w14:schemeClr w14:val="tx1"/>
                        </w14:solidFill>
                      </w14:textFill>
                    </w:rPr>
                  </w:pPr>
                </w:p>
              </w:tc>
              <w:tc>
                <w:tcPr>
                  <w:tcW w:w="1208" w:type="dxa"/>
                  <w:vMerge w:val="continue"/>
                  <w:vAlign w:val="center"/>
                </w:tcPr>
                <w:p w14:paraId="45DC1924">
                  <w:pPr>
                    <w:jc w:val="center"/>
                    <w:rPr>
                      <w:color w:val="000000" w:themeColor="text1"/>
                      <w14:textFill>
                        <w14:solidFill>
                          <w14:schemeClr w14:val="tx1"/>
                        </w14:solidFill>
                      </w14:textFill>
                    </w:rPr>
                  </w:pPr>
                </w:p>
              </w:tc>
              <w:tc>
                <w:tcPr>
                  <w:tcW w:w="793" w:type="dxa"/>
                  <w:vMerge w:val="continue"/>
                  <w:vAlign w:val="center"/>
                </w:tcPr>
                <w:p w14:paraId="16242191">
                  <w:pPr>
                    <w:jc w:val="center"/>
                    <w:rPr>
                      <w:color w:val="000000" w:themeColor="text1"/>
                      <w14:textFill>
                        <w14:solidFill>
                          <w14:schemeClr w14:val="tx1"/>
                        </w14:solidFill>
                      </w14:textFill>
                    </w:rPr>
                  </w:pPr>
                </w:p>
              </w:tc>
            </w:tr>
            <w:tr w14:paraId="3DE1F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94" w:type="dxa"/>
                  <w:vMerge w:val="restart"/>
                  <w:vAlign w:val="center"/>
                </w:tcPr>
                <w:p w14:paraId="192E92A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西厂房</w:t>
                  </w:r>
                </w:p>
              </w:tc>
              <w:tc>
                <w:tcPr>
                  <w:tcW w:w="994" w:type="dxa"/>
                  <w:vAlign w:val="center"/>
                </w:tcPr>
                <w:p w14:paraId="718C710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东侧1</w:t>
                  </w:r>
                </w:p>
              </w:tc>
              <w:tc>
                <w:tcPr>
                  <w:tcW w:w="994" w:type="dxa"/>
                  <w:vAlign w:val="center"/>
                </w:tcPr>
                <w:p w14:paraId="77262DC4">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114.62</w:t>
                  </w:r>
                </w:p>
              </w:tc>
              <w:tc>
                <w:tcPr>
                  <w:tcW w:w="994" w:type="dxa"/>
                  <w:vAlign w:val="center"/>
                </w:tcPr>
                <w:p w14:paraId="78FCBB0E">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-178.49</w:t>
                  </w:r>
                </w:p>
              </w:tc>
              <w:tc>
                <w:tcPr>
                  <w:tcW w:w="763" w:type="dxa"/>
                  <w:vAlign w:val="center"/>
                </w:tcPr>
                <w:p w14:paraId="2A1697C9">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57" w:type="dxa"/>
                  <w:vAlign w:val="center"/>
                </w:tcPr>
                <w:p w14:paraId="04D9F05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849" w:type="dxa"/>
                  <w:vAlign w:val="center"/>
                </w:tcPr>
                <w:p w14:paraId="3244BC5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51.23</w:t>
                  </w:r>
                </w:p>
              </w:tc>
              <w:tc>
                <w:tcPr>
                  <w:tcW w:w="1208" w:type="dxa"/>
                  <w:vAlign w:val="center"/>
                </w:tcPr>
                <w:p w14:paraId="0FF8EA8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93" w:type="dxa"/>
                  <w:vAlign w:val="center"/>
                </w:tcPr>
                <w:p w14:paraId="0BDCF43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49F61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94" w:type="dxa"/>
                  <w:vMerge w:val="continue"/>
                  <w:vAlign w:val="center"/>
                </w:tcPr>
                <w:p w14:paraId="7F4E1387">
                  <w:pPr>
                    <w:jc w:val="center"/>
                    <w:rPr>
                      <w:color w:val="000000" w:themeColor="text1"/>
                      <w14:textFill>
                        <w14:solidFill>
                          <w14:schemeClr w14:val="tx1"/>
                        </w14:solidFill>
                      </w14:textFill>
                    </w:rPr>
                  </w:pPr>
                </w:p>
              </w:tc>
              <w:tc>
                <w:tcPr>
                  <w:tcW w:w="994" w:type="dxa"/>
                  <w:vAlign w:val="center"/>
                </w:tcPr>
                <w:p w14:paraId="3A63D1E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东侧2</w:t>
                  </w:r>
                </w:p>
              </w:tc>
              <w:tc>
                <w:tcPr>
                  <w:tcW w:w="994" w:type="dxa"/>
                  <w:vAlign w:val="center"/>
                </w:tcPr>
                <w:p w14:paraId="1714C596">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105.00</w:t>
                  </w:r>
                </w:p>
              </w:tc>
              <w:tc>
                <w:tcPr>
                  <w:tcW w:w="994" w:type="dxa"/>
                  <w:vAlign w:val="center"/>
                </w:tcPr>
                <w:p w14:paraId="63E91E6F">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-208.03</w:t>
                  </w:r>
                </w:p>
              </w:tc>
              <w:tc>
                <w:tcPr>
                  <w:tcW w:w="763" w:type="dxa"/>
                  <w:vAlign w:val="center"/>
                </w:tcPr>
                <w:p w14:paraId="386BA47B">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57" w:type="dxa"/>
                  <w:vAlign w:val="center"/>
                </w:tcPr>
                <w:p w14:paraId="2A79940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849" w:type="dxa"/>
                  <w:vAlign w:val="center"/>
                </w:tcPr>
                <w:p w14:paraId="6E9EE4E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52.36</w:t>
                  </w:r>
                </w:p>
              </w:tc>
              <w:tc>
                <w:tcPr>
                  <w:tcW w:w="1208" w:type="dxa"/>
                  <w:vAlign w:val="center"/>
                </w:tcPr>
                <w:p w14:paraId="657C8E0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93" w:type="dxa"/>
                  <w:vAlign w:val="center"/>
                </w:tcPr>
                <w:p w14:paraId="47CC43D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5FF1A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94" w:type="dxa"/>
                  <w:vMerge w:val="continue"/>
                  <w:vAlign w:val="center"/>
                </w:tcPr>
                <w:p w14:paraId="5FE2FEC5">
                  <w:pPr>
                    <w:jc w:val="center"/>
                    <w:rPr>
                      <w:color w:val="000000" w:themeColor="text1"/>
                      <w14:textFill>
                        <w14:solidFill>
                          <w14:schemeClr w14:val="tx1"/>
                        </w14:solidFill>
                      </w14:textFill>
                    </w:rPr>
                  </w:pPr>
                </w:p>
              </w:tc>
              <w:tc>
                <w:tcPr>
                  <w:tcW w:w="994" w:type="dxa"/>
                  <w:vAlign w:val="center"/>
                </w:tcPr>
                <w:p w14:paraId="17971A6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南侧1</w:t>
                  </w:r>
                </w:p>
              </w:tc>
              <w:tc>
                <w:tcPr>
                  <w:tcW w:w="994" w:type="dxa"/>
                  <w:vAlign w:val="center"/>
                </w:tcPr>
                <w:p w14:paraId="6BB16A91">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76.15</w:t>
                  </w:r>
                </w:p>
              </w:tc>
              <w:tc>
                <w:tcPr>
                  <w:tcW w:w="994" w:type="dxa"/>
                  <w:vAlign w:val="center"/>
                </w:tcPr>
                <w:p w14:paraId="436DF4E2">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-195.67</w:t>
                  </w:r>
                </w:p>
              </w:tc>
              <w:tc>
                <w:tcPr>
                  <w:tcW w:w="763" w:type="dxa"/>
                  <w:vAlign w:val="center"/>
                </w:tcPr>
                <w:p w14:paraId="340ECFDF">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57" w:type="dxa"/>
                  <w:vAlign w:val="center"/>
                </w:tcPr>
                <w:p w14:paraId="694A837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849" w:type="dxa"/>
                  <w:vAlign w:val="center"/>
                </w:tcPr>
                <w:p w14:paraId="0EEFE17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55.45</w:t>
                  </w:r>
                </w:p>
              </w:tc>
              <w:tc>
                <w:tcPr>
                  <w:tcW w:w="1208" w:type="dxa"/>
                  <w:vAlign w:val="center"/>
                </w:tcPr>
                <w:p w14:paraId="186B115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93" w:type="dxa"/>
                  <w:vAlign w:val="center"/>
                </w:tcPr>
                <w:p w14:paraId="0192D89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3CBD1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94" w:type="dxa"/>
                  <w:vMerge w:val="continue"/>
                  <w:vAlign w:val="center"/>
                </w:tcPr>
                <w:p w14:paraId="10D5BF6D">
                  <w:pPr>
                    <w:jc w:val="center"/>
                    <w:rPr>
                      <w:color w:val="000000" w:themeColor="text1"/>
                      <w14:textFill>
                        <w14:solidFill>
                          <w14:schemeClr w14:val="tx1"/>
                        </w14:solidFill>
                      </w14:textFill>
                    </w:rPr>
                  </w:pPr>
                </w:p>
              </w:tc>
              <w:tc>
                <w:tcPr>
                  <w:tcW w:w="994" w:type="dxa"/>
                  <w:vAlign w:val="center"/>
                </w:tcPr>
                <w:p w14:paraId="422072F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南侧2</w:t>
                  </w:r>
                </w:p>
              </w:tc>
              <w:tc>
                <w:tcPr>
                  <w:tcW w:w="994" w:type="dxa"/>
                  <w:vAlign w:val="center"/>
                </w:tcPr>
                <w:p w14:paraId="73BC7466">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46.61</w:t>
                  </w:r>
                </w:p>
              </w:tc>
              <w:tc>
                <w:tcPr>
                  <w:tcW w:w="994" w:type="dxa"/>
                  <w:vAlign w:val="center"/>
                </w:tcPr>
                <w:p w14:paraId="3E203D6C">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-180.56</w:t>
                  </w:r>
                </w:p>
              </w:tc>
              <w:tc>
                <w:tcPr>
                  <w:tcW w:w="763" w:type="dxa"/>
                  <w:vAlign w:val="center"/>
                </w:tcPr>
                <w:p w14:paraId="2A3A1235">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57" w:type="dxa"/>
                  <w:vAlign w:val="center"/>
                </w:tcPr>
                <w:p w14:paraId="0218407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849" w:type="dxa"/>
                  <w:vAlign w:val="center"/>
                </w:tcPr>
                <w:p w14:paraId="16974CC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53.2</w:t>
                  </w:r>
                </w:p>
              </w:tc>
              <w:tc>
                <w:tcPr>
                  <w:tcW w:w="1208" w:type="dxa"/>
                  <w:vAlign w:val="center"/>
                </w:tcPr>
                <w:p w14:paraId="06C3CD7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93" w:type="dxa"/>
                  <w:vAlign w:val="center"/>
                </w:tcPr>
                <w:p w14:paraId="0010EEC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2437A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94" w:type="dxa"/>
                  <w:vMerge w:val="continue"/>
                  <w:vAlign w:val="center"/>
                </w:tcPr>
                <w:p w14:paraId="524FD4B6">
                  <w:pPr>
                    <w:jc w:val="center"/>
                    <w:rPr>
                      <w:color w:val="000000" w:themeColor="text1"/>
                      <w14:textFill>
                        <w14:solidFill>
                          <w14:schemeClr w14:val="tx1"/>
                        </w14:solidFill>
                      </w14:textFill>
                    </w:rPr>
                  </w:pPr>
                </w:p>
              </w:tc>
              <w:tc>
                <w:tcPr>
                  <w:tcW w:w="994" w:type="dxa"/>
                  <w:vAlign w:val="center"/>
                </w:tcPr>
                <w:p w14:paraId="12C1838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西侧1</w:t>
                  </w:r>
                </w:p>
              </w:tc>
              <w:tc>
                <w:tcPr>
                  <w:tcW w:w="994" w:type="dxa"/>
                  <w:vAlign w:val="center"/>
                </w:tcPr>
                <w:p w14:paraId="5035CF28">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19.81</w:t>
                  </w:r>
                </w:p>
              </w:tc>
              <w:tc>
                <w:tcPr>
                  <w:tcW w:w="994" w:type="dxa"/>
                  <w:vAlign w:val="center"/>
                </w:tcPr>
                <w:p w14:paraId="4287EE81">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-169.56</w:t>
                  </w:r>
                </w:p>
              </w:tc>
              <w:tc>
                <w:tcPr>
                  <w:tcW w:w="763" w:type="dxa"/>
                  <w:vAlign w:val="center"/>
                </w:tcPr>
                <w:p w14:paraId="529921CC">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57" w:type="dxa"/>
                  <w:vAlign w:val="center"/>
                </w:tcPr>
                <w:p w14:paraId="40858E3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849" w:type="dxa"/>
                  <w:vAlign w:val="center"/>
                </w:tcPr>
                <w:p w14:paraId="7CF3429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51.00</w:t>
                  </w:r>
                </w:p>
              </w:tc>
              <w:tc>
                <w:tcPr>
                  <w:tcW w:w="1208" w:type="dxa"/>
                  <w:vAlign w:val="center"/>
                </w:tcPr>
                <w:p w14:paraId="5E3EC20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93" w:type="dxa"/>
                  <w:vAlign w:val="center"/>
                </w:tcPr>
                <w:p w14:paraId="5F7D134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650E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94" w:type="dxa"/>
                  <w:vMerge w:val="continue"/>
                  <w:vAlign w:val="center"/>
                </w:tcPr>
                <w:p w14:paraId="3A2889FD">
                  <w:pPr>
                    <w:jc w:val="center"/>
                    <w:rPr>
                      <w:color w:val="000000" w:themeColor="text1"/>
                      <w14:textFill>
                        <w14:solidFill>
                          <w14:schemeClr w14:val="tx1"/>
                        </w14:solidFill>
                      </w14:textFill>
                    </w:rPr>
                  </w:pPr>
                </w:p>
              </w:tc>
              <w:tc>
                <w:tcPr>
                  <w:tcW w:w="994" w:type="dxa"/>
                  <w:vAlign w:val="center"/>
                </w:tcPr>
                <w:p w14:paraId="7046ADA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西侧2</w:t>
                  </w:r>
                </w:p>
              </w:tc>
              <w:tc>
                <w:tcPr>
                  <w:tcW w:w="994" w:type="dxa"/>
                  <w:vAlign w:val="center"/>
                </w:tcPr>
                <w:p w14:paraId="458DCCA6">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-14.53</w:t>
                  </w:r>
                </w:p>
              </w:tc>
              <w:tc>
                <w:tcPr>
                  <w:tcW w:w="994" w:type="dxa"/>
                  <w:vAlign w:val="center"/>
                </w:tcPr>
                <w:p w14:paraId="59B1244E">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-155.14</w:t>
                  </w:r>
                </w:p>
              </w:tc>
              <w:tc>
                <w:tcPr>
                  <w:tcW w:w="763" w:type="dxa"/>
                  <w:vAlign w:val="center"/>
                </w:tcPr>
                <w:p w14:paraId="7EEF3B69">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57" w:type="dxa"/>
                  <w:vAlign w:val="center"/>
                </w:tcPr>
                <w:p w14:paraId="521BF0C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849" w:type="dxa"/>
                  <w:vAlign w:val="center"/>
                </w:tcPr>
                <w:p w14:paraId="35AC13F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56.01</w:t>
                  </w:r>
                </w:p>
              </w:tc>
              <w:tc>
                <w:tcPr>
                  <w:tcW w:w="1208" w:type="dxa"/>
                  <w:vAlign w:val="center"/>
                </w:tcPr>
                <w:p w14:paraId="432EDB3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93" w:type="dxa"/>
                  <w:vAlign w:val="center"/>
                </w:tcPr>
                <w:p w14:paraId="736E0C3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71620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94" w:type="dxa"/>
                  <w:vMerge w:val="continue"/>
                  <w:vAlign w:val="center"/>
                </w:tcPr>
                <w:p w14:paraId="0FB626A9">
                  <w:pPr>
                    <w:jc w:val="center"/>
                    <w:rPr>
                      <w:color w:val="000000" w:themeColor="text1"/>
                      <w14:textFill>
                        <w14:solidFill>
                          <w14:schemeClr w14:val="tx1"/>
                        </w14:solidFill>
                      </w14:textFill>
                    </w:rPr>
                  </w:pPr>
                </w:p>
              </w:tc>
              <w:tc>
                <w:tcPr>
                  <w:tcW w:w="994" w:type="dxa"/>
                  <w:vAlign w:val="center"/>
                </w:tcPr>
                <w:p w14:paraId="575060B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北侧1</w:t>
                  </w:r>
                </w:p>
              </w:tc>
              <w:tc>
                <w:tcPr>
                  <w:tcW w:w="994" w:type="dxa"/>
                  <w:vAlign w:val="center"/>
                </w:tcPr>
                <w:p w14:paraId="45D64AD2">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-4.23</w:t>
                  </w:r>
                </w:p>
              </w:tc>
              <w:tc>
                <w:tcPr>
                  <w:tcW w:w="994" w:type="dxa"/>
                  <w:vAlign w:val="center"/>
                </w:tcPr>
                <w:p w14:paraId="33C63F46">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-132.47</w:t>
                  </w:r>
                </w:p>
              </w:tc>
              <w:tc>
                <w:tcPr>
                  <w:tcW w:w="763" w:type="dxa"/>
                  <w:vAlign w:val="center"/>
                </w:tcPr>
                <w:p w14:paraId="38A8E713">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57" w:type="dxa"/>
                  <w:vAlign w:val="center"/>
                </w:tcPr>
                <w:p w14:paraId="745A41E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849" w:type="dxa"/>
                  <w:vAlign w:val="center"/>
                </w:tcPr>
                <w:p w14:paraId="739EA95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50.12</w:t>
                  </w:r>
                </w:p>
              </w:tc>
              <w:tc>
                <w:tcPr>
                  <w:tcW w:w="1208" w:type="dxa"/>
                  <w:vAlign w:val="center"/>
                </w:tcPr>
                <w:p w14:paraId="0802332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93" w:type="dxa"/>
                  <w:vAlign w:val="center"/>
                </w:tcPr>
                <w:p w14:paraId="3BA740B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5C3B7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94" w:type="dxa"/>
                  <w:vMerge w:val="continue"/>
                  <w:vAlign w:val="center"/>
                </w:tcPr>
                <w:p w14:paraId="4B3313A3">
                  <w:pPr>
                    <w:jc w:val="center"/>
                    <w:rPr>
                      <w:color w:val="000000" w:themeColor="text1"/>
                      <w14:textFill>
                        <w14:solidFill>
                          <w14:schemeClr w14:val="tx1"/>
                        </w14:solidFill>
                      </w14:textFill>
                    </w:rPr>
                  </w:pPr>
                </w:p>
              </w:tc>
              <w:tc>
                <w:tcPr>
                  <w:tcW w:w="994" w:type="dxa"/>
                  <w:vAlign w:val="center"/>
                </w:tcPr>
                <w:p w14:paraId="6B4D60A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北侧2</w:t>
                  </w:r>
                </w:p>
              </w:tc>
              <w:tc>
                <w:tcPr>
                  <w:tcW w:w="994" w:type="dxa"/>
                  <w:vAlign w:val="center"/>
                </w:tcPr>
                <w:p w14:paraId="60FF3DC7">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23.25</w:t>
                  </w:r>
                </w:p>
              </w:tc>
              <w:tc>
                <w:tcPr>
                  <w:tcW w:w="994" w:type="dxa"/>
                  <w:vAlign w:val="center"/>
                </w:tcPr>
                <w:p w14:paraId="232E2C7F">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-142.77</w:t>
                  </w:r>
                </w:p>
              </w:tc>
              <w:tc>
                <w:tcPr>
                  <w:tcW w:w="763" w:type="dxa"/>
                  <w:vAlign w:val="center"/>
                </w:tcPr>
                <w:p w14:paraId="2B245066">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57" w:type="dxa"/>
                  <w:vAlign w:val="center"/>
                </w:tcPr>
                <w:p w14:paraId="38314E3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849" w:type="dxa"/>
                  <w:vAlign w:val="center"/>
                </w:tcPr>
                <w:p w14:paraId="00DCF06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52.83</w:t>
                  </w:r>
                </w:p>
              </w:tc>
              <w:tc>
                <w:tcPr>
                  <w:tcW w:w="1208" w:type="dxa"/>
                  <w:vAlign w:val="center"/>
                </w:tcPr>
                <w:p w14:paraId="446C72B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93" w:type="dxa"/>
                  <w:vAlign w:val="center"/>
                </w:tcPr>
                <w:p w14:paraId="263B1B4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5BF88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94" w:type="dxa"/>
                  <w:vMerge w:val="continue"/>
                  <w:vAlign w:val="center"/>
                </w:tcPr>
                <w:p w14:paraId="2C2D0AB7">
                  <w:pPr>
                    <w:jc w:val="center"/>
                    <w:rPr>
                      <w:color w:val="000000" w:themeColor="text1"/>
                      <w14:textFill>
                        <w14:solidFill>
                          <w14:schemeClr w14:val="tx1"/>
                        </w14:solidFill>
                      </w14:textFill>
                    </w:rPr>
                  </w:pPr>
                </w:p>
              </w:tc>
              <w:tc>
                <w:tcPr>
                  <w:tcW w:w="994" w:type="dxa"/>
                  <w:vAlign w:val="center"/>
                </w:tcPr>
                <w:p w14:paraId="22F41DF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北侧3</w:t>
                  </w:r>
                </w:p>
              </w:tc>
              <w:tc>
                <w:tcPr>
                  <w:tcW w:w="994" w:type="dxa"/>
                  <w:vAlign w:val="center"/>
                </w:tcPr>
                <w:p w14:paraId="00D75C4D">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49.36</w:t>
                  </w:r>
                </w:p>
              </w:tc>
              <w:tc>
                <w:tcPr>
                  <w:tcW w:w="994" w:type="dxa"/>
                  <w:vAlign w:val="center"/>
                </w:tcPr>
                <w:p w14:paraId="3343C46D">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-151.70</w:t>
                  </w:r>
                </w:p>
              </w:tc>
              <w:tc>
                <w:tcPr>
                  <w:tcW w:w="763" w:type="dxa"/>
                  <w:vAlign w:val="center"/>
                </w:tcPr>
                <w:p w14:paraId="3634D8C7">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57" w:type="dxa"/>
                  <w:vAlign w:val="center"/>
                </w:tcPr>
                <w:p w14:paraId="30B48C7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849" w:type="dxa"/>
                  <w:vAlign w:val="center"/>
                </w:tcPr>
                <w:p w14:paraId="7FDDFBA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55.10</w:t>
                  </w:r>
                </w:p>
              </w:tc>
              <w:tc>
                <w:tcPr>
                  <w:tcW w:w="1208" w:type="dxa"/>
                  <w:vAlign w:val="center"/>
                </w:tcPr>
                <w:p w14:paraId="6B0353D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93" w:type="dxa"/>
                  <w:vAlign w:val="center"/>
                </w:tcPr>
                <w:p w14:paraId="7C29DE7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402C1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94" w:type="dxa"/>
                  <w:vMerge w:val="restart"/>
                  <w:vAlign w:val="center"/>
                </w:tcPr>
                <w:p w14:paraId="488F9BB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东厂房</w:t>
                  </w:r>
                </w:p>
              </w:tc>
              <w:tc>
                <w:tcPr>
                  <w:tcW w:w="994" w:type="dxa"/>
                  <w:vAlign w:val="center"/>
                </w:tcPr>
                <w:p w14:paraId="2AACF33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东侧1</w:t>
                  </w:r>
                </w:p>
              </w:tc>
              <w:tc>
                <w:tcPr>
                  <w:tcW w:w="994" w:type="dxa"/>
                  <w:vAlign w:val="center"/>
                </w:tcPr>
                <w:p w14:paraId="691FE508">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164.08</w:t>
                  </w:r>
                </w:p>
              </w:tc>
              <w:tc>
                <w:tcPr>
                  <w:tcW w:w="994" w:type="dxa"/>
                  <w:vAlign w:val="center"/>
                </w:tcPr>
                <w:p w14:paraId="00F6ECB7">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-201.16</w:t>
                  </w:r>
                </w:p>
              </w:tc>
              <w:tc>
                <w:tcPr>
                  <w:tcW w:w="763" w:type="dxa"/>
                  <w:vAlign w:val="center"/>
                </w:tcPr>
                <w:p w14:paraId="0CE304ED">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57" w:type="dxa"/>
                  <w:vAlign w:val="center"/>
                </w:tcPr>
                <w:p w14:paraId="6C25282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849" w:type="dxa"/>
                  <w:vAlign w:val="center"/>
                </w:tcPr>
                <w:p w14:paraId="5E1C485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54.30</w:t>
                  </w:r>
                </w:p>
              </w:tc>
              <w:tc>
                <w:tcPr>
                  <w:tcW w:w="1208" w:type="dxa"/>
                  <w:vAlign w:val="center"/>
                </w:tcPr>
                <w:p w14:paraId="4F5DAE2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93" w:type="dxa"/>
                  <w:vAlign w:val="center"/>
                </w:tcPr>
                <w:p w14:paraId="003BD27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27AF4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94" w:type="dxa"/>
                  <w:vMerge w:val="continue"/>
                  <w:vAlign w:val="center"/>
                </w:tcPr>
                <w:p w14:paraId="57107C19">
                  <w:pPr>
                    <w:jc w:val="center"/>
                    <w:rPr>
                      <w:color w:val="000000" w:themeColor="text1"/>
                      <w14:textFill>
                        <w14:solidFill>
                          <w14:schemeClr w14:val="tx1"/>
                        </w14:solidFill>
                      </w14:textFill>
                    </w:rPr>
                  </w:pPr>
                </w:p>
              </w:tc>
              <w:tc>
                <w:tcPr>
                  <w:tcW w:w="994" w:type="dxa"/>
                  <w:vAlign w:val="center"/>
                </w:tcPr>
                <w:p w14:paraId="55BD8EB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东侧2</w:t>
                  </w:r>
                </w:p>
              </w:tc>
              <w:tc>
                <w:tcPr>
                  <w:tcW w:w="994" w:type="dxa"/>
                  <w:vAlign w:val="center"/>
                </w:tcPr>
                <w:p w14:paraId="5BC9FA6A">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174.39</w:t>
                  </w:r>
                </w:p>
              </w:tc>
              <w:tc>
                <w:tcPr>
                  <w:tcW w:w="994" w:type="dxa"/>
                  <w:vAlign w:val="center"/>
                </w:tcPr>
                <w:p w14:paraId="0A4828F6">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-181.24</w:t>
                  </w:r>
                </w:p>
              </w:tc>
              <w:tc>
                <w:tcPr>
                  <w:tcW w:w="763" w:type="dxa"/>
                  <w:vAlign w:val="center"/>
                </w:tcPr>
                <w:p w14:paraId="24A499B7">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57" w:type="dxa"/>
                  <w:vAlign w:val="center"/>
                </w:tcPr>
                <w:p w14:paraId="0F318F6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849" w:type="dxa"/>
                  <w:vAlign w:val="center"/>
                </w:tcPr>
                <w:p w14:paraId="37EDD74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53.61</w:t>
                  </w:r>
                </w:p>
              </w:tc>
              <w:tc>
                <w:tcPr>
                  <w:tcW w:w="1208" w:type="dxa"/>
                  <w:vAlign w:val="center"/>
                </w:tcPr>
                <w:p w14:paraId="2A9F317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93" w:type="dxa"/>
                  <w:vAlign w:val="center"/>
                </w:tcPr>
                <w:p w14:paraId="4B17EF0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0C01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94" w:type="dxa"/>
                  <w:vMerge w:val="continue"/>
                  <w:vAlign w:val="center"/>
                </w:tcPr>
                <w:p w14:paraId="101CA47E">
                  <w:pPr>
                    <w:jc w:val="center"/>
                    <w:rPr>
                      <w:color w:val="000000" w:themeColor="text1"/>
                      <w14:textFill>
                        <w14:solidFill>
                          <w14:schemeClr w14:val="tx1"/>
                        </w14:solidFill>
                      </w14:textFill>
                    </w:rPr>
                  </w:pPr>
                </w:p>
              </w:tc>
              <w:tc>
                <w:tcPr>
                  <w:tcW w:w="994" w:type="dxa"/>
                  <w:vAlign w:val="center"/>
                </w:tcPr>
                <w:p w14:paraId="760571F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南侧1</w:t>
                  </w:r>
                </w:p>
              </w:tc>
              <w:tc>
                <w:tcPr>
                  <w:tcW w:w="994" w:type="dxa"/>
                  <w:vAlign w:val="center"/>
                </w:tcPr>
                <w:p w14:paraId="3E4103E4">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135.92</w:t>
                  </w:r>
                </w:p>
              </w:tc>
              <w:tc>
                <w:tcPr>
                  <w:tcW w:w="994" w:type="dxa"/>
                  <w:vAlign w:val="center"/>
                </w:tcPr>
                <w:p w14:paraId="46DD82E6">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-212.84</w:t>
                  </w:r>
                </w:p>
              </w:tc>
              <w:tc>
                <w:tcPr>
                  <w:tcW w:w="763" w:type="dxa"/>
                  <w:vAlign w:val="center"/>
                </w:tcPr>
                <w:p w14:paraId="2CF69A30">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57" w:type="dxa"/>
                  <w:vAlign w:val="center"/>
                </w:tcPr>
                <w:p w14:paraId="051ECE9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849" w:type="dxa"/>
                  <w:vAlign w:val="center"/>
                </w:tcPr>
                <w:p w14:paraId="1A8F509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50.71</w:t>
                  </w:r>
                </w:p>
              </w:tc>
              <w:tc>
                <w:tcPr>
                  <w:tcW w:w="1208" w:type="dxa"/>
                  <w:vAlign w:val="center"/>
                </w:tcPr>
                <w:p w14:paraId="4743DED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93" w:type="dxa"/>
                  <w:vAlign w:val="center"/>
                </w:tcPr>
                <w:p w14:paraId="4C2FB4C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21916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94" w:type="dxa"/>
                  <w:vMerge w:val="continue"/>
                  <w:vAlign w:val="center"/>
                </w:tcPr>
                <w:p w14:paraId="3343D35E">
                  <w:pPr>
                    <w:jc w:val="center"/>
                    <w:rPr>
                      <w:color w:val="000000" w:themeColor="text1"/>
                      <w14:textFill>
                        <w14:solidFill>
                          <w14:schemeClr w14:val="tx1"/>
                        </w14:solidFill>
                      </w14:textFill>
                    </w:rPr>
                  </w:pPr>
                </w:p>
              </w:tc>
              <w:tc>
                <w:tcPr>
                  <w:tcW w:w="994" w:type="dxa"/>
                  <w:vAlign w:val="center"/>
                </w:tcPr>
                <w:p w14:paraId="3EA5864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南侧2</w:t>
                  </w:r>
                </w:p>
              </w:tc>
              <w:tc>
                <w:tcPr>
                  <w:tcW w:w="994" w:type="dxa"/>
                  <w:vAlign w:val="center"/>
                </w:tcPr>
                <w:p w14:paraId="4347FD49">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153.78</w:t>
                  </w:r>
                </w:p>
              </w:tc>
              <w:tc>
                <w:tcPr>
                  <w:tcW w:w="994" w:type="dxa"/>
                  <w:vAlign w:val="center"/>
                </w:tcPr>
                <w:p w14:paraId="544A6C1E">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-225.21</w:t>
                  </w:r>
                </w:p>
              </w:tc>
              <w:tc>
                <w:tcPr>
                  <w:tcW w:w="763" w:type="dxa"/>
                  <w:vAlign w:val="center"/>
                </w:tcPr>
                <w:p w14:paraId="1A32967A">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57" w:type="dxa"/>
                  <w:vAlign w:val="center"/>
                </w:tcPr>
                <w:p w14:paraId="72342E7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849" w:type="dxa"/>
                  <w:vAlign w:val="center"/>
                </w:tcPr>
                <w:p w14:paraId="5D5E253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52.58</w:t>
                  </w:r>
                </w:p>
              </w:tc>
              <w:tc>
                <w:tcPr>
                  <w:tcW w:w="1208" w:type="dxa"/>
                  <w:vAlign w:val="center"/>
                </w:tcPr>
                <w:p w14:paraId="1A6F6DB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93" w:type="dxa"/>
                  <w:vAlign w:val="center"/>
                </w:tcPr>
                <w:p w14:paraId="2809267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55881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94" w:type="dxa"/>
                  <w:vMerge w:val="continue"/>
                  <w:vAlign w:val="center"/>
                </w:tcPr>
                <w:p w14:paraId="666B0CE2">
                  <w:pPr>
                    <w:jc w:val="center"/>
                    <w:rPr>
                      <w:color w:val="000000" w:themeColor="text1"/>
                      <w14:textFill>
                        <w14:solidFill>
                          <w14:schemeClr w14:val="tx1"/>
                        </w14:solidFill>
                      </w14:textFill>
                    </w:rPr>
                  </w:pPr>
                </w:p>
              </w:tc>
              <w:tc>
                <w:tcPr>
                  <w:tcW w:w="994" w:type="dxa"/>
                  <w:vAlign w:val="center"/>
                </w:tcPr>
                <w:p w14:paraId="6708FF8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西侧1</w:t>
                  </w:r>
                </w:p>
              </w:tc>
              <w:tc>
                <w:tcPr>
                  <w:tcW w:w="994" w:type="dxa"/>
                  <w:vAlign w:val="center"/>
                </w:tcPr>
                <w:p w14:paraId="1470871F">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159.27</w:t>
                  </w:r>
                </w:p>
              </w:tc>
              <w:tc>
                <w:tcPr>
                  <w:tcW w:w="994" w:type="dxa"/>
                  <w:vAlign w:val="center"/>
                </w:tcPr>
                <w:p w14:paraId="25A3E6E4">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-168.19</w:t>
                  </w:r>
                </w:p>
              </w:tc>
              <w:tc>
                <w:tcPr>
                  <w:tcW w:w="763" w:type="dxa"/>
                  <w:vAlign w:val="center"/>
                </w:tcPr>
                <w:p w14:paraId="721030BC">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57" w:type="dxa"/>
                  <w:vAlign w:val="center"/>
                </w:tcPr>
                <w:p w14:paraId="224FBE3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849" w:type="dxa"/>
                  <w:vAlign w:val="center"/>
                </w:tcPr>
                <w:p w14:paraId="7A8C91D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53.26</w:t>
                  </w:r>
                </w:p>
              </w:tc>
              <w:tc>
                <w:tcPr>
                  <w:tcW w:w="1208" w:type="dxa"/>
                  <w:vAlign w:val="center"/>
                </w:tcPr>
                <w:p w14:paraId="2FF28FE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93" w:type="dxa"/>
                  <w:vAlign w:val="center"/>
                </w:tcPr>
                <w:p w14:paraId="0DFD1F4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51F76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94" w:type="dxa"/>
                  <w:vMerge w:val="continue"/>
                  <w:vAlign w:val="center"/>
                </w:tcPr>
                <w:p w14:paraId="497ED3A5">
                  <w:pPr>
                    <w:jc w:val="center"/>
                    <w:rPr>
                      <w:color w:val="000000" w:themeColor="text1"/>
                      <w14:textFill>
                        <w14:solidFill>
                          <w14:schemeClr w14:val="tx1"/>
                        </w14:solidFill>
                      </w14:textFill>
                    </w:rPr>
                  </w:pPr>
                </w:p>
              </w:tc>
              <w:tc>
                <w:tcPr>
                  <w:tcW w:w="994" w:type="dxa"/>
                  <w:vAlign w:val="center"/>
                </w:tcPr>
                <w:p w14:paraId="6F9EC1A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西侧2</w:t>
                  </w:r>
                </w:p>
              </w:tc>
              <w:tc>
                <w:tcPr>
                  <w:tcW w:w="994" w:type="dxa"/>
                  <w:vAlign w:val="center"/>
                </w:tcPr>
                <w:p w14:paraId="2B402184">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148.28</w:t>
                  </w:r>
                </w:p>
              </w:tc>
              <w:tc>
                <w:tcPr>
                  <w:tcW w:w="994" w:type="dxa"/>
                  <w:vAlign w:val="center"/>
                </w:tcPr>
                <w:p w14:paraId="39892D3E">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-191.55</w:t>
                  </w:r>
                </w:p>
              </w:tc>
              <w:tc>
                <w:tcPr>
                  <w:tcW w:w="763" w:type="dxa"/>
                  <w:vAlign w:val="center"/>
                </w:tcPr>
                <w:p w14:paraId="47D20A6B">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57" w:type="dxa"/>
                  <w:vAlign w:val="center"/>
                </w:tcPr>
                <w:p w14:paraId="65DEE2D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849" w:type="dxa"/>
                  <w:vAlign w:val="center"/>
                </w:tcPr>
                <w:p w14:paraId="1D3DA49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52.56</w:t>
                  </w:r>
                </w:p>
              </w:tc>
              <w:tc>
                <w:tcPr>
                  <w:tcW w:w="1208" w:type="dxa"/>
                  <w:vAlign w:val="center"/>
                </w:tcPr>
                <w:p w14:paraId="3F9130D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93" w:type="dxa"/>
                  <w:vAlign w:val="center"/>
                </w:tcPr>
                <w:p w14:paraId="71A5EE9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3294C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94" w:type="dxa"/>
                  <w:vMerge w:val="continue"/>
                  <w:vAlign w:val="center"/>
                </w:tcPr>
                <w:p w14:paraId="773C6E3A">
                  <w:pPr>
                    <w:jc w:val="center"/>
                    <w:rPr>
                      <w:color w:val="000000" w:themeColor="text1"/>
                      <w14:textFill>
                        <w14:solidFill>
                          <w14:schemeClr w14:val="tx1"/>
                        </w14:solidFill>
                      </w14:textFill>
                    </w:rPr>
                  </w:pPr>
                </w:p>
              </w:tc>
              <w:tc>
                <w:tcPr>
                  <w:tcW w:w="994" w:type="dxa"/>
                  <w:vAlign w:val="center"/>
                </w:tcPr>
                <w:p w14:paraId="49EEB4B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北侧1</w:t>
                  </w:r>
                </w:p>
              </w:tc>
              <w:tc>
                <w:tcPr>
                  <w:tcW w:w="994" w:type="dxa"/>
                  <w:vAlign w:val="center"/>
                </w:tcPr>
                <w:p w14:paraId="32CBC06F">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186.07</w:t>
                  </w:r>
                </w:p>
              </w:tc>
              <w:tc>
                <w:tcPr>
                  <w:tcW w:w="994" w:type="dxa"/>
                  <w:vAlign w:val="center"/>
                </w:tcPr>
                <w:p w14:paraId="37732728">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-155.14</w:t>
                  </w:r>
                </w:p>
              </w:tc>
              <w:tc>
                <w:tcPr>
                  <w:tcW w:w="763" w:type="dxa"/>
                  <w:vAlign w:val="center"/>
                </w:tcPr>
                <w:p w14:paraId="75CAE424">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57" w:type="dxa"/>
                  <w:vAlign w:val="center"/>
                </w:tcPr>
                <w:p w14:paraId="7790047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849" w:type="dxa"/>
                  <w:vAlign w:val="center"/>
                </w:tcPr>
                <w:p w14:paraId="2715F97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55.52</w:t>
                  </w:r>
                </w:p>
              </w:tc>
              <w:tc>
                <w:tcPr>
                  <w:tcW w:w="1208" w:type="dxa"/>
                  <w:vAlign w:val="center"/>
                </w:tcPr>
                <w:p w14:paraId="6426D03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93" w:type="dxa"/>
                  <w:vAlign w:val="center"/>
                </w:tcPr>
                <w:p w14:paraId="02B0237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1F52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94" w:type="dxa"/>
                  <w:vMerge w:val="continue"/>
                  <w:vAlign w:val="center"/>
                </w:tcPr>
                <w:p w14:paraId="74BC5F74">
                  <w:pPr>
                    <w:jc w:val="center"/>
                    <w:rPr>
                      <w:color w:val="000000" w:themeColor="text1"/>
                      <w14:textFill>
                        <w14:solidFill>
                          <w14:schemeClr w14:val="tx1"/>
                        </w14:solidFill>
                      </w14:textFill>
                    </w:rPr>
                  </w:pPr>
                </w:p>
              </w:tc>
              <w:tc>
                <w:tcPr>
                  <w:tcW w:w="994" w:type="dxa"/>
                  <w:vAlign w:val="center"/>
                </w:tcPr>
                <w:p w14:paraId="276C416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北侧2</w:t>
                  </w:r>
                </w:p>
              </w:tc>
              <w:tc>
                <w:tcPr>
                  <w:tcW w:w="994" w:type="dxa"/>
                  <w:vAlign w:val="center"/>
                </w:tcPr>
                <w:p w14:paraId="3BDF3CBE">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171.64</w:t>
                  </w:r>
                </w:p>
              </w:tc>
              <w:tc>
                <w:tcPr>
                  <w:tcW w:w="994" w:type="dxa"/>
                  <w:vAlign w:val="center"/>
                </w:tcPr>
                <w:p w14:paraId="39622C02">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-146.89</w:t>
                  </w:r>
                </w:p>
              </w:tc>
              <w:tc>
                <w:tcPr>
                  <w:tcW w:w="763" w:type="dxa"/>
                  <w:vAlign w:val="center"/>
                </w:tcPr>
                <w:p w14:paraId="2B62CD6A">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57" w:type="dxa"/>
                  <w:vAlign w:val="center"/>
                </w:tcPr>
                <w:p w14:paraId="46F66CD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849" w:type="dxa"/>
                  <w:vAlign w:val="center"/>
                </w:tcPr>
                <w:p w14:paraId="7255C8E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53.26</w:t>
                  </w:r>
                </w:p>
              </w:tc>
              <w:tc>
                <w:tcPr>
                  <w:tcW w:w="1208" w:type="dxa"/>
                  <w:vAlign w:val="center"/>
                </w:tcPr>
                <w:p w14:paraId="26D53DC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93" w:type="dxa"/>
                  <w:vAlign w:val="center"/>
                </w:tcPr>
                <w:p w14:paraId="33B9B76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bl>
          <w:p w14:paraId="53C7ADCC">
            <w:pPr>
              <w:pStyle w:val="58"/>
              <w:rPr>
                <w:color w:val="000000" w:themeColor="text1"/>
                <w14:textFill>
                  <w14:solidFill>
                    <w14:schemeClr w14:val="tx1"/>
                  </w14:solidFill>
                </w14:textFill>
              </w:rPr>
            </w:pPr>
          </w:p>
          <w:p w14:paraId="5DF9A7C3">
            <w:pPr>
              <w:pStyle w:val="58"/>
              <w:rPr>
                <w:color w:val="000000" w:themeColor="text1"/>
                <w14:textFill>
                  <w14:solidFill>
                    <w14:schemeClr w14:val="tx1"/>
                  </w14:solidFill>
                </w14:textFill>
              </w:rPr>
            </w:pPr>
            <w:r>
              <w:rPr>
                <w:rFonts w:hint="eastAsia"/>
                <w:color w:val="000000" w:themeColor="text1"/>
                <w14:textFill>
                  <w14:solidFill>
                    <w14:schemeClr w14:val="tx1"/>
                  </w14:solidFill>
                </w14:textFill>
              </w:rPr>
              <w:t>表4-8 本项目运营期厂界最大噪声贡献值预测结果（单位：dB（A））</w:t>
            </w:r>
          </w:p>
          <w:tbl>
            <w:tblPr>
              <w:tblStyle w:val="25"/>
              <w:tblW w:w="84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4"/>
              <w:gridCol w:w="994"/>
              <w:gridCol w:w="994"/>
              <w:gridCol w:w="994"/>
              <w:gridCol w:w="797"/>
              <w:gridCol w:w="733"/>
              <w:gridCol w:w="1134"/>
              <w:gridCol w:w="1072"/>
              <w:gridCol w:w="744"/>
            </w:tblGrid>
            <w:tr w14:paraId="1D1C0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94" w:type="dxa"/>
                  <w:vMerge w:val="restart"/>
                  <w:vAlign w:val="center"/>
                </w:tcPr>
                <w:p w14:paraId="0A15882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厂房名称</w:t>
                  </w:r>
                </w:p>
              </w:tc>
              <w:tc>
                <w:tcPr>
                  <w:tcW w:w="994" w:type="dxa"/>
                  <w:vMerge w:val="restart"/>
                  <w:vAlign w:val="center"/>
                </w:tcPr>
                <w:p w14:paraId="1B3DCBC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预测方位</w:t>
                  </w:r>
                </w:p>
              </w:tc>
              <w:tc>
                <w:tcPr>
                  <w:tcW w:w="2785" w:type="dxa"/>
                  <w:gridSpan w:val="3"/>
                  <w:vAlign w:val="center"/>
                </w:tcPr>
                <w:p w14:paraId="0710F8C0">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最大值点空间相对位置/m</w:t>
                  </w:r>
                </w:p>
              </w:tc>
              <w:tc>
                <w:tcPr>
                  <w:tcW w:w="733" w:type="dxa"/>
                  <w:vMerge w:val="restart"/>
                  <w:vAlign w:val="center"/>
                </w:tcPr>
                <w:p w14:paraId="55EBE57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时段</w:t>
                  </w:r>
                </w:p>
              </w:tc>
              <w:tc>
                <w:tcPr>
                  <w:tcW w:w="1134" w:type="dxa"/>
                  <w:vMerge w:val="restart"/>
                  <w:vAlign w:val="center"/>
                </w:tcPr>
                <w:p w14:paraId="293C7E1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贡献值（dB(A)）</w:t>
                  </w:r>
                </w:p>
              </w:tc>
              <w:tc>
                <w:tcPr>
                  <w:tcW w:w="1072" w:type="dxa"/>
                  <w:vMerge w:val="restart"/>
                  <w:vAlign w:val="center"/>
                </w:tcPr>
                <w:p w14:paraId="2C06198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标准限值（dB(A)）</w:t>
                  </w:r>
                </w:p>
              </w:tc>
              <w:tc>
                <w:tcPr>
                  <w:tcW w:w="744" w:type="dxa"/>
                  <w:vMerge w:val="restart"/>
                  <w:vAlign w:val="center"/>
                </w:tcPr>
                <w:p w14:paraId="57088CB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达标情况</w:t>
                  </w:r>
                </w:p>
              </w:tc>
            </w:tr>
            <w:tr w14:paraId="6FF0D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94" w:type="dxa"/>
                  <w:vMerge w:val="continue"/>
                  <w:vAlign w:val="center"/>
                </w:tcPr>
                <w:p w14:paraId="4A8DD070">
                  <w:pPr>
                    <w:jc w:val="center"/>
                    <w:rPr>
                      <w:color w:val="000000" w:themeColor="text1"/>
                      <w14:textFill>
                        <w14:solidFill>
                          <w14:schemeClr w14:val="tx1"/>
                        </w14:solidFill>
                      </w14:textFill>
                    </w:rPr>
                  </w:pPr>
                </w:p>
              </w:tc>
              <w:tc>
                <w:tcPr>
                  <w:tcW w:w="994" w:type="dxa"/>
                  <w:vMerge w:val="continue"/>
                  <w:vAlign w:val="center"/>
                </w:tcPr>
                <w:p w14:paraId="2C9870FB">
                  <w:pPr>
                    <w:jc w:val="center"/>
                    <w:rPr>
                      <w:color w:val="000000" w:themeColor="text1"/>
                      <w14:textFill>
                        <w14:solidFill>
                          <w14:schemeClr w14:val="tx1"/>
                        </w14:solidFill>
                      </w14:textFill>
                    </w:rPr>
                  </w:pPr>
                </w:p>
              </w:tc>
              <w:tc>
                <w:tcPr>
                  <w:tcW w:w="994" w:type="dxa"/>
                  <w:vAlign w:val="center"/>
                </w:tcPr>
                <w:p w14:paraId="0B1B5E7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X</w:t>
                  </w:r>
                </w:p>
              </w:tc>
              <w:tc>
                <w:tcPr>
                  <w:tcW w:w="994" w:type="dxa"/>
                  <w:vAlign w:val="center"/>
                </w:tcPr>
                <w:p w14:paraId="3DB4582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Y</w:t>
                  </w:r>
                </w:p>
              </w:tc>
              <w:tc>
                <w:tcPr>
                  <w:tcW w:w="797" w:type="dxa"/>
                  <w:vAlign w:val="center"/>
                </w:tcPr>
                <w:p w14:paraId="20E3693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Z</w:t>
                  </w:r>
                </w:p>
              </w:tc>
              <w:tc>
                <w:tcPr>
                  <w:tcW w:w="733" w:type="dxa"/>
                  <w:vMerge w:val="continue"/>
                  <w:vAlign w:val="center"/>
                </w:tcPr>
                <w:p w14:paraId="6B653E24">
                  <w:pPr>
                    <w:jc w:val="center"/>
                    <w:rPr>
                      <w:color w:val="000000" w:themeColor="text1"/>
                      <w14:textFill>
                        <w14:solidFill>
                          <w14:schemeClr w14:val="tx1"/>
                        </w14:solidFill>
                      </w14:textFill>
                    </w:rPr>
                  </w:pPr>
                </w:p>
              </w:tc>
              <w:tc>
                <w:tcPr>
                  <w:tcW w:w="1134" w:type="dxa"/>
                  <w:vMerge w:val="continue"/>
                  <w:vAlign w:val="center"/>
                </w:tcPr>
                <w:p w14:paraId="4F8514E1">
                  <w:pPr>
                    <w:jc w:val="center"/>
                    <w:rPr>
                      <w:color w:val="000000" w:themeColor="text1"/>
                      <w14:textFill>
                        <w14:solidFill>
                          <w14:schemeClr w14:val="tx1"/>
                        </w14:solidFill>
                      </w14:textFill>
                    </w:rPr>
                  </w:pPr>
                </w:p>
              </w:tc>
              <w:tc>
                <w:tcPr>
                  <w:tcW w:w="1072" w:type="dxa"/>
                  <w:vMerge w:val="continue"/>
                  <w:vAlign w:val="center"/>
                </w:tcPr>
                <w:p w14:paraId="6EBD0222">
                  <w:pPr>
                    <w:jc w:val="center"/>
                    <w:rPr>
                      <w:color w:val="000000" w:themeColor="text1"/>
                      <w14:textFill>
                        <w14:solidFill>
                          <w14:schemeClr w14:val="tx1"/>
                        </w14:solidFill>
                      </w14:textFill>
                    </w:rPr>
                  </w:pPr>
                </w:p>
              </w:tc>
              <w:tc>
                <w:tcPr>
                  <w:tcW w:w="744" w:type="dxa"/>
                  <w:vMerge w:val="continue"/>
                  <w:vAlign w:val="center"/>
                </w:tcPr>
                <w:p w14:paraId="49C1922A">
                  <w:pPr>
                    <w:jc w:val="center"/>
                    <w:rPr>
                      <w:color w:val="000000" w:themeColor="text1"/>
                      <w14:textFill>
                        <w14:solidFill>
                          <w14:schemeClr w14:val="tx1"/>
                        </w14:solidFill>
                      </w14:textFill>
                    </w:rPr>
                  </w:pPr>
                </w:p>
              </w:tc>
            </w:tr>
            <w:tr w14:paraId="6D5A0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94" w:type="dxa"/>
                  <w:vMerge w:val="restart"/>
                  <w:vAlign w:val="center"/>
                </w:tcPr>
                <w:p w14:paraId="63D4F72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西厂房</w:t>
                  </w:r>
                </w:p>
              </w:tc>
              <w:tc>
                <w:tcPr>
                  <w:tcW w:w="994" w:type="dxa"/>
                  <w:vAlign w:val="center"/>
                </w:tcPr>
                <w:p w14:paraId="584D98B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东侧</w:t>
                  </w:r>
                </w:p>
              </w:tc>
              <w:tc>
                <w:tcPr>
                  <w:tcW w:w="994" w:type="dxa"/>
                  <w:vAlign w:val="center"/>
                </w:tcPr>
                <w:p w14:paraId="4AAA86A4">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109.55</w:t>
                  </w:r>
                </w:p>
              </w:tc>
              <w:tc>
                <w:tcPr>
                  <w:tcW w:w="994" w:type="dxa"/>
                  <w:vAlign w:val="center"/>
                </w:tcPr>
                <w:p w14:paraId="4FE0336A">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-199.22</w:t>
                  </w:r>
                </w:p>
              </w:tc>
              <w:tc>
                <w:tcPr>
                  <w:tcW w:w="797" w:type="dxa"/>
                  <w:vAlign w:val="center"/>
                </w:tcPr>
                <w:p w14:paraId="5F0F0E2F">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33" w:type="dxa"/>
                  <w:vAlign w:val="center"/>
                </w:tcPr>
                <w:p w14:paraId="63307A2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1134" w:type="dxa"/>
                  <w:vAlign w:val="center"/>
                </w:tcPr>
                <w:p w14:paraId="152C332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51.24</w:t>
                  </w:r>
                </w:p>
              </w:tc>
              <w:tc>
                <w:tcPr>
                  <w:tcW w:w="1072" w:type="dxa"/>
                  <w:vAlign w:val="center"/>
                </w:tcPr>
                <w:p w14:paraId="13099D7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44" w:type="dxa"/>
                  <w:vAlign w:val="center"/>
                </w:tcPr>
                <w:p w14:paraId="48DD8C4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0065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94" w:type="dxa"/>
                  <w:vMerge w:val="continue"/>
                  <w:vAlign w:val="center"/>
                </w:tcPr>
                <w:p w14:paraId="4ADDC121">
                  <w:pPr>
                    <w:jc w:val="center"/>
                    <w:rPr>
                      <w:color w:val="000000" w:themeColor="text1"/>
                      <w14:textFill>
                        <w14:solidFill>
                          <w14:schemeClr w14:val="tx1"/>
                        </w14:solidFill>
                      </w14:textFill>
                    </w:rPr>
                  </w:pPr>
                </w:p>
              </w:tc>
              <w:tc>
                <w:tcPr>
                  <w:tcW w:w="994" w:type="dxa"/>
                  <w:vAlign w:val="center"/>
                </w:tcPr>
                <w:p w14:paraId="60976E16">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南侧</w:t>
                  </w:r>
                </w:p>
              </w:tc>
              <w:tc>
                <w:tcPr>
                  <w:tcW w:w="994" w:type="dxa"/>
                  <w:vAlign w:val="center"/>
                </w:tcPr>
                <w:p w14:paraId="1EA22A9C">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13.46</w:t>
                  </w:r>
                </w:p>
              </w:tc>
              <w:tc>
                <w:tcPr>
                  <w:tcW w:w="994" w:type="dxa"/>
                  <w:vAlign w:val="center"/>
                </w:tcPr>
                <w:p w14:paraId="633E2291">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-166.86</w:t>
                  </w:r>
                </w:p>
              </w:tc>
              <w:tc>
                <w:tcPr>
                  <w:tcW w:w="797" w:type="dxa"/>
                  <w:vAlign w:val="center"/>
                </w:tcPr>
                <w:p w14:paraId="3897E6BA">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33" w:type="dxa"/>
                  <w:vAlign w:val="center"/>
                </w:tcPr>
                <w:p w14:paraId="0FE2165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1134" w:type="dxa"/>
                  <w:vAlign w:val="center"/>
                </w:tcPr>
                <w:p w14:paraId="02DF9044">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57.41</w:t>
                  </w:r>
                </w:p>
              </w:tc>
              <w:tc>
                <w:tcPr>
                  <w:tcW w:w="1072" w:type="dxa"/>
                  <w:vAlign w:val="center"/>
                </w:tcPr>
                <w:p w14:paraId="7B73C38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44" w:type="dxa"/>
                  <w:vAlign w:val="center"/>
                </w:tcPr>
                <w:p w14:paraId="1635211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06B35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94" w:type="dxa"/>
                  <w:vMerge w:val="continue"/>
                  <w:vAlign w:val="center"/>
                </w:tcPr>
                <w:p w14:paraId="52CDCE09">
                  <w:pPr>
                    <w:jc w:val="center"/>
                    <w:rPr>
                      <w:color w:val="000000" w:themeColor="text1"/>
                      <w14:textFill>
                        <w14:solidFill>
                          <w14:schemeClr w14:val="tx1"/>
                        </w14:solidFill>
                      </w14:textFill>
                    </w:rPr>
                  </w:pPr>
                </w:p>
              </w:tc>
              <w:tc>
                <w:tcPr>
                  <w:tcW w:w="994" w:type="dxa"/>
                  <w:vAlign w:val="center"/>
                </w:tcPr>
                <w:p w14:paraId="2240544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西侧</w:t>
                  </w:r>
                </w:p>
              </w:tc>
              <w:tc>
                <w:tcPr>
                  <w:tcW w:w="994" w:type="dxa"/>
                  <w:vAlign w:val="center"/>
                </w:tcPr>
                <w:p w14:paraId="699F5CD0">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-15.91</w:t>
                  </w:r>
                </w:p>
              </w:tc>
              <w:tc>
                <w:tcPr>
                  <w:tcW w:w="994" w:type="dxa"/>
                  <w:vAlign w:val="center"/>
                </w:tcPr>
                <w:p w14:paraId="030FF5E7">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-154.45</w:t>
                  </w:r>
                </w:p>
              </w:tc>
              <w:tc>
                <w:tcPr>
                  <w:tcW w:w="797" w:type="dxa"/>
                  <w:vAlign w:val="center"/>
                </w:tcPr>
                <w:p w14:paraId="24C4132A">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33" w:type="dxa"/>
                  <w:vAlign w:val="center"/>
                </w:tcPr>
                <w:p w14:paraId="454F3341">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1134" w:type="dxa"/>
                  <w:vAlign w:val="center"/>
                </w:tcPr>
                <w:p w14:paraId="0DA8A75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50.26</w:t>
                  </w:r>
                </w:p>
              </w:tc>
              <w:tc>
                <w:tcPr>
                  <w:tcW w:w="1072" w:type="dxa"/>
                  <w:vAlign w:val="center"/>
                </w:tcPr>
                <w:p w14:paraId="2744BB7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44" w:type="dxa"/>
                  <w:vAlign w:val="center"/>
                </w:tcPr>
                <w:p w14:paraId="54BF88D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55D94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94" w:type="dxa"/>
                  <w:vMerge w:val="continue"/>
                  <w:vAlign w:val="center"/>
                </w:tcPr>
                <w:p w14:paraId="1DF7AB32">
                  <w:pPr>
                    <w:jc w:val="center"/>
                    <w:rPr>
                      <w:color w:val="000000" w:themeColor="text1"/>
                      <w14:textFill>
                        <w14:solidFill>
                          <w14:schemeClr w14:val="tx1"/>
                        </w14:solidFill>
                      </w14:textFill>
                    </w:rPr>
                  </w:pPr>
                </w:p>
              </w:tc>
              <w:tc>
                <w:tcPr>
                  <w:tcW w:w="994" w:type="dxa"/>
                  <w:vAlign w:val="center"/>
                </w:tcPr>
                <w:p w14:paraId="017A568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北侧</w:t>
                  </w:r>
                </w:p>
              </w:tc>
              <w:tc>
                <w:tcPr>
                  <w:tcW w:w="994" w:type="dxa"/>
                  <w:vAlign w:val="center"/>
                </w:tcPr>
                <w:p w14:paraId="2EF620E8">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62.16</w:t>
                  </w:r>
                </w:p>
              </w:tc>
              <w:tc>
                <w:tcPr>
                  <w:tcW w:w="994" w:type="dxa"/>
                  <w:vAlign w:val="center"/>
                </w:tcPr>
                <w:p w14:paraId="1E1601CD">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-158.40</w:t>
                  </w:r>
                </w:p>
              </w:tc>
              <w:tc>
                <w:tcPr>
                  <w:tcW w:w="797" w:type="dxa"/>
                  <w:vAlign w:val="center"/>
                </w:tcPr>
                <w:p w14:paraId="214BE5F6">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33" w:type="dxa"/>
                  <w:vAlign w:val="center"/>
                </w:tcPr>
                <w:p w14:paraId="017C16A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1134" w:type="dxa"/>
                  <w:vAlign w:val="center"/>
                </w:tcPr>
                <w:p w14:paraId="195C580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56.38</w:t>
                  </w:r>
                </w:p>
              </w:tc>
              <w:tc>
                <w:tcPr>
                  <w:tcW w:w="1072" w:type="dxa"/>
                  <w:vAlign w:val="center"/>
                </w:tcPr>
                <w:p w14:paraId="196D0FE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44" w:type="dxa"/>
                  <w:vAlign w:val="center"/>
                </w:tcPr>
                <w:p w14:paraId="3C357DA3">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400CB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94" w:type="dxa"/>
                  <w:vMerge w:val="restart"/>
                  <w:vAlign w:val="center"/>
                </w:tcPr>
                <w:p w14:paraId="70661C5E">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东厂房</w:t>
                  </w:r>
                </w:p>
              </w:tc>
              <w:tc>
                <w:tcPr>
                  <w:tcW w:w="994" w:type="dxa"/>
                  <w:vAlign w:val="center"/>
                </w:tcPr>
                <w:p w14:paraId="38A4DF9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东侧</w:t>
                  </w:r>
                </w:p>
              </w:tc>
              <w:tc>
                <w:tcPr>
                  <w:tcW w:w="994" w:type="dxa"/>
                  <w:vAlign w:val="center"/>
                </w:tcPr>
                <w:p w14:paraId="793F5611">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160.52</w:t>
                  </w:r>
                </w:p>
              </w:tc>
              <w:tc>
                <w:tcPr>
                  <w:tcW w:w="994" w:type="dxa"/>
                  <w:vAlign w:val="center"/>
                </w:tcPr>
                <w:p w14:paraId="5F9F355D">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-209.37</w:t>
                  </w:r>
                </w:p>
              </w:tc>
              <w:tc>
                <w:tcPr>
                  <w:tcW w:w="797" w:type="dxa"/>
                  <w:vAlign w:val="center"/>
                </w:tcPr>
                <w:p w14:paraId="5050F161">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33" w:type="dxa"/>
                  <w:vAlign w:val="center"/>
                </w:tcPr>
                <w:p w14:paraId="02D73675">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1134" w:type="dxa"/>
                  <w:vAlign w:val="center"/>
                </w:tcPr>
                <w:p w14:paraId="367798D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54.36</w:t>
                  </w:r>
                </w:p>
              </w:tc>
              <w:tc>
                <w:tcPr>
                  <w:tcW w:w="1072" w:type="dxa"/>
                  <w:vAlign w:val="center"/>
                </w:tcPr>
                <w:p w14:paraId="2BE87CA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44" w:type="dxa"/>
                  <w:vAlign w:val="center"/>
                </w:tcPr>
                <w:p w14:paraId="6B1C6F9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7E71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94" w:type="dxa"/>
                  <w:vMerge w:val="continue"/>
                  <w:vAlign w:val="center"/>
                </w:tcPr>
                <w:p w14:paraId="77B98267">
                  <w:pPr>
                    <w:jc w:val="center"/>
                    <w:rPr>
                      <w:color w:val="000000" w:themeColor="text1"/>
                      <w14:textFill>
                        <w14:solidFill>
                          <w14:schemeClr w14:val="tx1"/>
                        </w14:solidFill>
                      </w14:textFill>
                    </w:rPr>
                  </w:pPr>
                </w:p>
              </w:tc>
              <w:tc>
                <w:tcPr>
                  <w:tcW w:w="994" w:type="dxa"/>
                  <w:vAlign w:val="center"/>
                </w:tcPr>
                <w:p w14:paraId="6279686A">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南侧</w:t>
                  </w:r>
                </w:p>
              </w:tc>
              <w:tc>
                <w:tcPr>
                  <w:tcW w:w="994" w:type="dxa"/>
                  <w:vAlign w:val="center"/>
                </w:tcPr>
                <w:p w14:paraId="28A9529D">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155.84</w:t>
                  </w:r>
                </w:p>
              </w:tc>
              <w:tc>
                <w:tcPr>
                  <w:tcW w:w="994" w:type="dxa"/>
                  <w:vAlign w:val="center"/>
                </w:tcPr>
                <w:p w14:paraId="63AFF9A9">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-223.84</w:t>
                  </w:r>
                </w:p>
              </w:tc>
              <w:tc>
                <w:tcPr>
                  <w:tcW w:w="797" w:type="dxa"/>
                  <w:vAlign w:val="center"/>
                </w:tcPr>
                <w:p w14:paraId="1402DC96">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33" w:type="dxa"/>
                  <w:vAlign w:val="center"/>
                </w:tcPr>
                <w:p w14:paraId="6616FFA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1134" w:type="dxa"/>
                  <w:vAlign w:val="center"/>
                </w:tcPr>
                <w:p w14:paraId="79AC042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52.08</w:t>
                  </w:r>
                </w:p>
              </w:tc>
              <w:tc>
                <w:tcPr>
                  <w:tcW w:w="1072" w:type="dxa"/>
                  <w:vAlign w:val="center"/>
                </w:tcPr>
                <w:p w14:paraId="52778C8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44" w:type="dxa"/>
                  <w:vAlign w:val="center"/>
                </w:tcPr>
                <w:p w14:paraId="710553D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6669F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94" w:type="dxa"/>
                  <w:vMerge w:val="continue"/>
                  <w:vAlign w:val="center"/>
                </w:tcPr>
                <w:p w14:paraId="3EB325B2">
                  <w:pPr>
                    <w:jc w:val="center"/>
                    <w:rPr>
                      <w:color w:val="000000" w:themeColor="text1"/>
                      <w14:textFill>
                        <w14:solidFill>
                          <w14:schemeClr w14:val="tx1"/>
                        </w14:solidFill>
                      </w14:textFill>
                    </w:rPr>
                  </w:pPr>
                </w:p>
              </w:tc>
              <w:tc>
                <w:tcPr>
                  <w:tcW w:w="994" w:type="dxa"/>
                  <w:vAlign w:val="center"/>
                </w:tcPr>
                <w:p w14:paraId="122FC04D">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西侧</w:t>
                  </w:r>
                </w:p>
              </w:tc>
              <w:tc>
                <w:tcPr>
                  <w:tcW w:w="994" w:type="dxa"/>
                  <w:vAlign w:val="center"/>
                </w:tcPr>
                <w:p w14:paraId="22B46078">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137.98</w:t>
                  </w:r>
                </w:p>
              </w:tc>
              <w:tc>
                <w:tcPr>
                  <w:tcW w:w="994" w:type="dxa"/>
                  <w:vAlign w:val="center"/>
                </w:tcPr>
                <w:p w14:paraId="2AF92DC6">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-210.78</w:t>
                  </w:r>
                </w:p>
              </w:tc>
              <w:tc>
                <w:tcPr>
                  <w:tcW w:w="797" w:type="dxa"/>
                  <w:vAlign w:val="center"/>
                </w:tcPr>
                <w:p w14:paraId="55FDC9C8">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33" w:type="dxa"/>
                  <w:vAlign w:val="center"/>
                </w:tcPr>
                <w:p w14:paraId="6114482F">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1134" w:type="dxa"/>
                  <w:vAlign w:val="center"/>
                </w:tcPr>
                <w:p w14:paraId="5115683B">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54.62</w:t>
                  </w:r>
                </w:p>
              </w:tc>
              <w:tc>
                <w:tcPr>
                  <w:tcW w:w="1072" w:type="dxa"/>
                  <w:vAlign w:val="center"/>
                </w:tcPr>
                <w:p w14:paraId="2E80339C">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44" w:type="dxa"/>
                  <w:vAlign w:val="center"/>
                </w:tcPr>
                <w:p w14:paraId="7323D348">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r w14:paraId="29938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94" w:type="dxa"/>
                  <w:vMerge w:val="continue"/>
                  <w:vAlign w:val="center"/>
                </w:tcPr>
                <w:p w14:paraId="38C095B5">
                  <w:pPr>
                    <w:jc w:val="center"/>
                    <w:rPr>
                      <w:color w:val="000000" w:themeColor="text1"/>
                      <w14:textFill>
                        <w14:solidFill>
                          <w14:schemeClr w14:val="tx1"/>
                        </w14:solidFill>
                      </w14:textFill>
                    </w:rPr>
                  </w:pPr>
                </w:p>
              </w:tc>
              <w:tc>
                <w:tcPr>
                  <w:tcW w:w="994" w:type="dxa"/>
                  <w:vAlign w:val="center"/>
                </w:tcPr>
                <w:p w14:paraId="27493B92">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北侧</w:t>
                  </w:r>
                </w:p>
              </w:tc>
              <w:tc>
                <w:tcPr>
                  <w:tcW w:w="994" w:type="dxa"/>
                  <w:vAlign w:val="center"/>
                </w:tcPr>
                <w:p w14:paraId="5CBAAEEE">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170.95</w:t>
                  </w:r>
                </w:p>
              </w:tc>
              <w:tc>
                <w:tcPr>
                  <w:tcW w:w="994" w:type="dxa"/>
                  <w:vAlign w:val="center"/>
                </w:tcPr>
                <w:p w14:paraId="44DC743E">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-142.77</w:t>
                  </w:r>
                </w:p>
              </w:tc>
              <w:tc>
                <w:tcPr>
                  <w:tcW w:w="797" w:type="dxa"/>
                  <w:vAlign w:val="center"/>
                </w:tcPr>
                <w:p w14:paraId="76F9E6D1">
                  <w:pPr>
                    <w:widowControl/>
                    <w:jc w:val="center"/>
                    <w:textAlignment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w:t>
                  </w:r>
                </w:p>
              </w:tc>
              <w:tc>
                <w:tcPr>
                  <w:tcW w:w="733" w:type="dxa"/>
                  <w:vAlign w:val="center"/>
                </w:tcPr>
                <w:p w14:paraId="076367C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昼间</w:t>
                  </w:r>
                </w:p>
              </w:tc>
              <w:tc>
                <w:tcPr>
                  <w:tcW w:w="1134" w:type="dxa"/>
                  <w:vAlign w:val="center"/>
                </w:tcPr>
                <w:p w14:paraId="762D3F3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52.97</w:t>
                  </w:r>
                </w:p>
              </w:tc>
              <w:tc>
                <w:tcPr>
                  <w:tcW w:w="1072" w:type="dxa"/>
                  <w:vAlign w:val="center"/>
                </w:tcPr>
                <w:p w14:paraId="4A503727">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65</w:t>
                  </w:r>
                </w:p>
              </w:tc>
              <w:tc>
                <w:tcPr>
                  <w:tcW w:w="744" w:type="dxa"/>
                  <w:vAlign w:val="center"/>
                </w:tcPr>
                <w:p w14:paraId="47D05049">
                  <w:pPr>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达标</w:t>
                  </w:r>
                </w:p>
              </w:tc>
            </w:tr>
          </w:tbl>
          <w:p w14:paraId="7721E6C1">
            <w:pPr>
              <w:pStyle w:val="16"/>
              <w:adjustRightInd w:val="0"/>
              <w:spacing w:line="360" w:lineRule="auto"/>
              <w:ind w:firstLine="440" w:firstLineChars="200"/>
              <w:rPr>
                <w:bCs/>
                <w:color w:val="000000" w:themeColor="text1"/>
                <w:spacing w:val="-10"/>
                <w:sz w:val="24"/>
                <w:szCs w:val="24"/>
                <w14:textFill>
                  <w14:solidFill>
                    <w14:schemeClr w14:val="tx1"/>
                  </w14:solidFill>
                </w14:textFill>
              </w:rPr>
            </w:pPr>
            <w:r>
              <w:rPr>
                <w:rFonts w:hint="eastAsia"/>
                <w:bCs/>
                <w:color w:val="000000" w:themeColor="text1"/>
                <w:spacing w:val="-10"/>
                <w:sz w:val="24"/>
                <w:szCs w:val="24"/>
                <w14:textFill>
                  <w14:solidFill>
                    <w14:schemeClr w14:val="tx1"/>
                  </w14:solidFill>
                </w14:textFill>
              </w:rPr>
              <w:t>根据上表可知，上述设备运行产生的噪声在经过阻隔、减振降噪及距离衰减后，项目西厂房和东厂房的东、南、西、北面厂界昼间噪声（夜间不运行）贡献值符合《工业企业厂界环境噪声排放标准》(GB12348-2008)3类标准[昼间≤65 dB(A)]的要求，项目运营期噪声对周边环境影响不大。</w:t>
            </w:r>
            <w:r>
              <w:rPr>
                <w:bCs/>
                <w:color w:val="000000" w:themeColor="text1"/>
                <w:spacing w:val="-10"/>
                <w:sz w:val="24"/>
                <w:szCs w:val="24"/>
                <w14:textFill>
                  <w14:solidFill>
                    <w14:schemeClr w14:val="tx1"/>
                  </w14:solidFill>
                </w14:textFill>
              </w:rPr>
              <w:t>厂区噪声贡献等值线分布情况见下图：</w:t>
            </w:r>
          </w:p>
          <w:p w14:paraId="224E8F82">
            <w:pPr>
              <w:pStyle w:val="16"/>
              <w:adjustRightInd w:val="0"/>
              <w:spacing w:line="360" w:lineRule="auto"/>
              <w:ind w:firstLine="480" w:firstLineChars="200"/>
              <w:rPr>
                <w:bCs/>
                <w:color w:val="000000" w:themeColor="text1"/>
                <w:spacing w:val="-10"/>
                <w:sz w:val="24"/>
                <w:szCs w:val="24"/>
                <w14:textFill>
                  <w14:solidFill>
                    <w14:schemeClr w14:val="tx1"/>
                  </w14:solidFill>
                </w14:textFill>
              </w:rPr>
            </w:pPr>
            <w:r>
              <w:rPr>
                <w:rFonts w:hint="eastAsia"/>
                <w:color w:val="000000" w:themeColor="text1"/>
                <w:sz w:val="24"/>
                <w:szCs w:val="24"/>
                <w14:textFill>
                  <w14:solidFill>
                    <w14:schemeClr w14:val="tx1"/>
                  </w14:solidFill>
                </w14:textFill>
              </w:rPr>
              <w:drawing>
                <wp:inline distT="0" distB="0" distL="114300" distR="114300">
                  <wp:extent cx="4828540" cy="4544695"/>
                  <wp:effectExtent l="0" t="0" r="10160" b="8255"/>
                  <wp:docPr id="19" name="图片 19" descr="1773314289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773314289029"/>
                          <pic:cNvPicPr>
                            <a:picLocks noChangeAspect="1"/>
                          </pic:cNvPicPr>
                        </pic:nvPicPr>
                        <pic:blipFill>
                          <a:blip r:embed="rId28"/>
                          <a:stretch>
                            <a:fillRect/>
                          </a:stretch>
                        </pic:blipFill>
                        <pic:spPr>
                          <a:xfrm>
                            <a:off x="0" y="0"/>
                            <a:ext cx="4828540" cy="4544695"/>
                          </a:xfrm>
                          <a:prstGeom prst="rect">
                            <a:avLst/>
                          </a:prstGeom>
                        </pic:spPr>
                      </pic:pic>
                    </a:graphicData>
                  </a:graphic>
                </wp:inline>
              </w:drawing>
            </w:r>
          </w:p>
          <w:p w14:paraId="5EE34C97">
            <w:pPr>
              <w:pStyle w:val="16"/>
              <w:adjustRightInd w:val="0"/>
              <w:spacing w:line="360" w:lineRule="auto"/>
              <w:ind w:firstLine="442" w:firstLineChars="200"/>
              <w:rPr>
                <w:b/>
                <w:color w:val="000000" w:themeColor="text1"/>
                <w:spacing w:val="-10"/>
                <w:sz w:val="24"/>
                <w:szCs w:val="24"/>
                <w14:textFill>
                  <w14:solidFill>
                    <w14:schemeClr w14:val="tx1"/>
                  </w14:solidFill>
                </w14:textFill>
              </w:rPr>
            </w:pPr>
            <w:r>
              <w:rPr>
                <w:rFonts w:hint="eastAsia"/>
                <w:b/>
                <w:color w:val="000000" w:themeColor="text1"/>
                <w:spacing w:val="-10"/>
                <w:sz w:val="24"/>
                <w:szCs w:val="24"/>
                <w14:textFill>
                  <w14:solidFill>
                    <w14:schemeClr w14:val="tx1"/>
                  </w14:solidFill>
                </w14:textFill>
              </w:rPr>
              <w:t xml:space="preserve">                    图4-1  本项目噪声贡献等值线图</w:t>
            </w:r>
          </w:p>
          <w:p w14:paraId="4BEE26F4">
            <w:pPr>
              <w:pStyle w:val="16"/>
              <w:adjustRightInd w:val="0"/>
              <w:spacing w:line="360" w:lineRule="auto"/>
              <w:ind w:firstLine="442" w:firstLineChars="200"/>
              <w:rPr>
                <w:b/>
                <w:color w:val="000000" w:themeColor="text1"/>
                <w:spacing w:val="-10"/>
                <w:sz w:val="24"/>
                <w:szCs w:val="24"/>
                <w14:textFill>
                  <w14:solidFill>
                    <w14:schemeClr w14:val="tx1"/>
                  </w14:solidFill>
                </w14:textFill>
              </w:rPr>
            </w:pPr>
            <w:r>
              <w:rPr>
                <w:rFonts w:hint="eastAsia"/>
                <w:b/>
                <w:color w:val="000000" w:themeColor="text1"/>
                <w:spacing w:val="-10"/>
                <w:sz w:val="24"/>
                <w:szCs w:val="24"/>
                <w14:textFill>
                  <w14:solidFill>
                    <w14:schemeClr w14:val="tx1"/>
                  </w14:solidFill>
                </w14:textFill>
              </w:rPr>
              <w:t>5、控制措施</w:t>
            </w:r>
          </w:p>
          <w:p w14:paraId="61E9B167">
            <w:pPr>
              <w:adjustRightInd w:val="0"/>
              <w:snapToGrid w:val="0"/>
              <w:spacing w:line="360" w:lineRule="auto"/>
              <w:ind w:firstLine="480" w:firstLineChars="200"/>
              <w:textAlignment w:val="baseline"/>
              <w:rPr>
                <w:color w:val="000000" w:themeColor="text1"/>
                <w:kern w:val="0"/>
                <w:sz w:val="24"/>
                <w14:textFill>
                  <w14:solidFill>
                    <w14:schemeClr w14:val="tx1"/>
                  </w14:solidFill>
                </w14:textFill>
              </w:rPr>
            </w:pPr>
            <w:r>
              <w:rPr>
                <w:color w:val="000000" w:themeColor="text1"/>
                <w:sz w:val="24"/>
                <w:lang w:val="zh-CN"/>
                <w14:textFill>
                  <w14:solidFill>
                    <w14:schemeClr w14:val="tx1"/>
                  </w14:solidFill>
                </w14:textFill>
              </w:rPr>
              <w:t>为减小运营期噪声对周边环境的影响，本环评提出如下措施：</w:t>
            </w:r>
          </w:p>
          <w:p w14:paraId="5FD2487C">
            <w:pPr>
              <w:adjustRightInd w:val="0"/>
              <w:snapToGrid w:val="0"/>
              <w:spacing w:line="360" w:lineRule="auto"/>
              <w:ind w:firstLine="480" w:firstLineChars="200"/>
              <w:textAlignment w:val="baseline"/>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①选用低噪声生产设备；</w:t>
            </w:r>
          </w:p>
          <w:p w14:paraId="62D2A934">
            <w:pPr>
              <w:adjustRightInd w:val="0"/>
              <w:snapToGrid w:val="0"/>
              <w:spacing w:line="360" w:lineRule="auto"/>
              <w:ind w:firstLine="480" w:firstLineChars="200"/>
              <w:textAlignment w:val="baseline"/>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②运营过程中应加强主要产噪设备的保养、检修，保证设备处于良好的运转状态，减少机械振动和摩擦产生的噪声，防止共振。</w:t>
            </w:r>
          </w:p>
          <w:p w14:paraId="7C6B5E09">
            <w:pPr>
              <w:adjustRightInd w:val="0"/>
              <w:snapToGrid w:val="0"/>
              <w:spacing w:line="360" w:lineRule="auto"/>
              <w:ind w:firstLine="480" w:firstLineChars="200"/>
              <w:textAlignment w:val="baseline"/>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③高噪声设备安装减震垫进行基础减振，风管设软连接，对设备进行有效地减震、隔声处理。</w:t>
            </w:r>
          </w:p>
          <w:p w14:paraId="6C87A495">
            <w:pPr>
              <w:adjustRightInd w:val="0"/>
              <w:snapToGrid w:val="0"/>
              <w:spacing w:line="360" w:lineRule="auto"/>
              <w:ind w:firstLine="480" w:firstLineChars="200"/>
              <w:textAlignment w:val="baseline"/>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④对操作员工影响加强个人防护意识，工作人员应佩戴防噪用品，如防声耳塞或耳罩等。</w:t>
            </w:r>
          </w:p>
          <w:p w14:paraId="409FDF84">
            <w:pPr>
              <w:spacing w:line="360" w:lineRule="auto"/>
              <w:ind w:firstLine="480" w:firstLineChars="200"/>
              <w:rPr>
                <w:color w:val="000000" w:themeColor="text1"/>
                <w:sz w:val="24"/>
                <w14:textFill>
                  <w14:solidFill>
                    <w14:schemeClr w14:val="tx1"/>
                  </w14:solidFill>
                </w14:textFill>
              </w:rPr>
            </w:pPr>
            <w:r>
              <w:rPr>
                <w:color w:val="000000" w:themeColor="text1"/>
                <w:kern w:val="0"/>
                <w:sz w:val="24"/>
                <w14:textFill>
                  <w14:solidFill>
                    <w14:schemeClr w14:val="tx1"/>
                  </w14:solidFill>
                </w14:textFill>
              </w:rPr>
              <w:t>⑤加强管理培训，确保工人文明操作，装卸货物时轻拿轻放，避免因野蛮操作产生的突发性</w:t>
            </w:r>
            <w:r>
              <w:rPr>
                <w:color w:val="000000" w:themeColor="text1"/>
                <w:sz w:val="24"/>
                <w14:textFill>
                  <w14:solidFill>
                    <w14:schemeClr w14:val="tx1"/>
                  </w14:solidFill>
                </w14:textFill>
              </w:rPr>
              <w:t>噪声；</w:t>
            </w:r>
            <w:r>
              <w:rPr>
                <w:color w:val="000000" w:themeColor="text1"/>
                <w:sz w:val="24"/>
                <w:lang w:val="zh-CN"/>
                <w14:textFill>
                  <w14:solidFill>
                    <w14:schemeClr w14:val="tx1"/>
                  </w14:solidFill>
                </w14:textFill>
              </w:rPr>
              <w:t>以上处理措施在各行业噪声防治中广泛应用，处理效果好。</w:t>
            </w:r>
          </w:p>
          <w:p w14:paraId="2A53FE1A">
            <w:pPr>
              <w:pStyle w:val="16"/>
              <w:adjustRightInd w:val="0"/>
              <w:spacing w:line="360" w:lineRule="auto"/>
              <w:ind w:firstLine="442" w:firstLineChars="200"/>
              <w:rPr>
                <w:b/>
                <w:color w:val="000000" w:themeColor="text1"/>
                <w:spacing w:val="-10"/>
                <w:sz w:val="24"/>
                <w:szCs w:val="24"/>
                <w14:textFill>
                  <w14:solidFill>
                    <w14:schemeClr w14:val="tx1"/>
                  </w14:solidFill>
                </w14:textFill>
              </w:rPr>
            </w:pPr>
            <w:r>
              <w:rPr>
                <w:rFonts w:hint="eastAsia"/>
                <w:b/>
                <w:color w:val="000000" w:themeColor="text1"/>
                <w:spacing w:val="-10"/>
                <w:sz w:val="24"/>
                <w:szCs w:val="24"/>
                <w14:textFill>
                  <w14:solidFill>
                    <w14:schemeClr w14:val="tx1"/>
                  </w14:solidFill>
                </w14:textFill>
              </w:rPr>
              <w:t>6、</w:t>
            </w:r>
            <w:r>
              <w:rPr>
                <w:b/>
                <w:color w:val="000000" w:themeColor="text1"/>
                <w:spacing w:val="-10"/>
                <w:sz w:val="24"/>
                <w:szCs w:val="24"/>
                <w14:textFill>
                  <w14:solidFill>
                    <w14:schemeClr w14:val="tx1"/>
                  </w14:solidFill>
                </w14:textFill>
              </w:rPr>
              <w:t>监测要求</w:t>
            </w:r>
          </w:p>
          <w:p w14:paraId="4D4AD1A8">
            <w:pPr>
              <w:tabs>
                <w:tab w:val="left" w:pos="6153"/>
              </w:tabs>
              <w:adjustRightInd w:val="0"/>
              <w:snapToGrid w:val="0"/>
              <w:spacing w:line="360" w:lineRule="auto"/>
              <w:ind w:firstLine="440" w:firstLineChars="200"/>
              <w:rPr>
                <w:bCs/>
                <w:color w:val="000000" w:themeColor="text1"/>
                <w:sz w:val="24"/>
                <w14:textFill>
                  <w14:solidFill>
                    <w14:schemeClr w14:val="tx1"/>
                  </w14:solidFill>
                </w14:textFill>
              </w:rPr>
            </w:pPr>
            <w:r>
              <w:rPr>
                <w:rFonts w:hint="eastAsia"/>
                <w:bCs/>
                <w:color w:val="000000" w:themeColor="text1"/>
                <w:spacing w:val="-10"/>
                <w:sz w:val="24"/>
                <w14:textFill>
                  <w14:solidFill>
                    <w14:schemeClr w14:val="tx1"/>
                  </w14:solidFill>
                </w14:textFill>
              </w:rPr>
              <w:t>本项目</w:t>
            </w:r>
            <w:r>
              <w:rPr>
                <w:bCs/>
                <w:color w:val="000000" w:themeColor="text1"/>
                <w:sz w:val="24"/>
                <w14:textFill>
                  <w14:solidFill>
                    <w14:schemeClr w14:val="tx1"/>
                  </w14:solidFill>
                </w14:textFill>
              </w:rPr>
              <w:t>根据《排污单位自行监测技术指南 磷肥、钾肥、复混肥料、有机肥料和微生物肥料》（HJ 1088-2020）等</w:t>
            </w:r>
            <w:r>
              <w:rPr>
                <w:color w:val="000000" w:themeColor="text1"/>
                <w:kern w:val="0"/>
                <w:sz w:val="24"/>
                <w14:textFill>
                  <w14:solidFill>
                    <w14:schemeClr w14:val="tx1"/>
                  </w14:solidFill>
                </w14:textFill>
              </w:rPr>
              <w:t>相关</w:t>
            </w:r>
            <w:r>
              <w:rPr>
                <w:bCs/>
                <w:color w:val="000000" w:themeColor="text1"/>
                <w:sz w:val="24"/>
                <w14:textFill>
                  <w14:solidFill>
                    <w14:schemeClr w14:val="tx1"/>
                  </w14:solidFill>
                </w14:textFill>
              </w:rPr>
              <w:t>要求，项目运营期噪声监测计划见下表：</w:t>
            </w:r>
          </w:p>
          <w:p w14:paraId="4C6C9239">
            <w:pPr>
              <w:pStyle w:val="16"/>
              <w:adjustRightInd w:val="0"/>
              <w:ind w:firstLine="382" w:firstLineChars="200"/>
              <w:jc w:val="center"/>
              <w:rPr>
                <w:b/>
                <w:color w:val="000000" w:themeColor="text1"/>
                <w:spacing w:val="-10"/>
                <w:sz w:val="21"/>
                <w:szCs w:val="21"/>
                <w14:textFill>
                  <w14:solidFill>
                    <w14:schemeClr w14:val="tx1"/>
                  </w14:solidFill>
                </w14:textFill>
              </w:rPr>
            </w:pPr>
            <w:r>
              <w:rPr>
                <w:b/>
                <w:color w:val="000000" w:themeColor="text1"/>
                <w:spacing w:val="-10"/>
                <w:sz w:val="21"/>
                <w:szCs w:val="21"/>
                <w14:textFill>
                  <w14:solidFill>
                    <w14:schemeClr w14:val="tx1"/>
                  </w14:solidFill>
                </w14:textFill>
              </w:rPr>
              <w:t>表4-</w:t>
            </w:r>
            <w:r>
              <w:rPr>
                <w:rFonts w:hint="eastAsia"/>
                <w:b/>
                <w:color w:val="000000" w:themeColor="text1"/>
                <w:spacing w:val="-10"/>
                <w:sz w:val="21"/>
                <w:szCs w:val="21"/>
                <w14:textFill>
                  <w14:solidFill>
                    <w14:schemeClr w14:val="tx1"/>
                  </w14:solidFill>
                </w14:textFill>
              </w:rPr>
              <w:t>9</w:t>
            </w:r>
            <w:r>
              <w:rPr>
                <w:b/>
                <w:color w:val="000000" w:themeColor="text1"/>
                <w:spacing w:val="-10"/>
                <w:sz w:val="21"/>
                <w:szCs w:val="21"/>
                <w14:textFill>
                  <w14:solidFill>
                    <w14:schemeClr w14:val="tx1"/>
                  </w14:solidFill>
                </w14:textFill>
              </w:rPr>
              <w:t xml:space="preserve"> 噪声监测计划一览表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2"/>
              <w:gridCol w:w="2822"/>
              <w:gridCol w:w="2823"/>
            </w:tblGrid>
            <w:tr w14:paraId="23C6F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5" w:type="dxa"/>
                  <w:vAlign w:val="center"/>
                </w:tcPr>
                <w:p w14:paraId="1F7B441D">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监测点位</w:t>
                  </w:r>
                </w:p>
              </w:tc>
              <w:tc>
                <w:tcPr>
                  <w:tcW w:w="2645" w:type="dxa"/>
                  <w:vAlign w:val="center"/>
                </w:tcPr>
                <w:p w14:paraId="20B3FEC3">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监测项目</w:t>
                  </w:r>
                </w:p>
              </w:tc>
              <w:tc>
                <w:tcPr>
                  <w:tcW w:w="2646" w:type="dxa"/>
                  <w:vAlign w:val="center"/>
                </w:tcPr>
                <w:p w14:paraId="61AE64FF">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时间、频次</w:t>
                  </w:r>
                </w:p>
              </w:tc>
            </w:tr>
            <w:tr w14:paraId="3EFAF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5" w:type="dxa"/>
                  <w:vAlign w:val="center"/>
                </w:tcPr>
                <w:p w14:paraId="70D09891">
                  <w:pPr>
                    <w:pStyle w:val="16"/>
                    <w:adjustRightInd w:val="0"/>
                    <w:jc w:val="center"/>
                    <w:rPr>
                      <w:bCs/>
                      <w:color w:val="000000" w:themeColor="text1"/>
                      <w:spacing w:val="-10"/>
                      <w:sz w:val="21"/>
                      <w:szCs w:val="21"/>
                      <w14:textFill>
                        <w14:solidFill>
                          <w14:schemeClr w14:val="tx1"/>
                        </w14:solidFill>
                      </w14:textFill>
                    </w:rPr>
                  </w:pPr>
                  <w:r>
                    <w:rPr>
                      <w:rFonts w:hint="eastAsia"/>
                      <w:color w:val="000000" w:themeColor="text1"/>
                      <w:sz w:val="21"/>
                      <w:szCs w:val="21"/>
                      <w14:textFill>
                        <w14:solidFill>
                          <w14:schemeClr w14:val="tx1"/>
                        </w14:solidFill>
                      </w14:textFill>
                    </w:rPr>
                    <w:t>西厂房</w:t>
                  </w:r>
                  <w:r>
                    <w:rPr>
                      <w:color w:val="000000" w:themeColor="text1"/>
                      <w:sz w:val="21"/>
                      <w:szCs w:val="21"/>
                      <w14:textFill>
                        <w14:solidFill>
                          <w14:schemeClr w14:val="tx1"/>
                        </w14:solidFill>
                      </w14:textFill>
                    </w:rPr>
                    <w:t>沿项目区场界东、南、西、北界外1m处布点监测</w:t>
                  </w:r>
                </w:p>
              </w:tc>
              <w:tc>
                <w:tcPr>
                  <w:tcW w:w="2645" w:type="dxa"/>
                  <w:vAlign w:val="center"/>
                </w:tcPr>
                <w:p w14:paraId="33A88F5B">
                  <w:pPr>
                    <w:pStyle w:val="16"/>
                    <w:adjustRightInd w:val="0"/>
                    <w:jc w:val="center"/>
                    <w:rPr>
                      <w:bCs/>
                      <w:color w:val="000000" w:themeColor="text1"/>
                      <w:spacing w:val="-10"/>
                      <w:sz w:val="21"/>
                      <w:szCs w:val="21"/>
                      <w14:textFill>
                        <w14:solidFill>
                          <w14:schemeClr w14:val="tx1"/>
                        </w14:solidFill>
                      </w14:textFill>
                    </w:rPr>
                  </w:pPr>
                  <w:r>
                    <w:rPr>
                      <w:color w:val="000000" w:themeColor="text1"/>
                      <w:sz w:val="21"/>
                      <w:szCs w:val="21"/>
                      <w14:textFill>
                        <w14:solidFill>
                          <w14:schemeClr w14:val="tx1"/>
                        </w14:solidFill>
                      </w14:textFill>
                    </w:rPr>
                    <w:t>等效声级Leq(dB (A))</w:t>
                  </w:r>
                </w:p>
              </w:tc>
              <w:tc>
                <w:tcPr>
                  <w:tcW w:w="2646" w:type="dxa"/>
                  <w:vAlign w:val="center"/>
                </w:tcPr>
                <w:p w14:paraId="6E18F523">
                  <w:pPr>
                    <w:pStyle w:val="16"/>
                    <w:adjustRightInd w:val="0"/>
                    <w:jc w:val="center"/>
                    <w:rPr>
                      <w:bCs/>
                      <w:color w:val="000000" w:themeColor="text1"/>
                      <w:spacing w:val="-10"/>
                      <w:sz w:val="21"/>
                      <w:szCs w:val="21"/>
                      <w14:textFill>
                        <w14:solidFill>
                          <w14:schemeClr w14:val="tx1"/>
                        </w14:solidFill>
                      </w14:textFill>
                    </w:rPr>
                  </w:pPr>
                  <w:r>
                    <w:rPr>
                      <w:color w:val="000000" w:themeColor="text1"/>
                      <w:sz w:val="21"/>
                      <w:szCs w:val="21"/>
                      <w14:textFill>
                        <w14:solidFill>
                          <w14:schemeClr w14:val="tx1"/>
                        </w14:solidFill>
                      </w14:textFill>
                    </w:rPr>
                    <w:t>每</w:t>
                  </w:r>
                  <w:r>
                    <w:rPr>
                      <w:rFonts w:hint="eastAsia"/>
                      <w:color w:val="000000" w:themeColor="text1"/>
                      <w:sz w:val="21"/>
                      <w:szCs w:val="21"/>
                      <w14:textFill>
                        <w14:solidFill>
                          <w14:schemeClr w14:val="tx1"/>
                        </w14:solidFill>
                      </w14:textFill>
                    </w:rPr>
                    <w:t>季度</w:t>
                  </w:r>
                  <w:r>
                    <w:rPr>
                      <w:color w:val="000000" w:themeColor="text1"/>
                      <w:sz w:val="21"/>
                      <w:szCs w:val="21"/>
                      <w14:textFill>
                        <w14:solidFill>
                          <w14:schemeClr w14:val="tx1"/>
                        </w14:solidFill>
                      </w14:textFill>
                    </w:rPr>
                    <w:t>至少开展一次监测</w:t>
                  </w:r>
                </w:p>
              </w:tc>
            </w:tr>
            <w:tr w14:paraId="29C3B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45" w:type="dxa"/>
                  <w:vAlign w:val="center"/>
                </w:tcPr>
                <w:p w14:paraId="2E4D8FFA">
                  <w:pPr>
                    <w:pStyle w:val="16"/>
                    <w:adjustRightInd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东厂房</w:t>
                  </w:r>
                  <w:r>
                    <w:rPr>
                      <w:color w:val="000000" w:themeColor="text1"/>
                      <w:sz w:val="21"/>
                      <w:szCs w:val="21"/>
                      <w14:textFill>
                        <w14:solidFill>
                          <w14:schemeClr w14:val="tx1"/>
                        </w14:solidFill>
                      </w14:textFill>
                    </w:rPr>
                    <w:t>沿项目区场界东、南、西、北界外1m处布点监测</w:t>
                  </w:r>
                </w:p>
              </w:tc>
              <w:tc>
                <w:tcPr>
                  <w:tcW w:w="2645" w:type="dxa"/>
                  <w:vAlign w:val="center"/>
                </w:tcPr>
                <w:p w14:paraId="6D827E69">
                  <w:pPr>
                    <w:pStyle w:val="16"/>
                    <w:adjustRightInd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等效声级Leq(dB (A))</w:t>
                  </w:r>
                </w:p>
              </w:tc>
              <w:tc>
                <w:tcPr>
                  <w:tcW w:w="2646" w:type="dxa"/>
                  <w:vAlign w:val="center"/>
                </w:tcPr>
                <w:p w14:paraId="11620F1E">
                  <w:pPr>
                    <w:pStyle w:val="16"/>
                    <w:adjustRightInd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每</w:t>
                  </w:r>
                  <w:r>
                    <w:rPr>
                      <w:rFonts w:hint="eastAsia"/>
                      <w:color w:val="000000" w:themeColor="text1"/>
                      <w:sz w:val="21"/>
                      <w:szCs w:val="21"/>
                      <w14:textFill>
                        <w14:solidFill>
                          <w14:schemeClr w14:val="tx1"/>
                        </w14:solidFill>
                      </w14:textFill>
                    </w:rPr>
                    <w:t>季度</w:t>
                  </w:r>
                  <w:r>
                    <w:rPr>
                      <w:color w:val="000000" w:themeColor="text1"/>
                      <w:sz w:val="21"/>
                      <w:szCs w:val="21"/>
                      <w14:textFill>
                        <w14:solidFill>
                          <w14:schemeClr w14:val="tx1"/>
                        </w14:solidFill>
                      </w14:textFill>
                    </w:rPr>
                    <w:t>至少开展一次监测</w:t>
                  </w:r>
                </w:p>
              </w:tc>
            </w:tr>
          </w:tbl>
          <w:p w14:paraId="7D797003">
            <w:pPr>
              <w:pStyle w:val="16"/>
              <w:adjustRightInd w:val="0"/>
              <w:spacing w:before="120" w:beforeLines="50" w:line="360" w:lineRule="auto"/>
              <w:ind w:firstLine="442" w:firstLineChars="200"/>
              <w:rPr>
                <w:b/>
                <w:color w:val="000000" w:themeColor="text1"/>
                <w:spacing w:val="-10"/>
                <w:sz w:val="24"/>
                <w:szCs w:val="24"/>
                <w14:textFill>
                  <w14:solidFill>
                    <w14:schemeClr w14:val="tx1"/>
                  </w14:solidFill>
                </w14:textFill>
              </w:rPr>
            </w:pPr>
            <w:r>
              <w:rPr>
                <w:b/>
                <w:color w:val="000000" w:themeColor="text1"/>
                <w:spacing w:val="-10"/>
                <w:sz w:val="24"/>
                <w:szCs w:val="24"/>
                <w14:textFill>
                  <w14:solidFill>
                    <w14:schemeClr w14:val="tx1"/>
                  </w14:solidFill>
                </w14:textFill>
              </w:rPr>
              <w:t>四、固体废物</w:t>
            </w:r>
          </w:p>
          <w:p w14:paraId="719AD518">
            <w:pPr>
              <w:pStyle w:val="16"/>
              <w:adjustRightInd w:val="0"/>
              <w:spacing w:line="360" w:lineRule="auto"/>
              <w:ind w:firstLine="440" w:firstLineChars="200"/>
              <w:rPr>
                <w:bCs/>
                <w:color w:val="000000" w:themeColor="text1"/>
                <w:spacing w:val="-10"/>
                <w:sz w:val="24"/>
                <w:szCs w:val="24"/>
                <w14:textFill>
                  <w14:solidFill>
                    <w14:schemeClr w14:val="tx1"/>
                  </w14:solidFill>
                </w14:textFill>
              </w:rPr>
            </w:pPr>
            <w:r>
              <w:rPr>
                <w:bCs/>
                <w:color w:val="000000" w:themeColor="text1"/>
                <w:spacing w:val="-10"/>
                <w:sz w:val="24"/>
                <w:szCs w:val="24"/>
                <w14:textFill>
                  <w14:solidFill>
                    <w14:schemeClr w14:val="tx1"/>
                  </w14:solidFill>
                </w14:textFill>
              </w:rPr>
              <w:t>本项目产生的固体废物有一般固废和危险废物，一般固废包含废包装材料、</w:t>
            </w:r>
            <w:r>
              <w:rPr>
                <w:rFonts w:hint="eastAsia"/>
                <w:bCs/>
                <w:color w:val="000000" w:themeColor="text1"/>
                <w:spacing w:val="-10"/>
                <w:sz w:val="24"/>
                <w:szCs w:val="24"/>
                <w14:textFill>
                  <w14:solidFill>
                    <w14:schemeClr w14:val="tx1"/>
                  </w14:solidFill>
                </w14:textFill>
              </w:rPr>
              <w:t>车间</w:t>
            </w:r>
            <w:r>
              <w:rPr>
                <w:bCs/>
                <w:color w:val="000000" w:themeColor="text1"/>
                <w:spacing w:val="-10"/>
                <w:sz w:val="24"/>
                <w:szCs w:val="24"/>
                <w14:textFill>
                  <w14:solidFill>
                    <w14:schemeClr w14:val="tx1"/>
                  </w14:solidFill>
                </w14:textFill>
              </w:rPr>
              <w:t>收尘</w:t>
            </w:r>
            <w:r>
              <w:rPr>
                <w:rFonts w:hint="eastAsia"/>
                <w:bCs/>
                <w:color w:val="000000" w:themeColor="text1"/>
                <w:spacing w:val="-10"/>
                <w:sz w:val="24"/>
                <w:szCs w:val="24"/>
                <w14:textFill>
                  <w14:solidFill>
                    <w14:schemeClr w14:val="tx1"/>
                  </w14:solidFill>
                </w14:textFill>
              </w:rPr>
              <w:t>灰</w:t>
            </w:r>
            <w:r>
              <w:rPr>
                <w:bCs/>
                <w:color w:val="000000" w:themeColor="text1"/>
                <w:spacing w:val="-10"/>
                <w:sz w:val="24"/>
                <w:szCs w:val="24"/>
                <w14:textFill>
                  <w14:solidFill>
                    <w14:schemeClr w14:val="tx1"/>
                  </w14:solidFill>
                </w14:textFill>
              </w:rPr>
              <w:t>、生活垃圾，危险废物为废机油。</w:t>
            </w:r>
          </w:p>
          <w:p w14:paraId="70C9F9D9">
            <w:pPr>
              <w:pStyle w:val="16"/>
              <w:adjustRightInd w:val="0"/>
              <w:spacing w:line="360" w:lineRule="auto"/>
              <w:ind w:firstLine="442" w:firstLineChars="200"/>
              <w:rPr>
                <w:b/>
                <w:color w:val="000000" w:themeColor="text1"/>
                <w:spacing w:val="-10"/>
                <w:sz w:val="24"/>
                <w:szCs w:val="24"/>
                <w14:textFill>
                  <w14:solidFill>
                    <w14:schemeClr w14:val="tx1"/>
                  </w14:solidFill>
                </w14:textFill>
              </w:rPr>
            </w:pPr>
            <w:r>
              <w:rPr>
                <w:rFonts w:hint="eastAsia"/>
                <w:b/>
                <w:color w:val="000000" w:themeColor="text1"/>
                <w:spacing w:val="-10"/>
                <w:sz w:val="24"/>
                <w:szCs w:val="24"/>
                <w14:textFill>
                  <w14:solidFill>
                    <w14:schemeClr w14:val="tx1"/>
                  </w14:solidFill>
                </w14:textFill>
              </w:rPr>
              <w:t>1、固废产生量及措施</w:t>
            </w:r>
          </w:p>
          <w:p w14:paraId="7CCFA95D">
            <w:pPr>
              <w:pStyle w:val="16"/>
              <w:adjustRightInd w:val="0"/>
              <w:spacing w:line="360" w:lineRule="auto"/>
              <w:ind w:firstLine="440" w:firstLineChars="200"/>
              <w:rPr>
                <w:bCs/>
                <w:color w:val="000000" w:themeColor="text1"/>
                <w:spacing w:val="-10"/>
                <w:sz w:val="24"/>
                <w:szCs w:val="24"/>
                <w14:textFill>
                  <w14:solidFill>
                    <w14:schemeClr w14:val="tx1"/>
                  </w14:solidFill>
                </w14:textFill>
              </w:rPr>
            </w:pPr>
            <w:r>
              <w:rPr>
                <w:bCs/>
                <w:color w:val="000000" w:themeColor="text1"/>
                <w:spacing w:val="-10"/>
                <w:sz w:val="24"/>
                <w:szCs w:val="24"/>
                <w14:textFill>
                  <w14:solidFill>
                    <w14:schemeClr w14:val="tx1"/>
                  </w14:solidFill>
                </w14:textFill>
              </w:rPr>
              <w:t>（1）废包装材料</w:t>
            </w:r>
          </w:p>
          <w:p w14:paraId="45BA20AB">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项目在生产工序中会产生原料和产品的废包装材料，根据建设单位提供资料，废包装材料产生量约为0.2t/a，属于一般固废，集中收集后暂存于一般固废收集桶内，定期外售资源回收公司。</w:t>
            </w:r>
          </w:p>
          <w:p w14:paraId="641E65B6">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根据生态环境部办公厅2024年1月22日印发的《固体废物分类与代码目录》，</w:t>
            </w:r>
            <w:r>
              <w:rPr>
                <w:rFonts w:hint="eastAsia"/>
                <w:color w:val="000000" w:themeColor="text1"/>
                <w:sz w:val="24"/>
                <w14:textFill>
                  <w14:solidFill>
                    <w14:schemeClr w14:val="tx1"/>
                  </w14:solidFill>
                </w14:textFill>
              </w:rPr>
              <w:t>废包装材料</w:t>
            </w:r>
            <w:r>
              <w:rPr>
                <w:color w:val="000000" w:themeColor="text1"/>
                <w:sz w:val="24"/>
                <w14:textFill>
                  <w14:solidFill>
                    <w14:schemeClr w14:val="tx1"/>
                  </w14:solidFill>
                </w14:textFill>
              </w:rPr>
              <w:t>废物代码为900-099-S</w:t>
            </w:r>
            <w:r>
              <w:rPr>
                <w:rFonts w:hint="eastAsia"/>
                <w:color w:val="000000" w:themeColor="text1"/>
                <w:sz w:val="24"/>
                <w14:textFill>
                  <w14:solidFill>
                    <w14:schemeClr w14:val="tx1"/>
                  </w14:solidFill>
                </w14:textFill>
              </w:rPr>
              <w:t>59</w:t>
            </w:r>
            <w:r>
              <w:rPr>
                <w:color w:val="000000" w:themeColor="text1"/>
                <w:sz w:val="24"/>
                <w14:textFill>
                  <w14:solidFill>
                    <w14:schemeClr w14:val="tx1"/>
                  </w14:solidFill>
                </w14:textFill>
              </w:rPr>
              <w:t xml:space="preserve">。 </w:t>
            </w:r>
          </w:p>
          <w:p w14:paraId="43EA2AB5">
            <w:pPr>
              <w:pStyle w:val="16"/>
              <w:adjustRightInd w:val="0"/>
              <w:spacing w:line="360" w:lineRule="auto"/>
              <w:ind w:firstLine="440" w:firstLineChars="200"/>
              <w:rPr>
                <w:bCs/>
                <w:color w:val="000000" w:themeColor="text1"/>
                <w:spacing w:val="-10"/>
                <w:sz w:val="24"/>
                <w:szCs w:val="24"/>
                <w14:textFill>
                  <w14:solidFill>
                    <w14:schemeClr w14:val="tx1"/>
                  </w14:solidFill>
                </w14:textFill>
              </w:rPr>
            </w:pPr>
            <w:r>
              <w:rPr>
                <w:bCs/>
                <w:color w:val="000000" w:themeColor="text1"/>
                <w:spacing w:val="-10"/>
                <w:sz w:val="24"/>
                <w:szCs w:val="24"/>
                <w14:textFill>
                  <w14:solidFill>
                    <w14:schemeClr w14:val="tx1"/>
                  </w14:solidFill>
                </w14:textFill>
              </w:rPr>
              <w:t>（2）</w:t>
            </w:r>
            <w:r>
              <w:rPr>
                <w:rFonts w:hint="eastAsia"/>
                <w:bCs/>
                <w:color w:val="000000" w:themeColor="text1"/>
                <w:spacing w:val="-10"/>
                <w:sz w:val="24"/>
                <w:szCs w:val="24"/>
                <w14:textFill>
                  <w14:solidFill>
                    <w14:schemeClr w14:val="tx1"/>
                  </w14:solidFill>
                </w14:textFill>
              </w:rPr>
              <w:t>车间降尘</w:t>
            </w:r>
          </w:p>
          <w:p w14:paraId="5EAA626C">
            <w:pPr>
              <w:spacing w:line="360" w:lineRule="auto"/>
              <w:ind w:firstLine="440" w:firstLineChars="200"/>
              <w:rPr>
                <w:color w:val="000000" w:themeColor="text1"/>
                <w:sz w:val="24"/>
                <w14:textFill>
                  <w14:solidFill>
                    <w14:schemeClr w14:val="tx1"/>
                  </w14:solidFill>
                </w14:textFill>
              </w:rPr>
            </w:pPr>
            <w:r>
              <w:rPr>
                <w:bCs/>
                <w:color w:val="000000" w:themeColor="text1"/>
                <w:spacing w:val="-10"/>
                <w:sz w:val="24"/>
                <w14:textFill>
                  <w14:solidFill>
                    <w14:schemeClr w14:val="tx1"/>
                  </w14:solidFill>
                </w14:textFill>
              </w:rPr>
              <w:t>根据</w:t>
            </w:r>
            <w:r>
              <w:rPr>
                <w:rFonts w:hint="eastAsia"/>
                <w:bCs/>
                <w:color w:val="000000" w:themeColor="text1"/>
                <w:spacing w:val="-10"/>
                <w:sz w:val="24"/>
                <w14:textFill>
                  <w14:solidFill>
                    <w14:schemeClr w14:val="tx1"/>
                  </w14:solidFill>
                </w14:textFill>
              </w:rPr>
              <w:t>废气章节分析</w:t>
            </w:r>
            <w:r>
              <w:rPr>
                <w:bCs/>
                <w:color w:val="000000" w:themeColor="text1"/>
                <w:spacing w:val="-10"/>
                <w:sz w:val="24"/>
                <w14:textFill>
                  <w14:solidFill>
                    <w14:schemeClr w14:val="tx1"/>
                  </w14:solidFill>
                </w14:textFill>
              </w:rPr>
              <w:t>，</w:t>
            </w:r>
            <w:r>
              <w:rPr>
                <w:rFonts w:hint="eastAsia"/>
                <w:bCs/>
                <w:color w:val="000000" w:themeColor="text1"/>
                <w:spacing w:val="-10"/>
                <w:sz w:val="24"/>
                <w14:textFill>
                  <w14:solidFill>
                    <w14:schemeClr w14:val="tx1"/>
                  </w14:solidFill>
                </w14:textFill>
              </w:rPr>
              <w:t>车间</w:t>
            </w:r>
            <w:r>
              <w:rPr>
                <w:bCs/>
                <w:color w:val="000000" w:themeColor="text1"/>
                <w:spacing w:val="-10"/>
                <w:sz w:val="24"/>
                <w14:textFill>
                  <w14:solidFill>
                    <w14:schemeClr w14:val="tx1"/>
                  </w14:solidFill>
                </w14:textFill>
              </w:rPr>
              <w:t>收尘产生量为</w:t>
            </w:r>
            <w:r>
              <w:rPr>
                <w:rFonts w:hint="eastAsia"/>
                <w:bCs/>
                <w:color w:val="000000" w:themeColor="text1"/>
                <w:spacing w:val="-10"/>
                <w:sz w:val="24"/>
                <w14:textFill>
                  <w14:solidFill>
                    <w14:schemeClr w14:val="tx1"/>
                  </w14:solidFill>
                </w14:textFill>
              </w:rPr>
              <w:t>1.0663</w:t>
            </w:r>
            <w:r>
              <w:rPr>
                <w:bCs/>
                <w:color w:val="000000" w:themeColor="text1"/>
                <w:spacing w:val="-10"/>
                <w:sz w:val="24"/>
                <w14:textFill>
                  <w14:solidFill>
                    <w14:schemeClr w14:val="tx1"/>
                  </w14:solidFill>
                </w14:textFill>
              </w:rPr>
              <w:t>t/a，</w:t>
            </w:r>
            <w:r>
              <w:rPr>
                <w:color w:val="000000" w:themeColor="text1"/>
                <w:sz w:val="24"/>
                <w14:textFill>
                  <w14:solidFill>
                    <w14:schemeClr w14:val="tx1"/>
                  </w14:solidFill>
                </w14:textFill>
              </w:rPr>
              <w:t>经收集后回用于生产。</w:t>
            </w:r>
          </w:p>
          <w:p w14:paraId="4B12C260">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根据生态环境部办公厅2024年1月22日印发的《固体废物分类与代码目录》，收尘废物代码为900-099-S59。</w:t>
            </w:r>
          </w:p>
          <w:p w14:paraId="71FA70E8">
            <w:pPr>
              <w:pStyle w:val="16"/>
              <w:adjustRightInd w:val="0"/>
              <w:spacing w:line="360" w:lineRule="auto"/>
              <w:ind w:firstLine="440" w:firstLineChars="200"/>
              <w:rPr>
                <w:bCs/>
                <w:color w:val="000000" w:themeColor="text1"/>
                <w:spacing w:val="-10"/>
                <w:sz w:val="24"/>
                <w:szCs w:val="24"/>
                <w14:textFill>
                  <w14:solidFill>
                    <w14:schemeClr w14:val="tx1"/>
                  </w14:solidFill>
                </w14:textFill>
              </w:rPr>
            </w:pPr>
            <w:r>
              <w:rPr>
                <w:bCs/>
                <w:color w:val="000000" w:themeColor="text1"/>
                <w:spacing w:val="-10"/>
                <w:sz w:val="24"/>
                <w:szCs w:val="24"/>
                <w14:textFill>
                  <w14:solidFill>
                    <w14:schemeClr w14:val="tx1"/>
                  </w14:solidFill>
                </w14:textFill>
              </w:rPr>
              <w:t>（</w:t>
            </w:r>
            <w:r>
              <w:rPr>
                <w:rFonts w:hint="eastAsia"/>
                <w:bCs/>
                <w:color w:val="000000" w:themeColor="text1"/>
                <w:spacing w:val="-10"/>
                <w:sz w:val="24"/>
                <w:szCs w:val="24"/>
                <w14:textFill>
                  <w14:solidFill>
                    <w14:schemeClr w14:val="tx1"/>
                  </w14:solidFill>
                </w14:textFill>
              </w:rPr>
              <w:t>3</w:t>
            </w:r>
            <w:r>
              <w:rPr>
                <w:bCs/>
                <w:color w:val="000000" w:themeColor="text1"/>
                <w:spacing w:val="-10"/>
                <w:sz w:val="24"/>
                <w:szCs w:val="24"/>
                <w14:textFill>
                  <w14:solidFill>
                    <w14:schemeClr w14:val="tx1"/>
                  </w14:solidFill>
                </w14:textFill>
              </w:rPr>
              <w:t>）生活垃圾</w:t>
            </w:r>
          </w:p>
          <w:p w14:paraId="65451BCA">
            <w:pPr>
              <w:adjustRightInd w:val="0"/>
              <w:snapToGrid w:val="0"/>
              <w:spacing w:line="360" w:lineRule="auto"/>
              <w:ind w:firstLine="440" w:firstLineChars="200"/>
              <w:rPr>
                <w:color w:val="000000" w:themeColor="text1"/>
                <w:sz w:val="24"/>
                <w14:textFill>
                  <w14:solidFill>
                    <w14:schemeClr w14:val="tx1"/>
                  </w14:solidFill>
                </w14:textFill>
              </w:rPr>
            </w:pPr>
            <w:r>
              <w:rPr>
                <w:bCs/>
                <w:color w:val="000000" w:themeColor="text1"/>
                <w:spacing w:val="-10"/>
                <w:sz w:val="24"/>
                <w14:textFill>
                  <w14:solidFill>
                    <w14:schemeClr w14:val="tx1"/>
                  </w14:solidFill>
                </w14:textFill>
              </w:rPr>
              <w:t>本项目</w:t>
            </w:r>
            <w:r>
              <w:rPr>
                <w:bCs/>
                <w:color w:val="000000" w:themeColor="text1"/>
                <w:sz w:val="24"/>
                <w14:textFill>
                  <w14:solidFill>
                    <w14:schemeClr w14:val="tx1"/>
                  </w14:solidFill>
                </w14:textFill>
              </w:rPr>
              <w:t>劳动定员</w:t>
            </w:r>
            <w:r>
              <w:rPr>
                <w:rFonts w:hint="eastAsia"/>
                <w:bCs/>
                <w:color w:val="000000" w:themeColor="text1"/>
                <w:sz w:val="24"/>
                <w14:textFill>
                  <w14:solidFill>
                    <w14:schemeClr w14:val="tx1"/>
                  </w14:solidFill>
                </w14:textFill>
              </w:rPr>
              <w:t>10</w:t>
            </w:r>
            <w:r>
              <w:rPr>
                <w:bCs/>
                <w:color w:val="000000" w:themeColor="text1"/>
                <w:sz w:val="24"/>
                <w14:textFill>
                  <w14:solidFill>
                    <w14:schemeClr w14:val="tx1"/>
                  </w14:solidFill>
                </w14:textFill>
              </w:rPr>
              <w:t>人</w:t>
            </w:r>
            <w:r>
              <w:rPr>
                <w:rFonts w:hint="eastAsia"/>
                <w:bCs/>
                <w:color w:val="000000" w:themeColor="text1"/>
                <w:sz w:val="24"/>
                <w14:textFill>
                  <w14:solidFill>
                    <w14:schemeClr w14:val="tx1"/>
                  </w14:solidFill>
                </w14:textFill>
              </w:rPr>
              <w:t>，</w:t>
            </w:r>
            <w:r>
              <w:rPr>
                <w:color w:val="000000" w:themeColor="text1"/>
                <w:sz w:val="24"/>
                <w14:textFill>
                  <w14:solidFill>
                    <w14:schemeClr w14:val="tx1"/>
                  </w14:solidFill>
                </w14:textFill>
              </w:rPr>
              <w:t>生活垃圾产生量按0.5kg/（d·人）考虑，则生活垃圾产生量约为</w:t>
            </w:r>
            <w:r>
              <w:rPr>
                <w:rFonts w:hint="eastAsia"/>
                <w:color w:val="000000" w:themeColor="text1"/>
                <w:sz w:val="24"/>
                <w14:textFill>
                  <w14:solidFill>
                    <w14:schemeClr w14:val="tx1"/>
                  </w14:solidFill>
                </w14:textFill>
              </w:rPr>
              <w:t>5</w:t>
            </w:r>
            <w:r>
              <w:rPr>
                <w:color w:val="000000" w:themeColor="text1"/>
                <w:sz w:val="24"/>
                <w14:textFill>
                  <w14:solidFill>
                    <w14:schemeClr w14:val="tx1"/>
                  </w14:solidFill>
                </w14:textFill>
              </w:rPr>
              <w:t>kg/d，</w:t>
            </w:r>
            <w:r>
              <w:rPr>
                <w:rFonts w:hint="eastAsia"/>
                <w:color w:val="000000" w:themeColor="text1"/>
                <w:sz w:val="24"/>
                <w14:textFill>
                  <w14:solidFill>
                    <w14:schemeClr w14:val="tx1"/>
                  </w14:solidFill>
                </w14:textFill>
              </w:rPr>
              <w:t>1.5</w:t>
            </w:r>
            <w:r>
              <w:rPr>
                <w:color w:val="000000" w:themeColor="text1"/>
                <w:sz w:val="24"/>
                <w14:textFill>
                  <w14:solidFill>
                    <w14:schemeClr w14:val="tx1"/>
                  </w14:solidFill>
                </w14:textFill>
              </w:rPr>
              <w:t>t/a，设置有若干生活垃圾收集桶，分类收集后，定期清运至环卫部门指定垃圾收集点处置。</w:t>
            </w:r>
          </w:p>
          <w:p w14:paraId="16C037FF">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 xml:space="preserve">根据生态环境部办公厅2024年1月22日印发的《固体废物分类与代码目录》，生活垃圾废物代码为900-002-S64。 </w:t>
            </w:r>
          </w:p>
          <w:p w14:paraId="1B1F5411">
            <w:pPr>
              <w:pStyle w:val="16"/>
              <w:adjustRightInd w:val="0"/>
              <w:spacing w:line="360" w:lineRule="auto"/>
              <w:ind w:firstLine="440" w:firstLineChars="200"/>
              <w:rPr>
                <w:bCs/>
                <w:color w:val="000000" w:themeColor="text1"/>
                <w:spacing w:val="-10"/>
                <w:sz w:val="24"/>
                <w:szCs w:val="24"/>
                <w14:textFill>
                  <w14:solidFill>
                    <w14:schemeClr w14:val="tx1"/>
                  </w14:solidFill>
                </w14:textFill>
              </w:rPr>
            </w:pPr>
            <w:r>
              <w:rPr>
                <w:bCs/>
                <w:color w:val="000000" w:themeColor="text1"/>
                <w:spacing w:val="-10"/>
                <w:sz w:val="24"/>
                <w:szCs w:val="24"/>
                <w14:textFill>
                  <w14:solidFill>
                    <w14:schemeClr w14:val="tx1"/>
                  </w14:solidFill>
                </w14:textFill>
              </w:rPr>
              <w:t>（</w:t>
            </w:r>
            <w:r>
              <w:rPr>
                <w:rFonts w:hint="eastAsia"/>
                <w:bCs/>
                <w:color w:val="000000" w:themeColor="text1"/>
                <w:spacing w:val="-10"/>
                <w:sz w:val="24"/>
                <w:szCs w:val="24"/>
                <w14:textFill>
                  <w14:solidFill>
                    <w14:schemeClr w14:val="tx1"/>
                  </w14:solidFill>
                </w14:textFill>
              </w:rPr>
              <w:t>4</w:t>
            </w:r>
            <w:r>
              <w:rPr>
                <w:bCs/>
                <w:color w:val="000000" w:themeColor="text1"/>
                <w:spacing w:val="-10"/>
                <w:sz w:val="24"/>
                <w:szCs w:val="24"/>
                <w14:textFill>
                  <w14:solidFill>
                    <w14:schemeClr w14:val="tx1"/>
                  </w14:solidFill>
                </w14:textFill>
              </w:rPr>
              <w:t>）废机油</w:t>
            </w:r>
          </w:p>
          <w:p w14:paraId="5ED55DC6">
            <w:pPr>
              <w:pStyle w:val="16"/>
              <w:adjustRightInd w:val="0"/>
              <w:spacing w:line="360" w:lineRule="auto"/>
              <w:ind w:firstLine="440" w:firstLineChars="200"/>
              <w:rPr>
                <w:bCs/>
                <w:color w:val="000000" w:themeColor="text1"/>
                <w:spacing w:val="-10"/>
                <w:sz w:val="24"/>
                <w:szCs w:val="24"/>
                <w14:textFill>
                  <w14:solidFill>
                    <w14:schemeClr w14:val="tx1"/>
                  </w14:solidFill>
                </w14:textFill>
              </w:rPr>
            </w:pPr>
            <w:r>
              <w:rPr>
                <w:bCs/>
                <w:color w:val="000000" w:themeColor="text1"/>
                <w:spacing w:val="-10"/>
                <w:sz w:val="24"/>
                <w:szCs w:val="24"/>
                <w14:textFill>
                  <w14:solidFill>
                    <w14:schemeClr w14:val="tx1"/>
                  </w14:solidFill>
                </w14:textFill>
              </w:rPr>
              <w:t>设备维护会产生废机油，产生量约0.5t/a，根据《国家危险废物名录》（202</w:t>
            </w:r>
            <w:r>
              <w:rPr>
                <w:rFonts w:hint="eastAsia"/>
                <w:bCs/>
                <w:color w:val="000000" w:themeColor="text1"/>
                <w:spacing w:val="-10"/>
                <w:sz w:val="24"/>
                <w:szCs w:val="24"/>
                <w14:textFill>
                  <w14:solidFill>
                    <w14:schemeClr w14:val="tx1"/>
                  </w14:solidFill>
                </w14:textFill>
              </w:rPr>
              <w:t>5</w:t>
            </w:r>
            <w:r>
              <w:rPr>
                <w:bCs/>
                <w:color w:val="000000" w:themeColor="text1"/>
                <w:spacing w:val="-10"/>
                <w:sz w:val="24"/>
                <w:szCs w:val="24"/>
                <w14:textFill>
                  <w14:solidFill>
                    <w14:schemeClr w14:val="tx1"/>
                  </w14:solidFill>
                </w14:textFill>
              </w:rPr>
              <w:t>年版），废机油属于危险废物，废物代码：HW08 900-214-08 车辆、轮船及其它机械维修过程中产生的废发动机油、制动器油、自动变速器油、齿轮油等废润滑油，统一收集暂存于危险废物暂存</w:t>
            </w:r>
            <w:r>
              <w:rPr>
                <w:rFonts w:hint="eastAsia"/>
                <w:bCs/>
                <w:color w:val="000000" w:themeColor="text1"/>
                <w:spacing w:val="-10"/>
                <w:sz w:val="24"/>
                <w:szCs w:val="24"/>
                <w14:textFill>
                  <w14:solidFill>
                    <w14:schemeClr w14:val="tx1"/>
                  </w14:solidFill>
                </w14:textFill>
              </w:rPr>
              <w:t>库</w:t>
            </w:r>
            <w:r>
              <w:rPr>
                <w:bCs/>
                <w:color w:val="000000" w:themeColor="text1"/>
                <w:spacing w:val="-10"/>
                <w:sz w:val="24"/>
                <w:szCs w:val="24"/>
                <w14:textFill>
                  <w14:solidFill>
                    <w14:schemeClr w14:val="tx1"/>
                  </w14:solidFill>
                </w14:textFill>
              </w:rPr>
              <w:t>，</w:t>
            </w:r>
            <w:r>
              <w:rPr>
                <w:rFonts w:hint="eastAsia"/>
                <w:bCs/>
                <w:color w:val="000000" w:themeColor="text1"/>
                <w:spacing w:val="-10"/>
                <w:sz w:val="24"/>
                <w:szCs w:val="24"/>
                <w14:textFill>
                  <w14:solidFill>
                    <w14:schemeClr w14:val="tx1"/>
                  </w14:solidFill>
                </w14:textFill>
              </w:rPr>
              <w:t>定期委托有资质单位进行</w:t>
            </w:r>
            <w:r>
              <w:rPr>
                <w:bCs/>
                <w:color w:val="000000" w:themeColor="text1"/>
                <w:spacing w:val="-10"/>
                <w:sz w:val="24"/>
                <w:szCs w:val="24"/>
                <w14:textFill>
                  <w14:solidFill>
                    <w14:schemeClr w14:val="tx1"/>
                  </w14:solidFill>
                </w14:textFill>
              </w:rPr>
              <w:t>处置。</w:t>
            </w:r>
          </w:p>
          <w:p w14:paraId="360114C7">
            <w:pPr>
              <w:pStyle w:val="16"/>
              <w:adjustRightInd w:val="0"/>
              <w:spacing w:line="360" w:lineRule="auto"/>
              <w:ind w:firstLine="440" w:firstLineChars="200"/>
              <w:rPr>
                <w:bCs/>
                <w:color w:val="000000" w:themeColor="text1"/>
                <w:spacing w:val="-10"/>
                <w:sz w:val="24"/>
                <w:szCs w:val="24"/>
                <w14:textFill>
                  <w14:solidFill>
                    <w14:schemeClr w14:val="tx1"/>
                  </w14:solidFill>
                </w14:textFill>
              </w:rPr>
            </w:pPr>
            <w:r>
              <w:rPr>
                <w:bCs/>
                <w:color w:val="000000" w:themeColor="text1"/>
                <w:spacing w:val="-10"/>
                <w:sz w:val="24"/>
                <w:szCs w:val="24"/>
                <w14:textFill>
                  <w14:solidFill>
                    <w14:schemeClr w14:val="tx1"/>
                  </w14:solidFill>
                </w14:textFill>
              </w:rPr>
              <w:t>固废产排情况统计详见下表。</w:t>
            </w:r>
          </w:p>
          <w:p w14:paraId="0FF7970D">
            <w:pPr>
              <w:pStyle w:val="16"/>
              <w:adjustRightInd w:val="0"/>
              <w:ind w:firstLine="382" w:firstLineChars="200"/>
              <w:jc w:val="center"/>
              <w:rPr>
                <w:b/>
                <w:color w:val="000000" w:themeColor="text1"/>
                <w:spacing w:val="-10"/>
                <w:sz w:val="21"/>
                <w:szCs w:val="21"/>
                <w14:textFill>
                  <w14:solidFill>
                    <w14:schemeClr w14:val="tx1"/>
                  </w14:solidFill>
                </w14:textFill>
              </w:rPr>
            </w:pPr>
            <w:r>
              <w:rPr>
                <w:b/>
                <w:color w:val="000000" w:themeColor="text1"/>
                <w:spacing w:val="-10"/>
                <w:sz w:val="21"/>
                <w:szCs w:val="21"/>
                <w14:textFill>
                  <w14:solidFill>
                    <w14:schemeClr w14:val="tx1"/>
                  </w14:solidFill>
                </w14:textFill>
              </w:rPr>
              <w:t>表4-</w:t>
            </w:r>
            <w:r>
              <w:rPr>
                <w:rFonts w:hint="eastAsia"/>
                <w:b/>
                <w:color w:val="000000" w:themeColor="text1"/>
                <w:spacing w:val="-10"/>
                <w:sz w:val="21"/>
                <w:szCs w:val="21"/>
                <w14:textFill>
                  <w14:solidFill>
                    <w14:schemeClr w14:val="tx1"/>
                  </w14:solidFill>
                </w14:textFill>
              </w:rPr>
              <w:t>9</w:t>
            </w:r>
            <w:r>
              <w:rPr>
                <w:b/>
                <w:color w:val="000000" w:themeColor="text1"/>
                <w:spacing w:val="-10"/>
                <w:sz w:val="21"/>
                <w:szCs w:val="21"/>
                <w14:textFill>
                  <w14:solidFill>
                    <w14:schemeClr w14:val="tx1"/>
                  </w14:solidFill>
                </w14:textFill>
              </w:rPr>
              <w:t xml:space="preserve">  固废产排情况统计表</w:t>
            </w:r>
          </w:p>
          <w:tbl>
            <w:tblPr>
              <w:tblStyle w:val="26"/>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7"/>
              <w:gridCol w:w="1562"/>
              <w:gridCol w:w="1838"/>
              <w:gridCol w:w="1583"/>
              <w:gridCol w:w="1907"/>
            </w:tblGrid>
            <w:tr w14:paraId="3C35E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568" w:type="dxa"/>
                  <w:vAlign w:val="center"/>
                </w:tcPr>
                <w:p w14:paraId="6E1C7DFA">
                  <w:pPr>
                    <w:pStyle w:val="16"/>
                    <w:adjustRightInd w:val="0"/>
                    <w:jc w:val="both"/>
                    <w:rPr>
                      <w:bCs/>
                      <w:color w:val="000000" w:themeColor="text1"/>
                      <w:spacing w:val="-10"/>
                      <w:sz w:val="21"/>
                      <w:szCs w:val="21"/>
                      <w14:textFill>
                        <w14:solidFill>
                          <w14:schemeClr w14:val="tx1"/>
                        </w14:solidFill>
                      </w14:textFill>
                    </w:rPr>
                  </w:pPr>
                </w:p>
                <w:p w14:paraId="59AC230B">
                  <w:pPr>
                    <w:pStyle w:val="16"/>
                    <w:adjustRightInd w:val="0"/>
                    <w:jc w:val="both"/>
                    <w:rPr>
                      <w:bCs/>
                      <w:color w:val="000000" w:themeColor="text1"/>
                      <w:spacing w:val="-10"/>
                      <w:sz w:val="21"/>
                      <w:szCs w:val="21"/>
                      <w14:textFill>
                        <w14:solidFill>
                          <w14:schemeClr w14:val="tx1"/>
                        </w14:solidFill>
                      </w14:textFill>
                    </w:rPr>
                  </w:pPr>
                </w:p>
                <w:p w14:paraId="11339256">
                  <w:pPr>
                    <w:pStyle w:val="16"/>
                    <w:adjustRightInd w:val="0"/>
                    <w:jc w:val="both"/>
                    <w:rPr>
                      <w:bCs/>
                      <w:color w:val="000000" w:themeColor="text1"/>
                      <w:spacing w:val="-10"/>
                      <w:sz w:val="21"/>
                      <w:szCs w:val="21"/>
                      <w14:textFill>
                        <w14:solidFill>
                          <w14:schemeClr w14:val="tx1"/>
                        </w14:solidFill>
                      </w14:textFill>
                    </w:rPr>
                  </w:pPr>
                  <w:r>
                    <w:rPr>
                      <w:rFonts w:hint="eastAsia"/>
                      <w:bCs/>
                      <w:color w:val="000000" w:themeColor="text1"/>
                      <w:spacing w:val="-10"/>
                      <w:sz w:val="21"/>
                      <w:szCs w:val="21"/>
                      <w14:textFill>
                        <w14:solidFill>
                          <w14:schemeClr w14:val="tx1"/>
                        </w14:solidFill>
                      </w14:textFill>
                    </w:rPr>
                    <w:t>项目</w:t>
                  </w:r>
                </w:p>
                <w:p w14:paraId="738938A3">
                  <w:pPr>
                    <w:pStyle w:val="16"/>
                    <w:adjustRightInd w:val="0"/>
                    <w:jc w:val="both"/>
                    <w:rPr>
                      <w:bCs/>
                      <w:color w:val="000000" w:themeColor="text1"/>
                      <w:spacing w:val="-10"/>
                      <w:sz w:val="21"/>
                      <w:szCs w:val="21"/>
                      <w14:textFill>
                        <w14:solidFill>
                          <w14:schemeClr w14:val="tx1"/>
                        </w14:solidFill>
                      </w14:textFill>
                    </w:rPr>
                  </w:pPr>
                  <w:r>
                    <w:rPr>
                      <w:rFonts w:hint="eastAsia"/>
                      <w:bCs/>
                      <w:color w:val="000000" w:themeColor="text1"/>
                      <w:spacing w:val="-10"/>
                      <w:sz w:val="21"/>
                      <w:szCs w:val="21"/>
                      <w14:textFill>
                        <w14:solidFill>
                          <w14:schemeClr w14:val="tx1"/>
                        </w14:solidFill>
                      </w14:textFill>
                    </w:rPr>
                    <w:t xml:space="preserve">       固废</w:t>
                  </w:r>
                </w:p>
              </w:tc>
              <w:tc>
                <w:tcPr>
                  <w:tcW w:w="1562" w:type="dxa"/>
                  <w:vAlign w:val="center"/>
                </w:tcPr>
                <w:p w14:paraId="422ECFE5">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废包装材料</w:t>
                  </w:r>
                </w:p>
              </w:tc>
              <w:tc>
                <w:tcPr>
                  <w:tcW w:w="1838" w:type="dxa"/>
                  <w:vAlign w:val="center"/>
                </w:tcPr>
                <w:p w14:paraId="1F633577">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收尘</w:t>
                  </w:r>
                  <w:r>
                    <w:rPr>
                      <w:rFonts w:hint="eastAsia"/>
                      <w:bCs/>
                      <w:color w:val="000000" w:themeColor="text1"/>
                      <w:spacing w:val="-10"/>
                      <w:sz w:val="21"/>
                      <w:szCs w:val="21"/>
                      <w14:textFill>
                        <w14:solidFill>
                          <w14:schemeClr w14:val="tx1"/>
                        </w14:solidFill>
                      </w14:textFill>
                    </w:rPr>
                    <w:t>灰</w:t>
                  </w:r>
                </w:p>
              </w:tc>
              <w:tc>
                <w:tcPr>
                  <w:tcW w:w="1583" w:type="dxa"/>
                  <w:vAlign w:val="center"/>
                </w:tcPr>
                <w:p w14:paraId="292C50DC">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生活垃圾</w:t>
                  </w:r>
                </w:p>
              </w:tc>
              <w:tc>
                <w:tcPr>
                  <w:tcW w:w="1907" w:type="dxa"/>
                  <w:vAlign w:val="center"/>
                </w:tcPr>
                <w:p w14:paraId="3EDCA5CC">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废机油</w:t>
                  </w:r>
                </w:p>
              </w:tc>
            </w:tr>
            <w:tr w14:paraId="76965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8" w:type="dxa"/>
                  <w:vAlign w:val="center"/>
                </w:tcPr>
                <w:p w14:paraId="75AA5D4D">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固体废物属性</w:t>
                  </w:r>
                </w:p>
              </w:tc>
              <w:tc>
                <w:tcPr>
                  <w:tcW w:w="4983" w:type="dxa"/>
                  <w:gridSpan w:val="3"/>
                  <w:vAlign w:val="center"/>
                </w:tcPr>
                <w:p w14:paraId="3CB1955E">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一般固废</w:t>
                  </w:r>
                </w:p>
              </w:tc>
              <w:tc>
                <w:tcPr>
                  <w:tcW w:w="1907" w:type="dxa"/>
                  <w:vAlign w:val="center"/>
                </w:tcPr>
                <w:p w14:paraId="51E3FB06">
                  <w:pPr>
                    <w:pStyle w:val="16"/>
                    <w:adjustRightInd w:val="0"/>
                    <w:jc w:val="center"/>
                    <w:rPr>
                      <w:bCs/>
                      <w:color w:val="000000" w:themeColor="text1"/>
                      <w:spacing w:val="-10"/>
                      <w:sz w:val="21"/>
                      <w:szCs w:val="21"/>
                      <w14:textFill>
                        <w14:solidFill>
                          <w14:schemeClr w14:val="tx1"/>
                        </w14:solidFill>
                      </w14:textFill>
                    </w:rPr>
                  </w:pPr>
                  <w:r>
                    <w:rPr>
                      <w:rFonts w:hint="eastAsia"/>
                      <w:bCs/>
                      <w:color w:val="000000" w:themeColor="text1"/>
                      <w:spacing w:val="-10"/>
                      <w:sz w:val="21"/>
                      <w:szCs w:val="21"/>
                      <w14:textFill>
                        <w14:solidFill>
                          <w14:schemeClr w14:val="tx1"/>
                        </w14:solidFill>
                      </w14:textFill>
                    </w:rPr>
                    <w:t>危险固废</w:t>
                  </w:r>
                </w:p>
              </w:tc>
            </w:tr>
            <w:tr w14:paraId="2043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8" w:type="dxa"/>
                  <w:vAlign w:val="center"/>
                </w:tcPr>
                <w:p w14:paraId="7AC8B22F">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产生环节</w:t>
                  </w:r>
                </w:p>
              </w:tc>
              <w:tc>
                <w:tcPr>
                  <w:tcW w:w="1562" w:type="dxa"/>
                  <w:vAlign w:val="center"/>
                </w:tcPr>
                <w:p w14:paraId="5DAD9FB9">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原料及产品包装</w:t>
                  </w:r>
                </w:p>
              </w:tc>
              <w:tc>
                <w:tcPr>
                  <w:tcW w:w="1838" w:type="dxa"/>
                  <w:vAlign w:val="center"/>
                </w:tcPr>
                <w:p w14:paraId="05CFBF32">
                  <w:pPr>
                    <w:pStyle w:val="16"/>
                    <w:adjustRightInd w:val="0"/>
                    <w:jc w:val="center"/>
                    <w:rPr>
                      <w:bCs/>
                      <w:color w:val="000000" w:themeColor="text1"/>
                      <w:spacing w:val="-10"/>
                      <w:sz w:val="21"/>
                      <w:szCs w:val="21"/>
                      <w14:textFill>
                        <w14:solidFill>
                          <w14:schemeClr w14:val="tx1"/>
                        </w14:solidFill>
                      </w14:textFill>
                    </w:rPr>
                  </w:pPr>
                  <w:r>
                    <w:rPr>
                      <w:rFonts w:hint="eastAsia"/>
                      <w:bCs/>
                      <w:color w:val="000000" w:themeColor="text1"/>
                      <w:spacing w:val="-10"/>
                      <w:sz w:val="21"/>
                      <w:szCs w:val="21"/>
                      <w14:textFill>
                        <w14:solidFill>
                          <w14:schemeClr w14:val="tx1"/>
                        </w14:solidFill>
                      </w14:textFill>
                    </w:rPr>
                    <w:t>生产过程</w:t>
                  </w:r>
                </w:p>
              </w:tc>
              <w:tc>
                <w:tcPr>
                  <w:tcW w:w="1583" w:type="dxa"/>
                  <w:vAlign w:val="center"/>
                </w:tcPr>
                <w:p w14:paraId="42656B97">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员工生活</w:t>
                  </w:r>
                </w:p>
              </w:tc>
              <w:tc>
                <w:tcPr>
                  <w:tcW w:w="1907" w:type="dxa"/>
                  <w:vAlign w:val="center"/>
                </w:tcPr>
                <w:p w14:paraId="6EA9CD2E">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设备维护、维修</w:t>
                  </w:r>
                </w:p>
              </w:tc>
            </w:tr>
            <w:tr w14:paraId="3C4B3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8" w:type="dxa"/>
                  <w:vAlign w:val="center"/>
                </w:tcPr>
                <w:p w14:paraId="67FF14BF">
                  <w:pPr>
                    <w:pStyle w:val="16"/>
                    <w:adjustRightInd w:val="0"/>
                    <w:jc w:val="center"/>
                    <w:rPr>
                      <w:bCs/>
                      <w:color w:val="000000" w:themeColor="text1"/>
                      <w:spacing w:val="-10"/>
                      <w:sz w:val="21"/>
                      <w:szCs w:val="21"/>
                      <w14:textFill>
                        <w14:solidFill>
                          <w14:schemeClr w14:val="tx1"/>
                        </w14:solidFill>
                      </w14:textFill>
                    </w:rPr>
                  </w:pPr>
                  <w:r>
                    <w:rPr>
                      <w:rFonts w:hint="eastAsia"/>
                      <w:bCs/>
                      <w:color w:val="000000" w:themeColor="text1"/>
                      <w:spacing w:val="-10"/>
                      <w:sz w:val="21"/>
                      <w:szCs w:val="21"/>
                      <w14:textFill>
                        <w14:solidFill>
                          <w14:schemeClr w14:val="tx1"/>
                        </w14:solidFill>
                      </w14:textFill>
                    </w:rPr>
                    <w:t>废物类别及代码</w:t>
                  </w:r>
                </w:p>
              </w:tc>
              <w:tc>
                <w:tcPr>
                  <w:tcW w:w="1562" w:type="dxa"/>
                  <w:vAlign w:val="center"/>
                </w:tcPr>
                <w:p w14:paraId="1486867B">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900-099-S59</w:t>
                  </w:r>
                </w:p>
              </w:tc>
              <w:tc>
                <w:tcPr>
                  <w:tcW w:w="1838" w:type="dxa"/>
                  <w:vAlign w:val="center"/>
                </w:tcPr>
                <w:p w14:paraId="207F5A27">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900-099-S59</w:t>
                  </w:r>
                </w:p>
              </w:tc>
              <w:tc>
                <w:tcPr>
                  <w:tcW w:w="1583" w:type="dxa"/>
                  <w:vAlign w:val="center"/>
                </w:tcPr>
                <w:p w14:paraId="477F233A">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900-002-S64</w:t>
                  </w:r>
                </w:p>
              </w:tc>
              <w:tc>
                <w:tcPr>
                  <w:tcW w:w="1907" w:type="dxa"/>
                  <w:vAlign w:val="center"/>
                </w:tcPr>
                <w:p w14:paraId="60F3FD7E">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900-214-08</w:t>
                  </w:r>
                </w:p>
              </w:tc>
            </w:tr>
            <w:tr w14:paraId="4CA90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8" w:type="dxa"/>
                  <w:vAlign w:val="center"/>
                </w:tcPr>
                <w:p w14:paraId="557D416C">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主要有毒有害物质</w:t>
                  </w:r>
                </w:p>
              </w:tc>
              <w:tc>
                <w:tcPr>
                  <w:tcW w:w="1562" w:type="dxa"/>
                  <w:vAlign w:val="center"/>
                </w:tcPr>
                <w:p w14:paraId="5DBA1CE4">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w:t>
                  </w:r>
                </w:p>
              </w:tc>
              <w:tc>
                <w:tcPr>
                  <w:tcW w:w="1838" w:type="dxa"/>
                  <w:vAlign w:val="center"/>
                </w:tcPr>
                <w:p w14:paraId="7AAD1800">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w:t>
                  </w:r>
                </w:p>
                <w:p w14:paraId="6F066B5F">
                  <w:pPr>
                    <w:pStyle w:val="16"/>
                    <w:adjustRightInd w:val="0"/>
                    <w:jc w:val="center"/>
                    <w:rPr>
                      <w:bCs/>
                      <w:color w:val="000000" w:themeColor="text1"/>
                      <w:spacing w:val="-10"/>
                      <w:sz w:val="21"/>
                      <w:szCs w:val="21"/>
                      <w14:textFill>
                        <w14:solidFill>
                          <w14:schemeClr w14:val="tx1"/>
                        </w14:solidFill>
                      </w14:textFill>
                    </w:rPr>
                  </w:pPr>
                </w:p>
              </w:tc>
              <w:tc>
                <w:tcPr>
                  <w:tcW w:w="1583" w:type="dxa"/>
                  <w:vAlign w:val="center"/>
                </w:tcPr>
                <w:p w14:paraId="0A64E69B">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w:t>
                  </w:r>
                </w:p>
              </w:tc>
              <w:tc>
                <w:tcPr>
                  <w:tcW w:w="1907" w:type="dxa"/>
                  <w:vAlign w:val="center"/>
                </w:tcPr>
                <w:p w14:paraId="2F122028">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矿物油</w:t>
                  </w:r>
                </w:p>
              </w:tc>
            </w:tr>
            <w:tr w14:paraId="6DA64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8" w:type="dxa"/>
                  <w:vAlign w:val="center"/>
                </w:tcPr>
                <w:p w14:paraId="3700EAEF">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物理性状</w:t>
                  </w:r>
                </w:p>
              </w:tc>
              <w:tc>
                <w:tcPr>
                  <w:tcW w:w="1562" w:type="dxa"/>
                  <w:vAlign w:val="center"/>
                </w:tcPr>
                <w:p w14:paraId="37831F86">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固态编织袋</w:t>
                  </w:r>
                </w:p>
              </w:tc>
              <w:tc>
                <w:tcPr>
                  <w:tcW w:w="1838" w:type="dxa"/>
                  <w:vAlign w:val="center"/>
                </w:tcPr>
                <w:p w14:paraId="468BFD9A">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粉末</w:t>
                  </w:r>
                </w:p>
              </w:tc>
              <w:tc>
                <w:tcPr>
                  <w:tcW w:w="1583" w:type="dxa"/>
                  <w:vAlign w:val="center"/>
                </w:tcPr>
                <w:p w14:paraId="74B039F5">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生活垃圾</w:t>
                  </w:r>
                </w:p>
              </w:tc>
              <w:tc>
                <w:tcPr>
                  <w:tcW w:w="1907" w:type="dxa"/>
                  <w:vAlign w:val="center"/>
                </w:tcPr>
                <w:p w14:paraId="24BB359E">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液态</w:t>
                  </w:r>
                </w:p>
              </w:tc>
            </w:tr>
            <w:tr w14:paraId="46AF5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8" w:type="dxa"/>
                  <w:vAlign w:val="center"/>
                </w:tcPr>
                <w:p w14:paraId="6BADA391">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环境危险特性</w:t>
                  </w:r>
                </w:p>
              </w:tc>
              <w:tc>
                <w:tcPr>
                  <w:tcW w:w="1562" w:type="dxa"/>
                  <w:vAlign w:val="center"/>
                </w:tcPr>
                <w:p w14:paraId="60190A1B">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w:t>
                  </w:r>
                </w:p>
              </w:tc>
              <w:tc>
                <w:tcPr>
                  <w:tcW w:w="1838" w:type="dxa"/>
                  <w:vAlign w:val="center"/>
                </w:tcPr>
                <w:p w14:paraId="3F8EA9DA">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w:t>
                  </w:r>
                </w:p>
              </w:tc>
              <w:tc>
                <w:tcPr>
                  <w:tcW w:w="1583" w:type="dxa"/>
                  <w:vAlign w:val="center"/>
                </w:tcPr>
                <w:p w14:paraId="01AA9970">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w:t>
                  </w:r>
                </w:p>
              </w:tc>
              <w:tc>
                <w:tcPr>
                  <w:tcW w:w="1907" w:type="dxa"/>
                  <w:vAlign w:val="center"/>
                </w:tcPr>
                <w:p w14:paraId="543FDDC7">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易燃</w:t>
                  </w:r>
                </w:p>
              </w:tc>
            </w:tr>
            <w:tr w14:paraId="4F638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8" w:type="dxa"/>
                  <w:vAlign w:val="center"/>
                </w:tcPr>
                <w:p w14:paraId="019E8763">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年度产生量/t</w:t>
                  </w:r>
                </w:p>
              </w:tc>
              <w:tc>
                <w:tcPr>
                  <w:tcW w:w="1562" w:type="dxa"/>
                  <w:vAlign w:val="center"/>
                </w:tcPr>
                <w:p w14:paraId="55DA3D3F">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0.</w:t>
                  </w:r>
                  <w:r>
                    <w:rPr>
                      <w:rFonts w:hint="eastAsia"/>
                      <w:bCs/>
                      <w:color w:val="000000" w:themeColor="text1"/>
                      <w:spacing w:val="-10"/>
                      <w:sz w:val="21"/>
                      <w:szCs w:val="21"/>
                      <w14:textFill>
                        <w14:solidFill>
                          <w14:schemeClr w14:val="tx1"/>
                        </w14:solidFill>
                      </w14:textFill>
                    </w:rPr>
                    <w:t>2</w:t>
                  </w:r>
                </w:p>
              </w:tc>
              <w:tc>
                <w:tcPr>
                  <w:tcW w:w="1838" w:type="dxa"/>
                  <w:vAlign w:val="center"/>
                </w:tcPr>
                <w:p w14:paraId="66AF98C8">
                  <w:pPr>
                    <w:pStyle w:val="16"/>
                    <w:adjustRightInd w:val="0"/>
                    <w:jc w:val="center"/>
                    <w:rPr>
                      <w:bCs/>
                      <w:color w:val="000000" w:themeColor="text1"/>
                      <w:spacing w:val="-10"/>
                      <w:sz w:val="21"/>
                      <w:szCs w:val="21"/>
                      <w14:textFill>
                        <w14:solidFill>
                          <w14:schemeClr w14:val="tx1"/>
                        </w14:solidFill>
                      </w14:textFill>
                    </w:rPr>
                  </w:pPr>
                  <w:r>
                    <w:rPr>
                      <w:rFonts w:hint="eastAsia"/>
                      <w:bCs/>
                      <w:color w:val="000000" w:themeColor="text1"/>
                      <w:spacing w:val="-10"/>
                      <w:sz w:val="21"/>
                      <w:szCs w:val="21"/>
                      <w14:textFill>
                        <w14:solidFill>
                          <w14:schemeClr w14:val="tx1"/>
                        </w14:solidFill>
                      </w14:textFill>
                    </w:rPr>
                    <w:t>1.0663</w:t>
                  </w:r>
                </w:p>
              </w:tc>
              <w:tc>
                <w:tcPr>
                  <w:tcW w:w="1583" w:type="dxa"/>
                  <w:vAlign w:val="center"/>
                </w:tcPr>
                <w:p w14:paraId="05F55478">
                  <w:pPr>
                    <w:pStyle w:val="16"/>
                    <w:adjustRightInd w:val="0"/>
                    <w:jc w:val="center"/>
                    <w:rPr>
                      <w:bCs/>
                      <w:color w:val="000000" w:themeColor="text1"/>
                      <w:spacing w:val="-10"/>
                      <w:sz w:val="21"/>
                      <w:szCs w:val="21"/>
                      <w14:textFill>
                        <w14:solidFill>
                          <w14:schemeClr w14:val="tx1"/>
                        </w14:solidFill>
                      </w14:textFill>
                    </w:rPr>
                  </w:pPr>
                  <w:r>
                    <w:rPr>
                      <w:rFonts w:hint="eastAsia"/>
                      <w:bCs/>
                      <w:color w:val="000000" w:themeColor="text1"/>
                      <w:spacing w:val="-10"/>
                      <w:sz w:val="21"/>
                      <w:szCs w:val="21"/>
                      <w14:textFill>
                        <w14:solidFill>
                          <w14:schemeClr w14:val="tx1"/>
                        </w14:solidFill>
                      </w14:textFill>
                    </w:rPr>
                    <w:t>1.5</w:t>
                  </w:r>
                </w:p>
              </w:tc>
              <w:tc>
                <w:tcPr>
                  <w:tcW w:w="1907" w:type="dxa"/>
                  <w:vAlign w:val="center"/>
                </w:tcPr>
                <w:p w14:paraId="08D1F5D1">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0.5</w:t>
                  </w:r>
                </w:p>
              </w:tc>
            </w:tr>
            <w:tr w14:paraId="02E5F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8" w:type="dxa"/>
                  <w:vAlign w:val="center"/>
                </w:tcPr>
                <w:p w14:paraId="3E63DBC2">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贮存方式</w:t>
                  </w:r>
                </w:p>
              </w:tc>
              <w:tc>
                <w:tcPr>
                  <w:tcW w:w="1562" w:type="dxa"/>
                  <w:vAlign w:val="center"/>
                </w:tcPr>
                <w:p w14:paraId="43EDE5DC">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一般固废收集桶收集暂存</w:t>
                  </w:r>
                </w:p>
              </w:tc>
              <w:tc>
                <w:tcPr>
                  <w:tcW w:w="1838" w:type="dxa"/>
                  <w:vMerge w:val="restart"/>
                  <w:vAlign w:val="center"/>
                </w:tcPr>
                <w:p w14:paraId="73C1B32C">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回用于生产</w:t>
                  </w:r>
                </w:p>
              </w:tc>
              <w:tc>
                <w:tcPr>
                  <w:tcW w:w="1583" w:type="dxa"/>
                  <w:vAlign w:val="center"/>
                </w:tcPr>
                <w:p w14:paraId="54FC0172">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垃圾桶收集</w:t>
                  </w:r>
                </w:p>
              </w:tc>
              <w:tc>
                <w:tcPr>
                  <w:tcW w:w="1907" w:type="dxa"/>
                  <w:vAlign w:val="center"/>
                </w:tcPr>
                <w:p w14:paraId="31DA3C8A">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统一收集后暂存于危险废物暂存</w:t>
                  </w:r>
                  <w:r>
                    <w:rPr>
                      <w:rFonts w:hint="eastAsia"/>
                      <w:bCs/>
                      <w:color w:val="000000" w:themeColor="text1"/>
                      <w:spacing w:val="-10"/>
                      <w:sz w:val="21"/>
                      <w:szCs w:val="21"/>
                      <w14:textFill>
                        <w14:solidFill>
                          <w14:schemeClr w14:val="tx1"/>
                        </w14:solidFill>
                      </w14:textFill>
                    </w:rPr>
                    <w:t>库</w:t>
                  </w:r>
                </w:p>
              </w:tc>
            </w:tr>
            <w:tr w14:paraId="286A1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8" w:type="dxa"/>
                  <w:vAlign w:val="center"/>
                </w:tcPr>
                <w:p w14:paraId="7F68A3B0">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利用处置方式和去向</w:t>
                  </w:r>
                </w:p>
              </w:tc>
              <w:tc>
                <w:tcPr>
                  <w:tcW w:w="1562" w:type="dxa"/>
                  <w:vAlign w:val="center"/>
                </w:tcPr>
                <w:p w14:paraId="1C14496F">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定期外售资源回收公司</w:t>
                  </w:r>
                </w:p>
              </w:tc>
              <w:tc>
                <w:tcPr>
                  <w:tcW w:w="1838" w:type="dxa"/>
                  <w:vMerge w:val="continue"/>
                  <w:vAlign w:val="center"/>
                </w:tcPr>
                <w:p w14:paraId="18B57717">
                  <w:pPr>
                    <w:pStyle w:val="16"/>
                    <w:adjustRightInd w:val="0"/>
                    <w:jc w:val="center"/>
                    <w:rPr>
                      <w:bCs/>
                      <w:color w:val="000000" w:themeColor="text1"/>
                      <w:spacing w:val="-10"/>
                      <w:sz w:val="21"/>
                      <w:szCs w:val="21"/>
                      <w14:textFill>
                        <w14:solidFill>
                          <w14:schemeClr w14:val="tx1"/>
                        </w14:solidFill>
                      </w14:textFill>
                    </w:rPr>
                  </w:pPr>
                </w:p>
              </w:tc>
              <w:tc>
                <w:tcPr>
                  <w:tcW w:w="1583" w:type="dxa"/>
                  <w:vAlign w:val="center"/>
                </w:tcPr>
                <w:p w14:paraId="7AB129CD">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统一收集后委托环卫部门清运</w:t>
                  </w:r>
                </w:p>
              </w:tc>
              <w:tc>
                <w:tcPr>
                  <w:tcW w:w="1907" w:type="dxa"/>
                  <w:vAlign w:val="center"/>
                </w:tcPr>
                <w:p w14:paraId="563DBD5F">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委托资质单位处置</w:t>
                  </w:r>
                </w:p>
              </w:tc>
            </w:tr>
            <w:tr w14:paraId="25E04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68" w:type="dxa"/>
                  <w:vAlign w:val="center"/>
                </w:tcPr>
                <w:p w14:paraId="7022DD7D">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环境管理要求</w:t>
                  </w:r>
                </w:p>
              </w:tc>
              <w:tc>
                <w:tcPr>
                  <w:tcW w:w="4983" w:type="dxa"/>
                  <w:gridSpan w:val="3"/>
                  <w:vAlign w:val="center"/>
                </w:tcPr>
                <w:p w14:paraId="18162684">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处置率100%</w:t>
                  </w:r>
                </w:p>
              </w:tc>
              <w:tc>
                <w:tcPr>
                  <w:tcW w:w="1907" w:type="dxa"/>
                  <w:vAlign w:val="center"/>
                </w:tcPr>
                <w:p w14:paraId="1DA8B8CF">
                  <w:pPr>
                    <w:pStyle w:val="16"/>
                    <w:adjustRightInd w:val="0"/>
                    <w:jc w:val="center"/>
                    <w:rPr>
                      <w:bCs/>
                      <w:color w:val="000000" w:themeColor="text1"/>
                      <w:spacing w:val="-10"/>
                      <w:sz w:val="21"/>
                      <w:szCs w:val="21"/>
                      <w14:textFill>
                        <w14:solidFill>
                          <w14:schemeClr w14:val="tx1"/>
                        </w14:solidFill>
                      </w14:textFill>
                    </w:rPr>
                  </w:pPr>
                  <w:r>
                    <w:rPr>
                      <w:bCs/>
                      <w:color w:val="000000" w:themeColor="text1"/>
                      <w:spacing w:val="-10"/>
                      <w:sz w:val="21"/>
                      <w:szCs w:val="21"/>
                      <w14:textFill>
                        <w14:solidFill>
                          <w14:schemeClr w14:val="tx1"/>
                        </w14:solidFill>
                      </w14:textFill>
                    </w:rPr>
                    <w:t>暂存于危险废物暂存间，危险废物暂存间应防风、防雨、防盗，地面及裙角应防渗，安装显眼合规的标识标志，危废的出库入库应做详尽的台账记录，转运需填写转移联单</w:t>
                  </w:r>
                </w:p>
              </w:tc>
            </w:tr>
          </w:tbl>
          <w:p w14:paraId="704AAE92">
            <w:pPr>
              <w:adjustRightInd w:val="0"/>
              <w:snapToGrid w:val="0"/>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2</w:t>
            </w:r>
            <w:r>
              <w:rPr>
                <w:b/>
                <w:color w:val="000000" w:themeColor="text1"/>
                <w:sz w:val="24"/>
                <w14:textFill>
                  <w14:solidFill>
                    <w14:schemeClr w14:val="tx1"/>
                  </w14:solidFill>
                </w14:textFill>
              </w:rPr>
              <w:t>、环境管理要求</w:t>
            </w:r>
          </w:p>
          <w:p w14:paraId="7C4A043E">
            <w:pPr>
              <w:adjustRightInd w:val="0"/>
              <w:snapToGrid w:val="0"/>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2</w:t>
            </w:r>
            <w:r>
              <w:rPr>
                <w:b/>
                <w:color w:val="000000" w:themeColor="text1"/>
                <w:sz w:val="24"/>
                <w14:textFill>
                  <w14:solidFill>
                    <w14:schemeClr w14:val="tx1"/>
                  </w14:solidFill>
                </w14:textFill>
              </w:rPr>
              <w:t>.1、一般固体废物暂存、处置环境管理要求</w:t>
            </w:r>
          </w:p>
          <w:p w14:paraId="548BBE6F">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①选址符合性分析</w:t>
            </w:r>
          </w:p>
          <w:p w14:paraId="63C9B0AB">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本项目原料库堆存锯木屑、尿素等，一般固废暂存库堆存生产产生的废包装材料，均属于一般工业固体废物。原料库、一般固废暂存库的选址依据《一般工业固体废物贮存和填埋污染控制标准》（GB18599-2020）中贮存场选址要求进行分析，项目原料库、一般固废暂存库周围的地质环境特征与《一般工业固体废物贮存和填埋污染控制标准》（GB18599-2020）贮存场和填埋场选址要求对比评价结果详见表4-10。</w:t>
            </w:r>
          </w:p>
          <w:p w14:paraId="2E073472">
            <w:pPr>
              <w:adjustRightInd w:val="0"/>
              <w:snapToGrid w:val="0"/>
              <w:ind w:firstLine="482"/>
              <w:jc w:val="center"/>
              <w:rPr>
                <w:b/>
                <w:color w:val="000000" w:themeColor="text1"/>
                <w14:textFill>
                  <w14:solidFill>
                    <w14:schemeClr w14:val="tx1"/>
                  </w14:solidFill>
                </w14:textFill>
              </w:rPr>
            </w:pPr>
            <w:r>
              <w:rPr>
                <w:rFonts w:hint="eastAsia"/>
                <w:b/>
                <w:color w:val="000000" w:themeColor="text1"/>
                <w14:textFill>
                  <w14:solidFill>
                    <w14:schemeClr w14:val="tx1"/>
                  </w14:solidFill>
                </w14:textFill>
              </w:rPr>
              <w:t>表4-10</w:t>
            </w:r>
            <w:r>
              <w:rPr>
                <w:b/>
                <w:color w:val="000000" w:themeColor="text1"/>
                <w14:textFill>
                  <w14:solidFill>
                    <w14:schemeClr w14:val="tx1"/>
                  </w14:solidFill>
                </w14:textFill>
              </w:rPr>
              <w:t xml:space="preserve">  </w:t>
            </w:r>
            <w:r>
              <w:rPr>
                <w:rFonts w:hint="eastAsia"/>
                <w:b/>
                <w:color w:val="000000" w:themeColor="text1"/>
                <w14:textFill>
                  <w14:solidFill>
                    <w14:schemeClr w14:val="tx1"/>
                  </w14:solidFill>
                </w14:textFill>
              </w:rPr>
              <w:t>选址的环境保护要求与本项目的符合性</w:t>
            </w:r>
          </w:p>
          <w:tbl>
            <w:tblPr>
              <w:tblStyle w:val="2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463"/>
              <w:gridCol w:w="3904"/>
              <w:gridCol w:w="1097"/>
            </w:tblGrid>
            <w:tr w14:paraId="65F740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45" w:type="pct"/>
                  <w:vAlign w:val="center"/>
                </w:tcPr>
                <w:p w14:paraId="50A92E33">
                  <w:pPr>
                    <w:adjustRightInd w:val="0"/>
                    <w:snapToGrid w:val="0"/>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选址要求</w:t>
                  </w:r>
                </w:p>
              </w:tc>
              <w:tc>
                <w:tcPr>
                  <w:tcW w:w="2305" w:type="pct"/>
                  <w:vAlign w:val="center"/>
                </w:tcPr>
                <w:p w14:paraId="2DD7D5CA">
                  <w:pPr>
                    <w:adjustRightInd w:val="0"/>
                    <w:snapToGrid w:val="0"/>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项目基本情况</w:t>
                  </w:r>
                </w:p>
              </w:tc>
              <w:tc>
                <w:tcPr>
                  <w:tcW w:w="648" w:type="pct"/>
                  <w:vAlign w:val="center"/>
                </w:tcPr>
                <w:p w14:paraId="281FEE75">
                  <w:pPr>
                    <w:adjustRightInd w:val="0"/>
                    <w:snapToGrid w:val="0"/>
                    <w:jc w:val="center"/>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符合性</w:t>
                  </w:r>
                </w:p>
              </w:tc>
            </w:tr>
            <w:tr w14:paraId="632DF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45" w:type="pct"/>
                  <w:vAlign w:val="center"/>
                </w:tcPr>
                <w:p w14:paraId="0154C531">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一般工业固体废物贮存场、填埋场的选址应符合环境保护法律法规及相关法定规划要求</w:t>
                  </w:r>
                </w:p>
              </w:tc>
              <w:tc>
                <w:tcPr>
                  <w:tcW w:w="2305" w:type="pct"/>
                  <w:vAlign w:val="center"/>
                </w:tcPr>
                <w:p w14:paraId="2E1086A7">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本项目原料库、一般固废暂存库位于原有已建的云南建工云岭水泥有限公司厂房内，场址符合环境保护法律法规及相关法规要求。</w:t>
                  </w:r>
                </w:p>
              </w:tc>
              <w:tc>
                <w:tcPr>
                  <w:tcW w:w="648" w:type="pct"/>
                  <w:vAlign w:val="center"/>
                </w:tcPr>
                <w:p w14:paraId="286ECE7C">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满足要求</w:t>
                  </w:r>
                </w:p>
              </w:tc>
            </w:tr>
            <w:tr w14:paraId="562298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45" w:type="pct"/>
                  <w:vAlign w:val="center"/>
                </w:tcPr>
                <w:p w14:paraId="785A8BDA">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贮存场、填埋场的位置与周围居民区的距离应依据环境影响评价文件及审批意见确定</w:t>
                  </w:r>
                </w:p>
              </w:tc>
              <w:tc>
                <w:tcPr>
                  <w:tcW w:w="2305" w:type="pct"/>
                  <w:vAlign w:val="center"/>
                </w:tcPr>
                <w:p w14:paraId="723C0240">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根据调查，项目周边250m范围内无村庄及居民区，距离项目最近保护目标为东面257m处的</w:t>
                  </w:r>
                  <w:r>
                    <w:rPr>
                      <w:rStyle w:val="29"/>
                      <w:rFonts w:hint="eastAsia"/>
                      <w:color w:val="000000" w:themeColor="text1"/>
                      <w14:textFill>
                        <w14:solidFill>
                          <w14:schemeClr w14:val="tx1"/>
                        </w14:solidFill>
                      </w14:textFill>
                    </w:rPr>
                    <w:t>散户2</w:t>
                  </w:r>
                  <w:r>
                    <w:rPr>
                      <w:rFonts w:hint="eastAsia"/>
                      <w:color w:val="000000" w:themeColor="text1"/>
                      <w:szCs w:val="21"/>
                      <w14:textFill>
                        <w14:solidFill>
                          <w14:schemeClr w14:val="tx1"/>
                        </w14:solidFill>
                      </w14:textFill>
                    </w:rPr>
                    <w:t>，本项目原料仅储存1个生产批次所需原料，储存量较小，无环境风险和制约因素，不需要设置防护距离，符合要求。</w:t>
                  </w:r>
                </w:p>
              </w:tc>
              <w:tc>
                <w:tcPr>
                  <w:tcW w:w="648" w:type="pct"/>
                  <w:vAlign w:val="center"/>
                </w:tcPr>
                <w:p w14:paraId="78E1248A">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满足要求</w:t>
                  </w:r>
                </w:p>
              </w:tc>
            </w:tr>
            <w:tr w14:paraId="42BD8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45" w:type="pct"/>
                  <w:vAlign w:val="center"/>
                </w:tcPr>
                <w:p w14:paraId="19D2B833">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贮存场、填埋场不得选在生态保护红线区域、永久基本农田集中区域和其他需要特别保护的区域内。</w:t>
                  </w:r>
                </w:p>
              </w:tc>
              <w:tc>
                <w:tcPr>
                  <w:tcW w:w="2305" w:type="pct"/>
                  <w:vAlign w:val="center"/>
                </w:tcPr>
                <w:p w14:paraId="246BB27D">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根据调查，项目不在生态保护红线区域、永久基本农田集中区域和其他需要特别保护的区域内。</w:t>
                  </w:r>
                </w:p>
              </w:tc>
              <w:tc>
                <w:tcPr>
                  <w:tcW w:w="648" w:type="pct"/>
                  <w:vAlign w:val="center"/>
                </w:tcPr>
                <w:p w14:paraId="19C4965F">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满足要求</w:t>
                  </w:r>
                </w:p>
              </w:tc>
            </w:tr>
            <w:tr w14:paraId="0EFA1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45" w:type="pct"/>
                  <w:vAlign w:val="center"/>
                </w:tcPr>
                <w:p w14:paraId="20E3E16A">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贮存场、填埋场应避开活动断层、溶洞区、天然滑坡或泥石流影响区以及湿地等区域。</w:t>
                  </w:r>
                </w:p>
              </w:tc>
              <w:tc>
                <w:tcPr>
                  <w:tcW w:w="2305" w:type="pct"/>
                  <w:vAlign w:val="center"/>
                </w:tcPr>
                <w:p w14:paraId="760A8BEF">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本项目位于寻甸县金所工业园区云南建工云岭水泥有限公司，根据公司地质资料，项目区域无断裂带通过，不涉及溶洞区、天然滑坡或泥石流影响区及湿地等区域；场址选择符合该条要求。</w:t>
                  </w:r>
                </w:p>
              </w:tc>
              <w:tc>
                <w:tcPr>
                  <w:tcW w:w="648" w:type="pct"/>
                  <w:vAlign w:val="center"/>
                </w:tcPr>
                <w:p w14:paraId="6C5BFA15">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满足要求</w:t>
                  </w:r>
                </w:p>
              </w:tc>
            </w:tr>
            <w:tr w14:paraId="64BAD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4" w:hRule="atLeast"/>
                <w:jc w:val="center"/>
              </w:trPr>
              <w:tc>
                <w:tcPr>
                  <w:tcW w:w="2045" w:type="pct"/>
                  <w:vAlign w:val="center"/>
                </w:tcPr>
                <w:p w14:paraId="586B18E4">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贮存场、填埋场不得选在江河、湖泊、运河、渠道、水库最高水位线以下的滩地和岸坡，以及国家和地方长远规划中的水库等人工蓄水设施的淹没区和保护区之内。</w:t>
                  </w:r>
                </w:p>
              </w:tc>
              <w:tc>
                <w:tcPr>
                  <w:tcW w:w="2305" w:type="pct"/>
                  <w:vAlign w:val="center"/>
                </w:tcPr>
                <w:p w14:paraId="54BF209F">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项目不在江河、湖泊、运河、渠道、水库最高水位线以下的滩地和岸坡，以及国家和地方长远规划中的水库等人工蓄水设施的淹没区和保护区之内；场址选择符合该条要求；</w:t>
                  </w:r>
                </w:p>
              </w:tc>
              <w:tc>
                <w:tcPr>
                  <w:tcW w:w="648" w:type="pct"/>
                  <w:vAlign w:val="center"/>
                </w:tcPr>
                <w:p w14:paraId="2EB4451E">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满足要求</w:t>
                  </w:r>
                </w:p>
              </w:tc>
            </w:tr>
            <w:tr w14:paraId="75D3A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45" w:type="pct"/>
                  <w:vAlign w:val="center"/>
                </w:tcPr>
                <w:p w14:paraId="1B42CE5E">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上述选址规定不适用于一般工业固体废物的充填和回填。</w:t>
                  </w:r>
                </w:p>
              </w:tc>
              <w:tc>
                <w:tcPr>
                  <w:tcW w:w="2305" w:type="pct"/>
                  <w:vAlign w:val="center"/>
                </w:tcPr>
                <w:p w14:paraId="68F4E3BD">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项目不属于一般工业固体废物的充填和回填。</w:t>
                  </w:r>
                </w:p>
              </w:tc>
              <w:tc>
                <w:tcPr>
                  <w:tcW w:w="648" w:type="pct"/>
                  <w:vAlign w:val="center"/>
                </w:tcPr>
                <w:p w14:paraId="6811131C">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满足要求</w:t>
                  </w:r>
                </w:p>
              </w:tc>
            </w:tr>
          </w:tbl>
          <w:p w14:paraId="42FF15EC">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②建设要求</w:t>
            </w:r>
          </w:p>
          <w:p w14:paraId="41528409">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本项目</w:t>
            </w:r>
            <w:r>
              <w:rPr>
                <w:rFonts w:hint="eastAsia"/>
                <w:bCs/>
                <w:color w:val="000000" w:themeColor="text1"/>
                <w:sz w:val="24"/>
                <w14:textFill>
                  <w14:solidFill>
                    <w14:schemeClr w14:val="tx1"/>
                  </w14:solidFill>
                </w14:textFill>
              </w:rPr>
              <w:t>原料库、一般固废暂存库应按照</w:t>
            </w:r>
            <w:r>
              <w:rPr>
                <w:bCs/>
                <w:color w:val="000000" w:themeColor="text1"/>
                <w:sz w:val="24"/>
                <w14:textFill>
                  <w14:solidFill>
                    <w14:schemeClr w14:val="tx1"/>
                  </w14:solidFill>
                </w14:textFill>
              </w:rPr>
              <w:t>《一般工业固体废物贮存与填埋污染控制标准》（GB18599-2020）</w:t>
            </w:r>
            <w:r>
              <w:rPr>
                <w:rFonts w:hint="eastAsia"/>
                <w:bCs/>
                <w:color w:val="000000" w:themeColor="text1"/>
                <w:sz w:val="24"/>
                <w14:textFill>
                  <w14:solidFill>
                    <w14:schemeClr w14:val="tx1"/>
                  </w14:solidFill>
                </w14:textFill>
              </w:rPr>
              <w:t>进行建设，</w:t>
            </w:r>
            <w:r>
              <w:rPr>
                <w:bCs/>
                <w:color w:val="000000" w:themeColor="text1"/>
                <w:sz w:val="24"/>
                <w14:textFill>
                  <w14:solidFill>
                    <w14:schemeClr w14:val="tx1"/>
                  </w14:solidFill>
                </w14:textFill>
              </w:rPr>
              <w:t>并专人负责固体废物的收集、贮存。</w:t>
            </w:r>
          </w:p>
          <w:p w14:paraId="7F431272">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A、目前地面已硬化，建设时</w:t>
            </w:r>
            <w:r>
              <w:rPr>
                <w:bCs/>
                <w:color w:val="000000" w:themeColor="text1"/>
                <w:sz w:val="24"/>
                <w14:textFill>
                  <w14:solidFill>
                    <w14:schemeClr w14:val="tx1"/>
                  </w14:solidFill>
                </w14:textFill>
              </w:rPr>
              <w:t>应</w:t>
            </w:r>
            <w:r>
              <w:rPr>
                <w:rFonts w:hint="eastAsia"/>
                <w:bCs/>
                <w:color w:val="000000" w:themeColor="text1"/>
                <w:sz w:val="24"/>
                <w14:textFill>
                  <w14:solidFill>
                    <w14:schemeClr w14:val="tx1"/>
                  </w14:solidFill>
                </w14:textFill>
              </w:rPr>
              <w:t>按照一般防渗区进行</w:t>
            </w:r>
            <w:r>
              <w:rPr>
                <w:bCs/>
                <w:color w:val="000000" w:themeColor="text1"/>
                <w:sz w:val="24"/>
                <w14:textFill>
                  <w14:solidFill>
                    <w14:schemeClr w14:val="tx1"/>
                  </w14:solidFill>
                </w14:textFill>
              </w:rPr>
              <w:t>防渗处理，</w:t>
            </w:r>
            <w:r>
              <w:rPr>
                <w:rFonts w:hint="eastAsia"/>
                <w:bCs/>
                <w:color w:val="000000" w:themeColor="text1"/>
                <w:sz w:val="24"/>
                <w14:textFill>
                  <w14:solidFill>
                    <w14:schemeClr w14:val="tx1"/>
                  </w14:solidFill>
                </w14:textFill>
              </w:rPr>
              <w:t>防渗要求满足渗透系数≤10</w:t>
            </w:r>
            <w:r>
              <w:rPr>
                <w:rFonts w:hint="eastAsia"/>
                <w:bCs/>
                <w:color w:val="000000" w:themeColor="text1"/>
                <w:sz w:val="24"/>
                <w:vertAlign w:val="superscript"/>
                <w14:textFill>
                  <w14:solidFill>
                    <w14:schemeClr w14:val="tx1"/>
                  </w14:solidFill>
                </w14:textFill>
              </w:rPr>
              <w:t>-7</w:t>
            </w:r>
            <w:r>
              <w:rPr>
                <w:rFonts w:hint="eastAsia"/>
                <w:bCs/>
                <w:color w:val="000000" w:themeColor="text1"/>
                <w:sz w:val="24"/>
                <w14:textFill>
                  <w14:solidFill>
                    <w14:schemeClr w14:val="tx1"/>
                  </w14:solidFill>
                </w14:textFill>
              </w:rPr>
              <w:t>cm/s，等效黏土防渗层Mb≥1.5m。施工时应采用具有同等隔水效力的其他人工防渗衬层进行防渗，</w:t>
            </w:r>
            <w:r>
              <w:rPr>
                <w:bCs/>
                <w:color w:val="000000" w:themeColor="text1"/>
                <w:sz w:val="24"/>
                <w14:textFill>
                  <w14:solidFill>
                    <w14:schemeClr w14:val="tx1"/>
                  </w14:solidFill>
                </w14:textFill>
              </w:rPr>
              <w:t>并做到防风、防雨；</w:t>
            </w:r>
          </w:p>
          <w:p w14:paraId="4FB53CDA">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B、</w:t>
            </w:r>
            <w:r>
              <w:rPr>
                <w:bCs/>
                <w:color w:val="000000" w:themeColor="text1"/>
                <w:sz w:val="24"/>
                <w14:textFill>
                  <w14:solidFill>
                    <w14:schemeClr w14:val="tx1"/>
                  </w14:solidFill>
                </w14:textFill>
              </w:rPr>
              <w:t>为防止雨水径流进入贮存、处置场内，贮存、处置场周边应设置导流渠；</w:t>
            </w:r>
          </w:p>
          <w:p w14:paraId="1C187573">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C、</w:t>
            </w:r>
            <w:r>
              <w:rPr>
                <w:bCs/>
                <w:color w:val="000000" w:themeColor="text1"/>
                <w:sz w:val="24"/>
                <w14:textFill>
                  <w14:solidFill>
                    <w14:schemeClr w14:val="tx1"/>
                  </w14:solidFill>
                </w14:textFill>
              </w:rPr>
              <w:t>应按GB l5562.2设置环境保护图形标志；</w:t>
            </w:r>
          </w:p>
          <w:p w14:paraId="4FD55692">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D、贮存场及填埋场在施工完毕后应保存施工报告、全套竣工图、所有材料的现场及实验室检测报告。采用高密度聚乙烯膜作为人工合成材料衬层的贮存场应提交人工防渗衬层完整性检测报告。上述材料连同施工质量保证书作为竣工环境保护验收的依据。</w:t>
            </w:r>
          </w:p>
          <w:p w14:paraId="7DBB6A29">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③管理要求</w:t>
            </w:r>
          </w:p>
          <w:p w14:paraId="43C8070A">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根据《一般工业固体废物环境管理工作指南》（环办固体函【2026】18号），</w:t>
            </w:r>
          </w:p>
          <w:p w14:paraId="427E00EC">
            <w:pPr>
              <w:adjustRightInd w:val="0"/>
              <w:snapToGrid w:val="0"/>
              <w:spacing w:line="360" w:lineRule="auto"/>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建设单位应当：</w:t>
            </w:r>
          </w:p>
          <w:p w14:paraId="1F9150F5">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A、建立涵盖全过程的一般工业固体废物污染环境防治责任制度，明确责任人员，相关人员应当熟悉一般工业固体废物管理相关法律、法规、标准、规范等和本单位的一般工业固体废物环境管理情况。</w:t>
            </w:r>
          </w:p>
          <w:p w14:paraId="77926A98">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B、建设单位不得擅自倾倒、堆放、丢弃、遗撒一般工业固体废物。</w:t>
            </w:r>
          </w:p>
          <w:p w14:paraId="3DCC04B2">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C、应按照《一般工业固体废物管理台账制定指南(试行)》和排污许可证规定，建立管理台账，全面、准确地记录一般工业固体废物的种类、数量、流向、贮存、利用、处置等信息。</w:t>
            </w:r>
          </w:p>
          <w:p w14:paraId="445411C2">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同时，本项目原料库、一般固废暂存库在运营期应符合以下要求：</w:t>
            </w:r>
          </w:p>
          <w:p w14:paraId="61133786">
            <w:pPr>
              <w:numPr>
                <w:ilvl w:val="0"/>
                <w:numId w:val="4"/>
              </w:num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建设、运行一般工业固体废物贮存场，应当执行《一般工业固体废物贮存和填埋污染控制标准》(GB 18599)等有关标准规范及环境影响评价审批文件要求。</w:t>
            </w:r>
          </w:p>
          <w:p w14:paraId="24741829">
            <w:pPr>
              <w:numPr>
                <w:ilvl w:val="0"/>
                <w:numId w:val="4"/>
              </w:num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应对照《固体废物分类与代码目录》，将一般工业固体废物分类分区贮存。</w:t>
            </w:r>
          </w:p>
          <w:p w14:paraId="145F6A89">
            <w:pPr>
              <w:numPr>
                <w:ilvl w:val="0"/>
                <w:numId w:val="4"/>
              </w:num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应在贮存设施显著位置张贴符合《环境保护图形标志一固体废物贮存(处置)场》(GB15562.2)规定的环境保护图形标志，并注明贮存的一般工业固体废物种类等信息。</w:t>
            </w:r>
          </w:p>
          <w:p w14:paraId="7A933B78">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D、采用库房、包装工具等贮存一般工业固体废物的，应根据物料特性及可能产生的环境污染风险，合理采取防扬散、防流失、防渗漏等环境保护措施。</w:t>
            </w:r>
          </w:p>
          <w:p w14:paraId="199E920C">
            <w:pPr>
              <w:adjustRightInd w:val="0"/>
              <w:snapToGrid w:val="0"/>
              <w:spacing w:line="360" w:lineRule="auto"/>
              <w:ind w:firstLine="480" w:firstLineChars="200"/>
              <w:rPr>
                <w:bCs/>
                <w:color w:val="000000" w:themeColor="text1"/>
                <w:sz w:val="24"/>
                <w14:textFill>
                  <w14:solidFill>
                    <w14:schemeClr w14:val="tx1"/>
                  </w14:solidFill>
                </w14:textFill>
              </w:rPr>
            </w:pPr>
            <w:r>
              <w:rPr>
                <w:rFonts w:hint="eastAsia"/>
                <w:bCs/>
                <w:color w:val="000000" w:themeColor="text1"/>
                <w:sz w:val="24"/>
                <w14:textFill>
                  <w14:solidFill>
                    <w14:schemeClr w14:val="tx1"/>
                  </w14:solidFill>
                </w14:textFill>
              </w:rPr>
              <w:t>E、鼓励在贮存场所出入口、磅秤位置等关键点位设置视频监控，配备智能称重设备。</w:t>
            </w:r>
          </w:p>
          <w:p w14:paraId="71401334">
            <w:pPr>
              <w:adjustRightInd w:val="0"/>
              <w:snapToGrid w:val="0"/>
              <w:spacing w:line="360" w:lineRule="auto"/>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2</w:t>
            </w:r>
            <w:r>
              <w:rPr>
                <w:b/>
                <w:bCs/>
                <w:color w:val="000000" w:themeColor="text1"/>
                <w:kern w:val="0"/>
                <w:sz w:val="24"/>
                <w14:textFill>
                  <w14:solidFill>
                    <w14:schemeClr w14:val="tx1"/>
                  </w14:solidFill>
                </w14:textFill>
              </w:rPr>
              <w:t>.2、危险废物环境管理要求</w:t>
            </w:r>
            <w:r>
              <w:rPr>
                <w:rFonts w:hint="eastAsia"/>
                <w:b/>
                <w:bCs/>
                <w:color w:val="000000" w:themeColor="text1"/>
                <w:kern w:val="0"/>
                <w:sz w:val="24"/>
                <w14:textFill>
                  <w14:solidFill>
                    <w14:schemeClr w14:val="tx1"/>
                  </w14:solidFill>
                </w14:textFill>
              </w:rPr>
              <w:t>（危险废物的收集、贮存、转运、处置要求）</w:t>
            </w:r>
          </w:p>
          <w:p w14:paraId="5AA60360">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本项目设置1间约5m</w:t>
            </w:r>
            <w:r>
              <w:rPr>
                <w:color w:val="000000" w:themeColor="text1"/>
                <w:kern w:val="0"/>
                <w:sz w:val="24"/>
                <w:vertAlign w:val="superscript"/>
                <w14:textFill>
                  <w14:solidFill>
                    <w14:schemeClr w14:val="tx1"/>
                  </w14:solidFill>
                </w14:textFill>
              </w:rPr>
              <w:t>2</w:t>
            </w:r>
            <w:r>
              <w:rPr>
                <w:color w:val="000000" w:themeColor="text1"/>
                <w:kern w:val="0"/>
                <w:sz w:val="24"/>
                <w14:textFill>
                  <w14:solidFill>
                    <w14:schemeClr w14:val="tx1"/>
                  </w14:solidFill>
                </w14:textFill>
              </w:rPr>
              <w:t>的</w:t>
            </w:r>
            <w:r>
              <w:rPr>
                <w:rFonts w:hint="eastAsia"/>
                <w:color w:val="000000" w:themeColor="text1"/>
                <w:kern w:val="0"/>
                <w:sz w:val="24"/>
                <w14:textFill>
                  <w14:solidFill>
                    <w14:schemeClr w14:val="tx1"/>
                  </w14:solidFill>
                </w14:textFill>
              </w:rPr>
              <w:t>危废暂存库</w:t>
            </w:r>
            <w:r>
              <w:rPr>
                <w:color w:val="000000" w:themeColor="text1"/>
                <w:kern w:val="0"/>
                <w:sz w:val="24"/>
                <w14:textFill>
                  <w14:solidFill>
                    <w14:schemeClr w14:val="tx1"/>
                  </w14:solidFill>
                </w14:textFill>
              </w:rPr>
              <w:t>，用于暂存项目产生的危险废物。</w:t>
            </w:r>
          </w:p>
          <w:p w14:paraId="5073FD60">
            <w:pPr>
              <w:adjustRightInd w:val="0"/>
              <w:snapToGrid w:val="0"/>
              <w:spacing w:line="360" w:lineRule="auto"/>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2.2.1</w:t>
            </w:r>
            <w:r>
              <w:rPr>
                <w:b/>
                <w:bCs/>
                <w:color w:val="000000" w:themeColor="text1"/>
                <w:kern w:val="0"/>
                <w:sz w:val="24"/>
                <w14:textFill>
                  <w14:solidFill>
                    <w14:schemeClr w14:val="tx1"/>
                  </w14:solidFill>
                </w14:textFill>
              </w:rPr>
              <w:t>危险废物暂存规范要求</w:t>
            </w:r>
          </w:p>
          <w:p w14:paraId="10D78E49">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①</w:t>
            </w:r>
            <w:r>
              <w:rPr>
                <w:rFonts w:hint="eastAsia"/>
                <w:color w:val="000000" w:themeColor="text1"/>
                <w14:textFill>
                  <w14:solidFill>
                    <w14:schemeClr w14:val="tx1"/>
                  </w14:solidFill>
                </w14:textFill>
              </w:rPr>
              <w:t>危废暂存库</w:t>
            </w:r>
            <w:r>
              <w:rPr>
                <w:color w:val="000000" w:themeColor="text1"/>
                <w14:textFill>
                  <w14:solidFill>
                    <w14:schemeClr w14:val="tx1"/>
                  </w14:solidFill>
                </w14:textFill>
              </w:rPr>
              <w:t>要独立、密闭，上锁防盗，仓库内要有安全照明设施和观察窗口，</w:t>
            </w:r>
            <w:r>
              <w:rPr>
                <w:rFonts w:hint="eastAsia"/>
                <w:color w:val="000000" w:themeColor="text1"/>
                <w14:textFill>
                  <w14:solidFill>
                    <w14:schemeClr w14:val="tx1"/>
                  </w14:solidFill>
                </w14:textFill>
              </w:rPr>
              <w:t>危废暂存库</w:t>
            </w:r>
            <w:r>
              <w:rPr>
                <w:color w:val="000000" w:themeColor="text1"/>
                <w14:textFill>
                  <w14:solidFill>
                    <w14:schemeClr w14:val="tx1"/>
                  </w14:solidFill>
                </w14:textFill>
              </w:rPr>
              <w:t>管理责任制要上墙；</w:t>
            </w:r>
          </w:p>
          <w:p w14:paraId="1B7816E8">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②</w:t>
            </w:r>
            <w:r>
              <w:rPr>
                <w:rFonts w:hint="eastAsia"/>
                <w:color w:val="000000" w:themeColor="text1"/>
                <w14:textFill>
                  <w14:solidFill>
                    <w14:schemeClr w14:val="tx1"/>
                  </w14:solidFill>
                </w14:textFill>
              </w:rPr>
              <w:t>危废暂存库</w:t>
            </w:r>
            <w:r>
              <w:rPr>
                <w:color w:val="000000" w:themeColor="text1"/>
                <w14:textFill>
                  <w14:solidFill>
                    <w14:schemeClr w14:val="tx1"/>
                  </w14:solidFill>
                </w14:textFill>
              </w:rPr>
              <w:t>地面要防渗，顶部防水、防晒；地面与裙脚要用坚固、防渗的材料建造，建筑材料必须与危险废物相容，门口要设置围堰；</w:t>
            </w:r>
          </w:p>
          <w:p w14:paraId="404874CB">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③</w:t>
            </w:r>
            <w:r>
              <w:rPr>
                <w:color w:val="000000" w:themeColor="text1"/>
                <w14:textFill>
                  <w14:solidFill>
                    <w14:schemeClr w14:val="tx1"/>
                  </w14:solidFill>
                </w14:textFill>
              </w:rPr>
              <w:t>存放危废为液体的仓库内必须有泄漏液体收集装置（例如托盘、导流沟、收集池），存放危废为具有挥发性气体的仓库内必须有导出口及气体净化装置；</w:t>
            </w:r>
          </w:p>
          <w:p w14:paraId="087BC269">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④</w:t>
            </w:r>
            <w:r>
              <w:rPr>
                <w:color w:val="000000" w:themeColor="text1"/>
                <w14:textFill>
                  <w14:solidFill>
                    <w14:schemeClr w14:val="tx1"/>
                  </w14:solidFill>
                </w14:textFill>
              </w:rPr>
              <w:t>仓库门上要张贴包含所有危废的标识、标牌，仓库内对应墙上有标识，无法装入常用容器的危险废物可用防漏胶袋等盛装，包装上应有标签；</w:t>
            </w:r>
          </w:p>
          <w:p w14:paraId="03826764">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⑤</w:t>
            </w:r>
            <w:r>
              <w:rPr>
                <w:color w:val="000000" w:themeColor="text1"/>
                <w14:textFill>
                  <w14:solidFill>
                    <w14:schemeClr w14:val="tx1"/>
                  </w14:solidFill>
                </w14:textFill>
              </w:rPr>
              <w:t>危废和一般固废不能混存，不同危废分开存放并设置隔断隔离；</w:t>
            </w:r>
          </w:p>
          <w:p w14:paraId="6DC5D29F">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⑥</w:t>
            </w:r>
            <w:r>
              <w:rPr>
                <w:color w:val="000000" w:themeColor="text1"/>
                <w14:textFill>
                  <w14:solidFill>
                    <w14:schemeClr w14:val="tx1"/>
                  </w14:solidFill>
                </w14:textFill>
              </w:rPr>
              <w:t>仓库现场要有危废产生台账和转移联单，在危险废物回取后应继续保留三年；</w:t>
            </w:r>
          </w:p>
          <w:p w14:paraId="210B4E70">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⑦</w:t>
            </w:r>
            <w:r>
              <w:rPr>
                <w:color w:val="000000" w:themeColor="text1"/>
                <w14:textFill>
                  <w14:solidFill>
                    <w14:schemeClr w14:val="tx1"/>
                  </w14:solidFill>
                </w14:textFill>
              </w:rPr>
              <w:t>装载液体、半固体危险废物的容器内须留足够空间，容器顶部与液体表面之间保留100毫米以上的空间。用以存放装载液体、半固体危险废物容器的地方，必须有耐腐蚀的硬化地面，且表面无裂隙；</w:t>
            </w:r>
          </w:p>
          <w:p w14:paraId="29CD934E">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⑧</w:t>
            </w:r>
            <w:r>
              <w:rPr>
                <w:rFonts w:hint="eastAsia"/>
                <w:color w:val="000000" w:themeColor="text1"/>
                <w14:textFill>
                  <w14:solidFill>
                    <w14:schemeClr w14:val="tx1"/>
                  </w14:solidFill>
                </w14:textFill>
              </w:rPr>
              <w:t>危废暂存库</w:t>
            </w:r>
            <w:r>
              <w:rPr>
                <w:color w:val="000000" w:themeColor="text1"/>
                <w14:textFill>
                  <w14:solidFill>
                    <w14:schemeClr w14:val="tx1"/>
                  </w14:solidFill>
                </w14:textFill>
              </w:rPr>
              <w:t>需按照“双人双锁”制度管理（两把钥匙分别由两个危废负责人管理，不得一人管理）。</w:t>
            </w:r>
          </w:p>
          <w:p w14:paraId="3D3FA6EB">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⑨</w:t>
            </w:r>
            <w:r>
              <w:rPr>
                <w:color w:val="000000" w:themeColor="text1"/>
                <w14:textFill>
                  <w14:solidFill>
                    <w14:schemeClr w14:val="tx1"/>
                  </w14:solidFill>
                </w14:textFill>
              </w:rPr>
              <w:t>根据《中华人民共和国固体废物污染环境防治法》相关条款的规定：不设置危险废物识别标志的，处1-10万罚款；不正常使用污染处理设施，或未经环保部门批准拆除、闲置污染治理设施的，处2-20万元罚款；将危废提供或者委托给无经营许可证的单位从事经营活动的，处2-20万元处罚；不按规定填写危废转移联单或未经批准擅自转移危废的，处5-20万元处罚；将危废混入非危险废物中储存的，处3-10万元处罚；未经安全性处置，混合收集、储存、运输、处置具有不相容性质的危废的，处3-10万元处罚；为采取相应防范措施，造成危废扬散、流失、渗漏或造成其他环境污染的，处3-10万元处罚；在运输过程中沿途丢弃、以三维非得，处3-10万元处罚；未制定危废意外事故防范措施和应急预案的，处3-10万元处罚。</w:t>
            </w:r>
          </w:p>
          <w:p w14:paraId="29B420CF">
            <w:pPr>
              <w:adjustRightInd w:val="0"/>
              <w:snapToGrid w:val="0"/>
              <w:spacing w:line="360" w:lineRule="auto"/>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2.2.2危废暂存库</w:t>
            </w:r>
            <w:r>
              <w:rPr>
                <w:b/>
                <w:bCs/>
                <w:color w:val="000000" w:themeColor="text1"/>
                <w:kern w:val="0"/>
                <w:sz w:val="24"/>
                <w14:textFill>
                  <w14:solidFill>
                    <w14:schemeClr w14:val="tx1"/>
                  </w14:solidFill>
                </w14:textFill>
              </w:rPr>
              <w:t>标志标牌：</w:t>
            </w:r>
          </w:p>
          <w:p w14:paraId="38E46FC4">
            <w:pPr>
              <w:adjustRightInd w:val="0"/>
              <w:snapToGrid w:val="0"/>
              <w:spacing w:line="360" w:lineRule="auto"/>
              <w:ind w:firstLine="482" w:firstLineChars="200"/>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标识如下：</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13"/>
              <w:gridCol w:w="3013"/>
              <w:gridCol w:w="3013"/>
            </w:tblGrid>
            <w:tr w14:paraId="120B1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013" w:type="dxa"/>
                  <w:vAlign w:val="center"/>
                </w:tcPr>
                <w:p w14:paraId="42216794">
                  <w:pPr>
                    <w:adjustRightInd w:val="0"/>
                    <w:snapToGrid w:val="0"/>
                    <w:jc w:val="center"/>
                    <w:rPr>
                      <w:color w:val="000000" w:themeColor="text1"/>
                      <w:kern w:val="0"/>
                      <w:sz w:val="24"/>
                      <w14:textFill>
                        <w14:solidFill>
                          <w14:schemeClr w14:val="tx1"/>
                        </w14:solidFill>
                      </w14:textFill>
                    </w:rPr>
                  </w:pPr>
                  <w:r>
                    <w:rPr>
                      <w:color w:val="000000" w:themeColor="text1"/>
                      <w:sz w:val="28"/>
                      <w:szCs w:val="28"/>
                      <w14:textFill>
                        <w14:solidFill>
                          <w14:schemeClr w14:val="tx1"/>
                        </w14:solidFill>
                      </w14:textFill>
                    </w:rPr>
                    <w:fldChar w:fldCharType="begin"/>
                  </w:r>
                  <w:r>
                    <w:rPr>
                      <w:color w:val="000000" w:themeColor="text1"/>
                      <w:sz w:val="28"/>
                      <w:szCs w:val="28"/>
                      <w14:textFill>
                        <w14:solidFill>
                          <w14:schemeClr w14:val="tx1"/>
                        </w14:solidFill>
                      </w14:textFill>
                    </w:rPr>
                    <w:instrText xml:space="preserve"> INCLUDEPICTURE "C:\\Users\\ADMINI~1\\AppData\\Local\\Temp\\ksohtml2660\\wps2.png" \* MERGEFORMATINET </w:instrText>
                  </w:r>
                  <w:r>
                    <w:rPr>
                      <w:color w:val="000000" w:themeColor="text1"/>
                      <w:sz w:val="28"/>
                      <w:szCs w:val="28"/>
                      <w14:textFill>
                        <w14:solidFill>
                          <w14:schemeClr w14:val="tx1"/>
                        </w14:solidFill>
                      </w14:textFill>
                    </w:rPr>
                    <w:fldChar w:fldCharType="separate"/>
                  </w:r>
                  <w:r>
                    <w:rPr>
                      <w:color w:val="000000" w:themeColor="text1"/>
                      <w:sz w:val="28"/>
                      <w:szCs w:val="28"/>
                      <w14:textFill>
                        <w14:solidFill>
                          <w14:schemeClr w14:val="tx1"/>
                        </w14:solidFill>
                      </w14:textFill>
                    </w:rPr>
                    <w:drawing>
                      <wp:inline distT="0" distB="0" distL="114300" distR="114300">
                        <wp:extent cx="1828800" cy="2557145"/>
                        <wp:effectExtent l="0" t="0" r="0" b="14605"/>
                        <wp:docPr id="12" name="图片 6" descr="wp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descr="wps2"/>
                                <pic:cNvPicPr>
                                  <a:picLocks noChangeAspect="1"/>
                                </pic:cNvPicPr>
                              </pic:nvPicPr>
                              <pic:blipFill>
                                <a:blip r:embed="rId29"/>
                                <a:stretch>
                                  <a:fillRect/>
                                </a:stretch>
                              </pic:blipFill>
                              <pic:spPr>
                                <a:xfrm>
                                  <a:off x="0" y="0"/>
                                  <a:ext cx="1828800" cy="2557145"/>
                                </a:xfrm>
                                <a:prstGeom prst="rect">
                                  <a:avLst/>
                                </a:prstGeom>
                                <a:noFill/>
                                <a:ln>
                                  <a:noFill/>
                                </a:ln>
                              </pic:spPr>
                            </pic:pic>
                          </a:graphicData>
                        </a:graphic>
                      </wp:inline>
                    </w:drawing>
                  </w:r>
                  <w:r>
                    <w:rPr>
                      <w:color w:val="000000" w:themeColor="text1"/>
                      <w:sz w:val="28"/>
                      <w:szCs w:val="28"/>
                      <w14:textFill>
                        <w14:solidFill>
                          <w14:schemeClr w14:val="tx1"/>
                        </w14:solidFill>
                      </w14:textFill>
                    </w:rPr>
                    <w:fldChar w:fldCharType="end"/>
                  </w:r>
                </w:p>
              </w:tc>
              <w:tc>
                <w:tcPr>
                  <w:tcW w:w="3013" w:type="dxa"/>
                  <w:vAlign w:val="center"/>
                </w:tcPr>
                <w:p w14:paraId="2757D6D3">
                  <w:pPr>
                    <w:adjustRightInd w:val="0"/>
                    <w:snapToGrid w:val="0"/>
                    <w:jc w:val="center"/>
                    <w:rPr>
                      <w:color w:val="000000" w:themeColor="text1"/>
                      <w:kern w:val="0"/>
                      <w:sz w:val="24"/>
                      <w14:textFill>
                        <w14:solidFill>
                          <w14:schemeClr w14:val="tx1"/>
                        </w14:solidFill>
                      </w14:textFill>
                    </w:rPr>
                  </w:pPr>
                  <w:r>
                    <w:rPr>
                      <w:color w:val="000000" w:themeColor="text1"/>
                      <w14:textFill>
                        <w14:solidFill>
                          <w14:schemeClr w14:val="tx1"/>
                        </w14:solidFill>
                      </w14:textFill>
                    </w:rPr>
                    <w:drawing>
                      <wp:inline distT="0" distB="0" distL="114300" distR="114300">
                        <wp:extent cx="1895475" cy="2163445"/>
                        <wp:effectExtent l="0" t="0" r="9525" b="8255"/>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30"/>
                                <a:stretch>
                                  <a:fillRect/>
                                </a:stretch>
                              </pic:blipFill>
                              <pic:spPr>
                                <a:xfrm>
                                  <a:off x="0" y="0"/>
                                  <a:ext cx="1895475" cy="2163445"/>
                                </a:xfrm>
                                <a:prstGeom prst="rect">
                                  <a:avLst/>
                                </a:prstGeom>
                                <a:noFill/>
                                <a:ln>
                                  <a:noFill/>
                                </a:ln>
                              </pic:spPr>
                            </pic:pic>
                          </a:graphicData>
                        </a:graphic>
                      </wp:inline>
                    </w:drawing>
                  </w:r>
                </w:p>
              </w:tc>
              <w:tc>
                <w:tcPr>
                  <w:tcW w:w="3013" w:type="dxa"/>
                  <w:vAlign w:val="center"/>
                </w:tcPr>
                <w:p w14:paraId="5C7BF34E">
                  <w:pPr>
                    <w:adjustRightInd w:val="0"/>
                    <w:snapToGrid w:val="0"/>
                    <w:jc w:val="center"/>
                    <w:rPr>
                      <w:color w:val="000000" w:themeColor="text1"/>
                      <w:kern w:val="0"/>
                      <w:sz w:val="24"/>
                      <w14:textFill>
                        <w14:solidFill>
                          <w14:schemeClr w14:val="tx1"/>
                        </w14:solidFill>
                      </w14:textFill>
                    </w:rPr>
                  </w:pPr>
                  <w:r>
                    <w:rPr>
                      <w:color w:val="000000" w:themeColor="text1"/>
                      <w14:textFill>
                        <w14:solidFill>
                          <w14:schemeClr w14:val="tx1"/>
                        </w14:solidFill>
                      </w14:textFill>
                    </w:rPr>
                    <w:drawing>
                      <wp:inline distT="0" distB="0" distL="114300" distR="114300">
                        <wp:extent cx="1696720" cy="2548255"/>
                        <wp:effectExtent l="0" t="0" r="17780" b="4445"/>
                        <wp:docPr id="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
                                <pic:cNvPicPr>
                                  <a:picLocks noChangeAspect="1"/>
                                </pic:cNvPicPr>
                              </pic:nvPicPr>
                              <pic:blipFill>
                                <a:blip r:embed="rId31"/>
                                <a:srcRect l="5328" r="2432"/>
                                <a:stretch>
                                  <a:fillRect/>
                                </a:stretch>
                              </pic:blipFill>
                              <pic:spPr>
                                <a:xfrm>
                                  <a:off x="0" y="0"/>
                                  <a:ext cx="1696720" cy="2548255"/>
                                </a:xfrm>
                                <a:prstGeom prst="rect">
                                  <a:avLst/>
                                </a:prstGeom>
                                <a:noFill/>
                                <a:ln>
                                  <a:noFill/>
                                </a:ln>
                              </pic:spPr>
                            </pic:pic>
                          </a:graphicData>
                        </a:graphic>
                      </wp:inline>
                    </w:drawing>
                  </w:r>
                </w:p>
              </w:tc>
            </w:tr>
            <w:tr w14:paraId="7557B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013" w:type="dxa"/>
                  <w:vAlign w:val="center"/>
                </w:tcPr>
                <w:p w14:paraId="53C9B34A">
                  <w:pPr>
                    <w:adjustRightInd w:val="0"/>
                    <w:snapToGrid w:val="0"/>
                    <w:jc w:val="center"/>
                    <w:rPr>
                      <w:b/>
                      <w:bCs/>
                      <w:color w:val="000000" w:themeColor="text1"/>
                      <w:kern w:val="0"/>
                      <w:sz w:val="22"/>
                      <w:szCs w:val="22"/>
                      <w14:textFill>
                        <w14:solidFill>
                          <w14:schemeClr w14:val="tx1"/>
                        </w14:solidFill>
                      </w14:textFill>
                    </w:rPr>
                  </w:pPr>
                  <w:r>
                    <w:rPr>
                      <w:b/>
                      <w:bCs/>
                      <w:color w:val="000000" w:themeColor="text1"/>
                      <w:kern w:val="0"/>
                      <w:sz w:val="22"/>
                      <w:szCs w:val="22"/>
                      <w14:textFill>
                        <w14:solidFill>
                          <w14:schemeClr w14:val="tx1"/>
                        </w14:solidFill>
                      </w14:textFill>
                    </w:rPr>
                    <w:t>废矿物油标签</w:t>
                  </w:r>
                  <w:r>
                    <w:rPr>
                      <w:rFonts w:hint="eastAsia"/>
                      <w:b/>
                      <w:bCs/>
                      <w:color w:val="000000" w:themeColor="text1"/>
                      <w:kern w:val="0"/>
                      <w:sz w:val="22"/>
                      <w:szCs w:val="22"/>
                      <w14:textFill>
                        <w14:solidFill>
                          <w14:schemeClr w14:val="tx1"/>
                        </w14:solidFill>
                      </w14:textFill>
                    </w:rPr>
                    <w:t>（适合于室内粘贴的危险废物标签）</w:t>
                  </w:r>
                </w:p>
              </w:tc>
              <w:tc>
                <w:tcPr>
                  <w:tcW w:w="3013" w:type="dxa"/>
                  <w:vAlign w:val="center"/>
                </w:tcPr>
                <w:p w14:paraId="48EAD84B">
                  <w:pPr>
                    <w:adjustRightInd w:val="0"/>
                    <w:snapToGrid w:val="0"/>
                    <w:jc w:val="center"/>
                    <w:rPr>
                      <w:b/>
                      <w:bCs/>
                      <w:color w:val="000000" w:themeColor="text1"/>
                      <w:kern w:val="0"/>
                      <w:sz w:val="22"/>
                      <w:szCs w:val="22"/>
                      <w14:textFill>
                        <w14:solidFill>
                          <w14:schemeClr w14:val="tx1"/>
                        </w14:solidFill>
                      </w14:textFill>
                    </w:rPr>
                  </w:pPr>
                  <w:r>
                    <w:rPr>
                      <w:b/>
                      <w:bCs/>
                      <w:color w:val="000000" w:themeColor="text1"/>
                      <w:kern w:val="0"/>
                      <w:sz w:val="22"/>
                      <w:szCs w:val="22"/>
                      <w14:textFill>
                        <w14:solidFill>
                          <w14:schemeClr w14:val="tx1"/>
                        </w14:solidFill>
                      </w14:textFill>
                    </w:rPr>
                    <w:t>危险废物贮存分区标志</w:t>
                  </w:r>
                </w:p>
              </w:tc>
              <w:tc>
                <w:tcPr>
                  <w:tcW w:w="3013" w:type="dxa"/>
                  <w:vAlign w:val="center"/>
                </w:tcPr>
                <w:p w14:paraId="33626465">
                  <w:pPr>
                    <w:adjustRightInd w:val="0"/>
                    <w:snapToGrid w:val="0"/>
                    <w:jc w:val="center"/>
                    <w:rPr>
                      <w:b/>
                      <w:bCs/>
                      <w:color w:val="000000" w:themeColor="text1"/>
                      <w:kern w:val="0"/>
                      <w:sz w:val="22"/>
                      <w:szCs w:val="22"/>
                      <w14:textFill>
                        <w14:solidFill>
                          <w14:schemeClr w14:val="tx1"/>
                        </w14:solidFill>
                      </w14:textFill>
                    </w:rPr>
                  </w:pPr>
                  <w:r>
                    <w:rPr>
                      <w:rFonts w:hint="eastAsia"/>
                      <w:b/>
                      <w:bCs/>
                      <w:color w:val="000000" w:themeColor="text1"/>
                      <w:kern w:val="0"/>
                      <w:sz w:val="22"/>
                      <w:szCs w:val="22"/>
                      <w14:textFill>
                        <w14:solidFill>
                          <w14:schemeClr w14:val="tx1"/>
                        </w14:solidFill>
                      </w14:textFill>
                    </w:rPr>
                    <w:t>危废暂存库</w:t>
                  </w:r>
                  <w:r>
                    <w:rPr>
                      <w:b/>
                      <w:bCs/>
                      <w:color w:val="000000" w:themeColor="text1"/>
                      <w:kern w:val="0"/>
                      <w:sz w:val="22"/>
                      <w:szCs w:val="22"/>
                      <w14:textFill>
                        <w14:solidFill>
                          <w14:schemeClr w14:val="tx1"/>
                        </w14:solidFill>
                      </w14:textFill>
                    </w:rPr>
                    <w:t>标志标牌</w:t>
                  </w:r>
                  <w:r>
                    <w:rPr>
                      <w:rFonts w:hint="eastAsia"/>
                      <w:b/>
                      <w:bCs/>
                      <w:color w:val="000000" w:themeColor="text1"/>
                      <w:kern w:val="0"/>
                      <w:sz w:val="22"/>
                      <w:szCs w:val="22"/>
                      <w14:textFill>
                        <w14:solidFill>
                          <w14:schemeClr w14:val="tx1"/>
                        </w14:solidFill>
                      </w14:textFill>
                    </w:rPr>
                    <w:t>（门外）</w:t>
                  </w:r>
                </w:p>
              </w:tc>
            </w:tr>
          </w:tbl>
          <w:p w14:paraId="2E664F05">
            <w:pPr>
              <w:adjustRightInd w:val="0"/>
              <w:snapToGrid w:val="0"/>
              <w:spacing w:line="360" w:lineRule="auto"/>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2.2.3危废暂存库</w:t>
            </w:r>
            <w:r>
              <w:rPr>
                <w:b/>
                <w:bCs/>
                <w:color w:val="000000" w:themeColor="text1"/>
                <w:kern w:val="0"/>
                <w:sz w:val="24"/>
                <w14:textFill>
                  <w14:solidFill>
                    <w14:schemeClr w14:val="tx1"/>
                  </w14:solidFill>
                </w14:textFill>
              </w:rPr>
              <w:t>防渗要求</w:t>
            </w:r>
          </w:p>
          <w:p w14:paraId="5259EFF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项目重点污染防治区主要是</w:t>
            </w:r>
            <w:r>
              <w:rPr>
                <w:rFonts w:hint="eastAsia"/>
                <w:color w:val="000000" w:themeColor="text1"/>
                <w:sz w:val="24"/>
                <w14:textFill>
                  <w14:solidFill>
                    <w14:schemeClr w14:val="tx1"/>
                  </w14:solidFill>
                </w14:textFill>
              </w:rPr>
              <w:t>危废暂存库</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目前场地已硬化，建设施工时应</w:t>
            </w:r>
            <w:r>
              <w:rPr>
                <w:color w:val="000000" w:themeColor="text1"/>
                <w:sz w:val="24"/>
                <w14:textFill>
                  <w14:solidFill>
                    <w14:schemeClr w14:val="tx1"/>
                  </w14:solidFill>
                </w14:textFill>
              </w:rPr>
              <w:t>按照《危险废物贮存污染控制标准》（GB18597-2023）进行防渗设计。重点污染区防渗要求：</w:t>
            </w:r>
          </w:p>
          <w:p w14:paraId="2200458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操作条件下的单位面积渗透量不大于厚度为6m、饱和渗透系数&lt;l0</w:t>
            </w:r>
            <w:r>
              <w:rPr>
                <w:color w:val="000000" w:themeColor="text1"/>
                <w:sz w:val="24"/>
                <w:vertAlign w:val="superscript"/>
                <w14:textFill>
                  <w14:solidFill>
                    <w14:schemeClr w14:val="tx1"/>
                  </w14:solidFill>
                </w14:textFill>
              </w:rPr>
              <w:t>-7</w:t>
            </w:r>
            <w:r>
              <w:rPr>
                <w:color w:val="000000" w:themeColor="text1"/>
                <w:sz w:val="24"/>
                <w14:textFill>
                  <w14:solidFill>
                    <w14:schemeClr w14:val="tx1"/>
                  </w14:solidFill>
                </w14:textFill>
              </w:rPr>
              <w:t>cm/s层的渗透量，防渗能力与《危险废物贮存污染控制标准》(GB18597-2023)第6.1.4条等效。防渗可参照一下规定进行防渗：</w:t>
            </w:r>
          </w:p>
          <w:p w14:paraId="671E5A0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A、地面防渗层可采用抗渗混凝土、高密度聚乙烯（HDPE）膜、钠基膨润土防水毯或其他防渗性能等效的材料。</w:t>
            </w:r>
          </w:p>
          <w:p w14:paraId="099CDA07">
            <w:pPr>
              <w:spacing w:line="360" w:lineRule="auto"/>
              <w:ind w:firstLine="480" w:firstLineChars="200"/>
              <w:rPr>
                <w:bCs/>
                <w:color w:val="000000" w:themeColor="text1"/>
                <w:sz w:val="24"/>
                <w14:textFill>
                  <w14:solidFill>
                    <w14:schemeClr w14:val="tx1"/>
                  </w14:solidFill>
                </w14:textFill>
              </w:rPr>
            </w:pPr>
            <w:r>
              <w:rPr>
                <w:color w:val="000000" w:themeColor="text1"/>
                <w:sz w:val="24"/>
                <w14:textFill>
                  <w14:solidFill>
                    <w14:schemeClr w14:val="tx1"/>
                  </w14:solidFill>
                </w14:textFill>
              </w:rPr>
              <w:t>B、混凝土防渗层可采用抗渗钢纤维混凝土、抗渗合成纤维混凝土、抗渗钢筋混凝土和抗渗素混凝土。</w:t>
            </w:r>
          </w:p>
          <w:p w14:paraId="7294E258">
            <w:pPr>
              <w:spacing w:line="360" w:lineRule="auto"/>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2.2.4危废暂存库</w:t>
            </w:r>
            <w:r>
              <w:rPr>
                <w:b/>
                <w:bCs/>
                <w:color w:val="000000" w:themeColor="text1"/>
                <w:sz w:val="24"/>
                <w14:textFill>
                  <w14:solidFill>
                    <w14:schemeClr w14:val="tx1"/>
                  </w14:solidFill>
                </w14:textFill>
              </w:rPr>
              <w:t>内张贴</w:t>
            </w:r>
          </w:p>
          <w:p w14:paraId="440BEA98">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①</w:t>
            </w:r>
            <w:r>
              <w:rPr>
                <w:color w:val="000000" w:themeColor="text1"/>
                <w14:textFill>
                  <w14:solidFill>
                    <w14:schemeClr w14:val="tx1"/>
                  </w14:solidFill>
                </w14:textFill>
              </w:rPr>
              <w:t>危险废物污染环境防治责任制度；</w:t>
            </w:r>
          </w:p>
          <w:p w14:paraId="37526895">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②</w:t>
            </w:r>
            <w:r>
              <w:rPr>
                <w:color w:val="000000" w:themeColor="text1"/>
                <w14:textFill>
                  <w14:solidFill>
                    <w14:schemeClr w14:val="tx1"/>
                  </w14:solidFill>
                </w14:textFill>
              </w:rPr>
              <w:t>危险废物环境污染应急预案（各个企业根据本企业制定的应急预案粘贴）。</w:t>
            </w:r>
          </w:p>
          <w:p w14:paraId="62BA6CC6">
            <w:pPr>
              <w:spacing w:line="360" w:lineRule="auto"/>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2.2.5</w:t>
            </w:r>
            <w:r>
              <w:rPr>
                <w:b/>
                <w:bCs/>
                <w:color w:val="000000" w:themeColor="text1"/>
                <w:sz w:val="24"/>
                <w14:textFill>
                  <w14:solidFill>
                    <w14:schemeClr w14:val="tx1"/>
                  </w14:solidFill>
                </w14:textFill>
              </w:rPr>
              <w:t>危险废物污染环境防治责任制度模板</w:t>
            </w:r>
          </w:p>
          <w:p w14:paraId="435C99D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（一）遵循环境保护“预防为主、防治结合”的工作方针，做到生产建设与保护环境同步规划、同步实施、同步发展，实现经济效益、社会效益与环境效益的有机统一。</w:t>
            </w:r>
          </w:p>
          <w:p w14:paraId="5AD4713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（二）公司法人是危险废物环境污染防治工作第一责任人，对全公司环境保护工作负全面的领导责任，并领导其稳步向前发展。</w:t>
            </w:r>
          </w:p>
          <w:p w14:paraId="0279350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（三）公司设立危险废物污染环境防治工作领导小组，对公司的各项环境保护工作进行决策、监督和协调。</w:t>
            </w:r>
          </w:p>
          <w:p w14:paraId="6EF1D6A4">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组长：企业负责人</w:t>
            </w:r>
          </w:p>
          <w:p w14:paraId="3660925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副组长：企业环保分管负责人</w:t>
            </w:r>
          </w:p>
          <w:p w14:paraId="5752FFDB">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组员：相关科室负责人和应急救援负责人</w:t>
            </w:r>
          </w:p>
          <w:p w14:paraId="7458FDE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（四）在组长的领导下，落实各项环境污染防治与保护工作。</w:t>
            </w:r>
          </w:p>
          <w:p w14:paraId="4FBD5BEA">
            <w:pPr>
              <w:spacing w:line="360" w:lineRule="auto"/>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2.2.6</w:t>
            </w:r>
            <w:r>
              <w:rPr>
                <w:b/>
                <w:bCs/>
                <w:color w:val="000000" w:themeColor="text1"/>
                <w:sz w:val="24"/>
                <w14:textFill>
                  <w14:solidFill>
                    <w14:schemeClr w14:val="tx1"/>
                  </w14:solidFill>
                </w14:textFill>
              </w:rPr>
              <w:t>危险废物的收集、贮存、转移、利用、处置工作，必须遵守国家规定。</w:t>
            </w:r>
          </w:p>
          <w:p w14:paraId="3FD73028">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①</w:t>
            </w:r>
            <w:r>
              <w:rPr>
                <w:color w:val="000000" w:themeColor="text1"/>
                <w14:textFill>
                  <w14:solidFill>
                    <w14:schemeClr w14:val="tx1"/>
                  </w14:solidFill>
                </w14:textFill>
              </w:rPr>
              <w:t>禁止向环境中倾倒、堆放危险废物。</w:t>
            </w:r>
          </w:p>
          <w:p w14:paraId="5DE89822">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②</w:t>
            </w:r>
            <w:r>
              <w:rPr>
                <w:color w:val="000000" w:themeColor="text1"/>
                <w14:textFill>
                  <w14:solidFill>
                    <w14:schemeClr w14:val="tx1"/>
                  </w14:solidFill>
                </w14:textFill>
              </w:rPr>
              <w:t>禁止将危险废物混入非危险废物中贮存、转移或处置。</w:t>
            </w:r>
          </w:p>
          <w:p w14:paraId="759BCCC2">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③</w:t>
            </w:r>
            <w:r>
              <w:rPr>
                <w:color w:val="000000" w:themeColor="text1"/>
                <w14:textFill>
                  <w14:solidFill>
                    <w14:schemeClr w14:val="tx1"/>
                  </w14:solidFill>
                </w14:textFill>
              </w:rPr>
              <w:t>危险废物的收集容器、转移工具等要有明显的标志。</w:t>
            </w:r>
          </w:p>
          <w:p w14:paraId="2584B928">
            <w:pPr>
              <w:spacing w:line="360" w:lineRule="auto"/>
              <w:ind w:firstLine="482" w:firstLineChars="200"/>
              <w:rPr>
                <w:b/>
                <w:bCs/>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2.2.7</w:t>
            </w:r>
            <w:r>
              <w:rPr>
                <w:b/>
                <w:bCs/>
                <w:color w:val="000000" w:themeColor="text1"/>
                <w:sz w:val="24"/>
                <w14:textFill>
                  <w14:solidFill>
                    <w14:schemeClr w14:val="tx1"/>
                  </w14:solidFill>
                </w14:textFill>
              </w:rPr>
              <w:t>危险废物收集、贮存及环境管理要求</w:t>
            </w:r>
          </w:p>
          <w:p w14:paraId="057D1E9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危险废物在厂内收集、贮存应该按照国家环境保护总局令第5号《危险废物转移联单管理办法》及《危险废物收集贮存运输技术规范》（HJ 2025-2012）相关要求严格执行，具体要求如下：</w:t>
            </w:r>
          </w:p>
          <w:p w14:paraId="327D54C1">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①</w:t>
            </w:r>
            <w:r>
              <w:rPr>
                <w:color w:val="000000" w:themeColor="text1"/>
                <w14:textFill>
                  <w14:solidFill>
                    <w14:schemeClr w14:val="tx1"/>
                  </w14:solidFill>
                </w14:textFill>
              </w:rPr>
              <w:t>危险废物收集时应根据危险废物的数量、危险特性、物理形态等因素确定包装形式，包装材料要与危险废物相容。</w:t>
            </w:r>
          </w:p>
          <w:p w14:paraId="140780B6">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②</w:t>
            </w:r>
            <w:r>
              <w:rPr>
                <w:color w:val="000000" w:themeColor="text1"/>
                <w14:textFill>
                  <w14:solidFill>
                    <w14:schemeClr w14:val="tx1"/>
                  </w14:solidFill>
                </w14:textFill>
              </w:rPr>
              <w:t>装载液体、半固体危险废物的容器内须留足够空间，容器顶部与液体表面之间保留100mm以上的空间；盛装危险废物的容器上必须粘贴危险废物标签。</w:t>
            </w:r>
          </w:p>
          <w:p w14:paraId="5AF631CC">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③</w:t>
            </w:r>
            <w:r>
              <w:rPr>
                <w:color w:val="000000" w:themeColor="text1"/>
                <w14:textFill>
                  <w14:solidFill>
                    <w14:schemeClr w14:val="tx1"/>
                  </w14:solidFill>
                </w14:textFill>
              </w:rPr>
              <w:t>必须定期对所贮存的危险废物包装容器及贮存设施进行检查，发现破损，应及时采取措施清理更换。</w:t>
            </w:r>
          </w:p>
          <w:p w14:paraId="7F1BC130">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④</w:t>
            </w:r>
            <w:r>
              <w:rPr>
                <w:color w:val="000000" w:themeColor="text1"/>
                <w14:textFill>
                  <w14:solidFill>
                    <w14:schemeClr w14:val="tx1"/>
                  </w14:solidFill>
                </w14:textFill>
              </w:rPr>
              <w:t xml:space="preserve">设置相关运行管理台账，危险废物产生者和危险废物贮存设施经营者均须做好危险废物情况的记录，记录上须注明危险废物的名称、来源、数量、特性和包装容器的类别、入库日期、存放库位、废物出库日期及接收单位名称。危险废物的记录和货单在危险废物回取后应继续保留三年。 </w:t>
            </w:r>
          </w:p>
          <w:p w14:paraId="0884D2E5">
            <w:pPr>
              <w:pStyle w:val="50"/>
              <w:ind w:firstLine="480"/>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⑤</w:t>
            </w:r>
            <w:r>
              <w:rPr>
                <w:color w:val="000000" w:themeColor="text1"/>
                <w14:textFill>
                  <w14:solidFill>
                    <w14:schemeClr w14:val="tx1"/>
                  </w14:solidFill>
                </w14:textFill>
              </w:rPr>
              <w:t>按要求在省固废平台网上申报备案。</w:t>
            </w:r>
          </w:p>
          <w:p w14:paraId="6C00673F">
            <w:pPr>
              <w:adjustRightInd w:val="0"/>
              <w:snapToGrid w:val="0"/>
              <w:spacing w:line="360" w:lineRule="auto"/>
              <w:ind w:firstLine="482" w:firstLineChars="200"/>
              <w:rPr>
                <w:b/>
                <w:color w:val="000000" w:themeColor="text1"/>
                <w:sz w:val="24"/>
                <w14:textFill>
                  <w14:solidFill>
                    <w14:schemeClr w14:val="tx1"/>
                  </w14:solidFill>
                </w14:textFill>
              </w:rPr>
            </w:pPr>
            <w:r>
              <w:rPr>
                <w:rFonts w:hint="eastAsia"/>
                <w:b/>
                <w:color w:val="000000" w:themeColor="text1"/>
                <w:sz w:val="24"/>
                <w14:textFill>
                  <w14:solidFill>
                    <w14:schemeClr w14:val="tx1"/>
                  </w14:solidFill>
                </w14:textFill>
              </w:rPr>
              <w:t>2.2.8</w:t>
            </w:r>
            <w:r>
              <w:rPr>
                <w:b/>
                <w:color w:val="000000" w:themeColor="text1"/>
                <w:sz w:val="24"/>
                <w14:textFill>
                  <w14:solidFill>
                    <w14:schemeClr w14:val="tx1"/>
                  </w14:solidFill>
                </w14:textFill>
              </w:rPr>
              <w:t>危险废物的转运要求</w:t>
            </w:r>
          </w:p>
          <w:p w14:paraId="4BCF5845">
            <w:pPr>
              <w:adjustRightInd w:val="0"/>
              <w:snapToGrid w:val="0"/>
              <w:spacing w:line="360" w:lineRule="auto"/>
              <w:ind w:firstLine="480" w:firstLineChars="200"/>
              <w:rPr>
                <w:bCs/>
                <w:color w:val="000000" w:themeColor="text1"/>
                <w:sz w:val="24"/>
                <w14:textFill>
                  <w14:solidFill>
                    <w14:schemeClr w14:val="tx1"/>
                  </w14:solidFill>
                </w14:textFill>
              </w:rPr>
            </w:pPr>
            <w:r>
              <w:rPr>
                <w:bCs/>
                <w:color w:val="000000" w:themeColor="text1"/>
                <w:sz w:val="24"/>
                <w14:textFill>
                  <w14:solidFill>
                    <w14:schemeClr w14:val="tx1"/>
                  </w14:solidFill>
                </w14:textFill>
              </w:rPr>
              <w:t>项目固体废物转运过程中采取篷布遮盖、防滴漏等措施，减少固体废物运输过程给环境带来污染。危险废物的转运还按照《危险废物收集贮存运输技术规范》（HJ2025-2012）的要求进行，具体如下：</w:t>
            </w:r>
          </w:p>
          <w:p w14:paraId="036FB1FD">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①危险废物的运输由持有危险废物经营许可证的单位组织实施，并按照相关危险货物运输管理规定执行；</w:t>
            </w:r>
          </w:p>
          <w:p w14:paraId="2DB028A1">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②项目危险废物运输采用公路运输方式，应按照《道路危险货物运输管理规定》（交通运输部令2013年第2号）执行。</w:t>
            </w:r>
          </w:p>
          <w:p w14:paraId="5769D8A6">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运输单位承运危险废物时，应在危险废物包装上按照GB18597附录A设置标志，运输车辆应按GB13392设立车辆标志。危废运输车辆应配备符合有关国家标准以及与所载运的危险货物相适应的应急处理器材和安全防护设备。</w:t>
            </w:r>
          </w:p>
          <w:p w14:paraId="09B0D820">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③危险废物运输时的装卸应遵照如下技术要求：装卸区的工作人员应熟悉危险废物的危险特性，并配备适当的个人防护装备，如橡胶手套、防护服和口罩。装卸区域应配备必要的消防设备和设施，并设置明显的指示标志。装卸区域应设置隔离设施。</w:t>
            </w:r>
          </w:p>
          <w:p w14:paraId="72F5D619">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④危险废物转移过程严格落实《危险废物转移联单管理办法》的相关规定，规范危险废物转移；做好每次外运处置废物的运输登记，认真填写危险废物转移联单（每种废物填写一份联单），并加盖公司公章，经运输单位核实验收签字后，将联单第一联副联自留存档，将联单第二联交移出地环境保护行政主管部门，第三联及其余各联交付运输单位，随危险废物转移运行，第四联交接收单位，第五联交接收地环保局。</w:t>
            </w:r>
          </w:p>
          <w:p w14:paraId="010E4887">
            <w:pPr>
              <w:pStyle w:val="63"/>
              <w:ind w:firstLine="480"/>
              <w:rPr>
                <w:b/>
                <w:color w:val="000000" w:themeColor="text1"/>
                <w14:textFill>
                  <w14:solidFill>
                    <w14:schemeClr w14:val="tx1"/>
                  </w14:solidFill>
                </w14:textFill>
              </w:rPr>
            </w:pPr>
            <w:r>
              <w:rPr>
                <w:color w:val="000000" w:themeColor="text1"/>
                <w14:textFill>
                  <w14:solidFill>
                    <w14:schemeClr w14:val="tx1"/>
                  </w14:solidFill>
                </w14:textFill>
              </w:rPr>
              <w:t>⑤废物处置单位的运输人员必须掌握危险废物运输的安全知识，了解所运载的危险废物的性质、危害特性、包装容器的使用特性和发生意外时的应急措施。运输车辆必须具有车辆危险货物运输许可证。</w:t>
            </w:r>
          </w:p>
          <w:p w14:paraId="38BD1DC1">
            <w:pPr>
              <w:pStyle w:val="85"/>
              <w:spacing w:line="360" w:lineRule="auto"/>
              <w:ind w:firstLine="482" w:firstLineChars="200"/>
              <w:rPr>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2.3</w:t>
            </w:r>
            <w:r>
              <w:rPr>
                <w:b/>
                <w:color w:val="000000" w:themeColor="text1"/>
                <w:sz w:val="24"/>
                <w:szCs w:val="24"/>
                <w14:textFill>
                  <w14:solidFill>
                    <w14:schemeClr w14:val="tx1"/>
                  </w14:solidFill>
                </w14:textFill>
              </w:rPr>
              <w:t>危废贮存场所环境影响分析</w:t>
            </w:r>
          </w:p>
          <w:p w14:paraId="3893D67A">
            <w:pPr>
              <w:pStyle w:val="85"/>
              <w:spacing w:line="360" w:lineRule="auto"/>
              <w:ind w:firstLine="480" w:firstLineChars="200"/>
              <w:rPr>
                <w:bCs/>
                <w:color w:val="000000" w:themeColor="text1"/>
                <w:sz w:val="24"/>
                <w:szCs w:val="24"/>
                <w14:textFill>
                  <w14:solidFill>
                    <w14:schemeClr w14:val="tx1"/>
                  </w14:solidFill>
                </w14:textFill>
              </w:rPr>
            </w:pPr>
            <w:r>
              <w:rPr>
                <w:bCs/>
                <w:color w:val="000000" w:themeColor="text1"/>
                <w:sz w:val="24"/>
                <w:szCs w:val="24"/>
                <w14:textFill>
                  <w14:solidFill>
                    <w14:schemeClr w14:val="tx1"/>
                  </w14:solidFill>
                </w14:textFill>
              </w:rPr>
              <w:t>项目拟在</w:t>
            </w:r>
            <w:r>
              <w:rPr>
                <w:rFonts w:hint="eastAsia"/>
                <w:bCs/>
                <w:color w:val="000000" w:themeColor="text1"/>
                <w:sz w:val="24"/>
                <w:szCs w:val="24"/>
                <w14:textFill>
                  <w14:solidFill>
                    <w14:schemeClr w14:val="tx1"/>
                  </w14:solidFill>
                </w14:textFill>
              </w:rPr>
              <w:t>项目区东厂房的东南</w:t>
            </w:r>
            <w:r>
              <w:rPr>
                <w:bCs/>
                <w:color w:val="000000" w:themeColor="text1"/>
                <w:sz w:val="24"/>
                <w:szCs w:val="24"/>
                <w14:textFill>
                  <w14:solidFill>
                    <w14:schemeClr w14:val="tx1"/>
                  </w14:solidFill>
                </w14:textFill>
              </w:rPr>
              <w:t>侧建设1间</w:t>
            </w:r>
            <w:r>
              <w:rPr>
                <w:rFonts w:hint="eastAsia"/>
                <w:bCs/>
                <w:color w:val="000000" w:themeColor="text1"/>
                <w:sz w:val="24"/>
                <w:szCs w:val="24"/>
                <w14:textFill>
                  <w14:solidFill>
                    <w14:schemeClr w14:val="tx1"/>
                  </w14:solidFill>
                </w14:textFill>
              </w:rPr>
              <w:t>危废暂存库</w:t>
            </w:r>
            <w:r>
              <w:rPr>
                <w:bCs/>
                <w:color w:val="000000" w:themeColor="text1"/>
                <w:sz w:val="24"/>
                <w:szCs w:val="24"/>
                <w14:textFill>
                  <w14:solidFill>
                    <w14:schemeClr w14:val="tx1"/>
                  </w14:solidFill>
                </w14:textFill>
              </w:rPr>
              <w:t>，环评要求：地面作防腐防渗处理，必须符合“防风、防雨、防晒、防渗漏”要求，建设单位在运行过程中，应指派专人负责危险废物的管理，并对危险废物的转运实行联单管理制度。在采取上述措施处理后，项目危险废物对周围环境影响不大。</w:t>
            </w:r>
          </w:p>
          <w:p w14:paraId="6779BC44">
            <w:pPr>
              <w:pStyle w:val="85"/>
              <w:spacing w:line="360" w:lineRule="auto"/>
              <w:ind w:firstLine="480" w:firstLineChars="200"/>
              <w:rPr>
                <w:bCs/>
                <w:color w:val="000000" w:themeColor="text1"/>
                <w:sz w:val="24"/>
                <w:szCs w:val="24"/>
                <w14:textFill>
                  <w14:solidFill>
                    <w14:schemeClr w14:val="tx1"/>
                  </w14:solidFill>
                </w14:textFill>
              </w:rPr>
            </w:pPr>
            <w:r>
              <w:rPr>
                <w:bCs/>
                <w:color w:val="000000" w:themeColor="text1"/>
                <w:sz w:val="24"/>
                <w:szCs w:val="24"/>
                <w14:textFill>
                  <w14:solidFill>
                    <w14:schemeClr w14:val="tx1"/>
                  </w14:solidFill>
                </w14:textFill>
              </w:rPr>
              <w:t>综上，本环评提出建设单位要按照《危险废物贮存污染控制标准》（GB18597-2023）相关要求规范设置</w:t>
            </w:r>
            <w:r>
              <w:rPr>
                <w:rFonts w:hint="eastAsia"/>
                <w:bCs/>
                <w:color w:val="000000" w:themeColor="text1"/>
                <w:sz w:val="24"/>
                <w:szCs w:val="24"/>
                <w14:textFill>
                  <w14:solidFill>
                    <w14:schemeClr w14:val="tx1"/>
                  </w14:solidFill>
                </w14:textFill>
              </w:rPr>
              <w:t>危废暂存库</w:t>
            </w:r>
            <w:r>
              <w:rPr>
                <w:bCs/>
                <w:color w:val="000000" w:themeColor="text1"/>
                <w:sz w:val="24"/>
                <w:szCs w:val="24"/>
                <w14:textFill>
                  <w14:solidFill>
                    <w14:schemeClr w14:val="tx1"/>
                  </w14:solidFill>
                </w14:textFill>
              </w:rPr>
              <w:t>，采取防风、防雨、防晒、防渗漏等措施，以“减量化、资源化、无害化”为基本原则，确保所有固废最终得以综合利用或安全处置。项目所产生的危险废物能够满足《危险废物贮存污染控制标准》（GB 18597-</w:t>
            </w:r>
            <w:r>
              <w:rPr>
                <w:rFonts w:hint="eastAsia"/>
                <w:bCs/>
                <w:color w:val="000000" w:themeColor="text1"/>
                <w:sz w:val="24"/>
                <w:szCs w:val="24"/>
                <w14:textFill>
                  <w14:solidFill>
                    <w14:schemeClr w14:val="tx1"/>
                  </w14:solidFill>
                </w14:textFill>
              </w:rPr>
              <w:t>2023</w:t>
            </w:r>
            <w:r>
              <w:rPr>
                <w:bCs/>
                <w:color w:val="000000" w:themeColor="text1"/>
                <w:sz w:val="24"/>
                <w:szCs w:val="24"/>
                <w14:textFill>
                  <w14:solidFill>
                    <w14:schemeClr w14:val="tx1"/>
                  </w14:solidFill>
                </w14:textFill>
              </w:rPr>
              <w:t>）中的相关规定，项目所产生的固体废弃物能够得到合理、有效的处置，各固体废弃物去向明确，处置率达到100%，对环境的影响较小。</w:t>
            </w:r>
          </w:p>
          <w:p w14:paraId="07069D63">
            <w:pPr>
              <w:pStyle w:val="16"/>
              <w:adjustRightInd w:val="0"/>
              <w:spacing w:line="360" w:lineRule="auto"/>
              <w:ind w:firstLine="442" w:firstLineChars="200"/>
              <w:rPr>
                <w:b/>
                <w:color w:val="000000" w:themeColor="text1"/>
                <w:spacing w:val="-10"/>
                <w:sz w:val="24"/>
                <w:szCs w:val="24"/>
                <w14:textFill>
                  <w14:solidFill>
                    <w14:schemeClr w14:val="tx1"/>
                  </w14:solidFill>
                </w14:textFill>
              </w:rPr>
            </w:pPr>
            <w:r>
              <w:rPr>
                <w:b/>
                <w:color w:val="000000" w:themeColor="text1"/>
                <w:spacing w:val="-10"/>
                <w:sz w:val="24"/>
                <w:szCs w:val="24"/>
                <w14:textFill>
                  <w14:solidFill>
                    <w14:schemeClr w14:val="tx1"/>
                  </w14:solidFill>
                </w14:textFill>
              </w:rPr>
              <w:t>五、</w:t>
            </w:r>
            <w:r>
              <w:rPr>
                <w:rFonts w:hint="eastAsia"/>
                <w:b/>
                <w:color w:val="000000" w:themeColor="text1"/>
                <w:spacing w:val="-10"/>
                <w:sz w:val="24"/>
                <w:szCs w:val="24"/>
                <w14:textFill>
                  <w14:solidFill>
                    <w14:schemeClr w14:val="tx1"/>
                  </w14:solidFill>
                </w14:textFill>
              </w:rPr>
              <w:t>土壤、</w:t>
            </w:r>
            <w:r>
              <w:rPr>
                <w:b/>
                <w:color w:val="000000" w:themeColor="text1"/>
                <w:spacing w:val="-10"/>
                <w:sz w:val="24"/>
                <w:szCs w:val="24"/>
                <w14:textFill>
                  <w14:solidFill>
                    <w14:schemeClr w14:val="tx1"/>
                  </w14:solidFill>
                </w14:textFill>
              </w:rPr>
              <w:t>地下水</w:t>
            </w:r>
            <w:r>
              <w:rPr>
                <w:rFonts w:hint="eastAsia"/>
                <w:b/>
                <w:color w:val="000000" w:themeColor="text1"/>
                <w:spacing w:val="-10"/>
                <w:sz w:val="24"/>
                <w:szCs w:val="24"/>
                <w14:textFill>
                  <w14:solidFill>
                    <w14:schemeClr w14:val="tx1"/>
                  </w14:solidFill>
                </w14:textFill>
              </w:rPr>
              <w:t>环境影响分析</w:t>
            </w:r>
          </w:p>
          <w:p w14:paraId="2BB67858">
            <w:pPr>
              <w:adjustRightInd w:val="0"/>
              <w:snapToGrid w:val="0"/>
              <w:spacing w:line="360" w:lineRule="auto"/>
              <w:ind w:firstLine="482" w:firstLineChars="200"/>
              <w:rPr>
                <w:b/>
                <w:bCs/>
                <w:color w:val="000000" w:themeColor="text1"/>
                <w:sz w:val="24"/>
                <w:lang w:val="zh-CN"/>
                <w14:textFill>
                  <w14:solidFill>
                    <w14:schemeClr w14:val="tx1"/>
                  </w14:solidFill>
                </w14:textFill>
              </w:rPr>
            </w:pPr>
            <w:r>
              <w:rPr>
                <w:b/>
                <w:bCs/>
                <w:color w:val="000000" w:themeColor="text1"/>
                <w:sz w:val="24"/>
                <w14:textFill>
                  <w14:solidFill>
                    <w14:schemeClr w14:val="tx1"/>
                  </w14:solidFill>
                </w14:textFill>
              </w:rPr>
              <w:t>1、</w:t>
            </w:r>
            <w:r>
              <w:rPr>
                <w:b/>
                <w:bCs/>
                <w:color w:val="000000" w:themeColor="text1"/>
                <w:sz w:val="24"/>
                <w:lang w:val="zh-CN"/>
                <w14:textFill>
                  <w14:solidFill>
                    <w14:schemeClr w14:val="tx1"/>
                  </w14:solidFill>
                </w14:textFill>
              </w:rPr>
              <w:t>污染源</w:t>
            </w:r>
            <w:r>
              <w:rPr>
                <w:b/>
                <w:bCs/>
                <w:color w:val="000000" w:themeColor="text1"/>
                <w:sz w:val="24"/>
                <w14:textFill>
                  <w14:solidFill>
                    <w14:schemeClr w14:val="tx1"/>
                  </w14:solidFill>
                </w14:textFill>
              </w:rPr>
              <w:t>、</w:t>
            </w:r>
            <w:r>
              <w:rPr>
                <w:b/>
                <w:bCs/>
                <w:color w:val="000000" w:themeColor="text1"/>
                <w:sz w:val="24"/>
                <w:lang w:val="zh-CN"/>
                <w14:textFill>
                  <w14:solidFill>
                    <w14:schemeClr w14:val="tx1"/>
                  </w14:solidFill>
                </w14:textFill>
              </w:rPr>
              <w:t>污染物类型和污染途径识别</w:t>
            </w:r>
          </w:p>
          <w:p w14:paraId="5B17C2A1">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val="zh-CN"/>
                <w14:textFill>
                  <w14:solidFill>
                    <w14:schemeClr w14:val="tx1"/>
                  </w14:solidFill>
                </w14:textFill>
              </w:rPr>
              <w:t>本项目正常工况下，不会产生土壤、地下水污染，只有在事故状态下，项目</w:t>
            </w:r>
            <w:r>
              <w:rPr>
                <w:color w:val="000000" w:themeColor="text1"/>
                <w:sz w:val="24"/>
                <w14:textFill>
                  <w14:solidFill>
                    <w14:schemeClr w14:val="tx1"/>
                  </w14:solidFill>
                </w14:textFill>
              </w:rPr>
              <w:t>区</w:t>
            </w:r>
            <w:r>
              <w:rPr>
                <w:rFonts w:hint="eastAsia"/>
                <w:color w:val="000000" w:themeColor="text1"/>
                <w:sz w:val="24"/>
                <w14:textFill>
                  <w14:solidFill>
                    <w14:schemeClr w14:val="tx1"/>
                  </w14:solidFill>
                </w14:textFill>
              </w:rPr>
              <w:t>渗滤液收集池、危废暂存库</w:t>
            </w:r>
            <w:r>
              <w:rPr>
                <w:color w:val="000000" w:themeColor="text1"/>
                <w:sz w:val="24"/>
                <w:lang w:val="zh-CN"/>
                <w14:textFill>
                  <w14:solidFill>
                    <w14:schemeClr w14:val="tx1"/>
                  </w14:solidFill>
                </w14:textFill>
              </w:rPr>
              <w:t>可能会发生</w:t>
            </w:r>
            <w:r>
              <w:rPr>
                <w:color w:val="000000" w:themeColor="text1"/>
                <w:sz w:val="24"/>
                <w14:textFill>
                  <w14:solidFill>
                    <w14:schemeClr w14:val="tx1"/>
                  </w14:solidFill>
                </w14:textFill>
              </w:rPr>
              <w:t>泄漏</w:t>
            </w:r>
            <w:r>
              <w:rPr>
                <w:color w:val="000000" w:themeColor="text1"/>
                <w:sz w:val="24"/>
                <w:lang w:val="zh-CN"/>
                <w14:textFill>
                  <w14:solidFill>
                    <w14:schemeClr w14:val="tx1"/>
                  </w14:solidFill>
                </w14:textFill>
              </w:rPr>
              <w:t>等情况，地面防渗层发生破损，会导致</w:t>
            </w:r>
            <w:r>
              <w:rPr>
                <w:rFonts w:hint="eastAsia"/>
                <w:color w:val="000000" w:themeColor="text1"/>
                <w:sz w:val="24"/>
                <w14:textFill>
                  <w14:solidFill>
                    <w14:schemeClr w14:val="tx1"/>
                  </w14:solidFill>
                </w14:textFill>
              </w:rPr>
              <w:t>渗滤液、</w:t>
            </w:r>
            <w:r>
              <w:rPr>
                <w:color w:val="000000" w:themeColor="text1"/>
                <w:sz w:val="24"/>
                <w:lang w:val="zh-CN"/>
                <w14:textFill>
                  <w14:solidFill>
                    <w14:schemeClr w14:val="tx1"/>
                  </w14:solidFill>
                </w14:textFill>
              </w:rPr>
              <w:t>废机油通过地面缝隙渗漏进入土壤，对周边土壤造成污染，长时间</w:t>
            </w:r>
            <w:r>
              <w:rPr>
                <w:color w:val="000000" w:themeColor="text1"/>
                <w:sz w:val="24"/>
                <w14:textFill>
                  <w14:solidFill>
                    <w14:schemeClr w14:val="tx1"/>
                  </w14:solidFill>
                </w14:textFill>
              </w:rPr>
              <w:t>泄漏</w:t>
            </w:r>
            <w:r>
              <w:rPr>
                <w:color w:val="000000" w:themeColor="text1"/>
                <w:sz w:val="24"/>
                <w:lang w:val="zh-CN"/>
                <w14:textFill>
                  <w14:solidFill>
                    <w14:schemeClr w14:val="tx1"/>
                  </w14:solidFill>
                </w14:textFill>
              </w:rPr>
              <w:t>可能深入地下对地下水造成污染</w:t>
            </w:r>
            <w:r>
              <w:rPr>
                <w:color w:val="000000" w:themeColor="text1"/>
                <w:sz w:val="24"/>
                <w14:textFill>
                  <w14:solidFill>
                    <w14:schemeClr w14:val="tx1"/>
                  </w14:solidFill>
                </w14:textFill>
              </w:rPr>
              <w:t>。</w:t>
            </w:r>
          </w:p>
          <w:p w14:paraId="35C5A191">
            <w:pPr>
              <w:adjustRightInd w:val="0"/>
              <w:snapToGrid w:val="0"/>
              <w:spacing w:line="360" w:lineRule="auto"/>
              <w:ind w:firstLine="480" w:firstLineChars="200"/>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本项目对土壤、地下水的污染源、污染物类型及污染途径详见下表：</w:t>
            </w:r>
          </w:p>
          <w:p w14:paraId="3D1BB17A">
            <w:pPr>
              <w:pStyle w:val="51"/>
              <w:adjustRightInd w:val="0"/>
              <w:snapToGrid w:val="0"/>
              <w:rPr>
                <w:rStyle w:val="86"/>
                <w:b/>
                <w:color w:val="000000" w:themeColor="text1"/>
                <w:szCs w:val="21"/>
                <w14:textFill>
                  <w14:solidFill>
                    <w14:schemeClr w14:val="tx1"/>
                  </w14:solidFill>
                </w14:textFill>
              </w:rPr>
            </w:pPr>
            <w:r>
              <w:rPr>
                <w:rStyle w:val="86"/>
                <w:b/>
                <w:color w:val="000000" w:themeColor="text1"/>
                <w:szCs w:val="21"/>
                <w14:textFill>
                  <w14:solidFill>
                    <w14:schemeClr w14:val="tx1"/>
                  </w14:solidFill>
                </w14:textFill>
              </w:rPr>
              <w:t>表4-1</w:t>
            </w:r>
            <w:r>
              <w:rPr>
                <w:rStyle w:val="86"/>
                <w:rFonts w:hint="eastAsia"/>
                <w:b/>
                <w:color w:val="000000" w:themeColor="text1"/>
                <w:szCs w:val="21"/>
                <w14:textFill>
                  <w14:solidFill>
                    <w14:schemeClr w14:val="tx1"/>
                  </w14:solidFill>
                </w14:textFill>
              </w:rPr>
              <w:t>0</w:t>
            </w:r>
            <w:r>
              <w:rPr>
                <w:rStyle w:val="86"/>
                <w:b/>
                <w:color w:val="000000" w:themeColor="text1"/>
                <w:szCs w:val="21"/>
                <w14:textFill>
                  <w14:solidFill>
                    <w14:schemeClr w14:val="tx1"/>
                  </w14:solidFill>
                </w14:textFill>
              </w:rPr>
              <w:t xml:space="preserve">  项目土壤、地下水环境污染源、污染物类型和污染途径识别表</w:t>
            </w:r>
          </w:p>
          <w:tbl>
            <w:tblPr>
              <w:tblStyle w:val="2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5"/>
              <w:gridCol w:w="3293"/>
              <w:gridCol w:w="2464"/>
            </w:tblGrid>
            <w:tr w14:paraId="0B264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8" w:type="pct"/>
                  <w:vAlign w:val="center"/>
                </w:tcPr>
                <w:p w14:paraId="0B26D764">
                  <w:pPr>
                    <w:pStyle w:val="51"/>
                    <w:adjustRightInd w:val="0"/>
                    <w:snapToGrid w:val="0"/>
                    <w:rPr>
                      <w:rStyle w:val="86"/>
                      <w:b/>
                      <w:color w:val="000000" w:themeColor="text1"/>
                      <w:szCs w:val="21"/>
                      <w14:textFill>
                        <w14:solidFill>
                          <w14:schemeClr w14:val="tx1"/>
                        </w14:solidFill>
                      </w14:textFill>
                    </w:rPr>
                  </w:pPr>
                  <w:r>
                    <w:rPr>
                      <w:rStyle w:val="86"/>
                      <w:b/>
                      <w:color w:val="000000" w:themeColor="text1"/>
                      <w:szCs w:val="21"/>
                      <w14:textFill>
                        <w14:solidFill>
                          <w14:schemeClr w14:val="tx1"/>
                        </w14:solidFill>
                      </w14:textFill>
                    </w:rPr>
                    <w:t>污染源</w:t>
                  </w:r>
                </w:p>
              </w:tc>
              <w:tc>
                <w:tcPr>
                  <w:tcW w:w="1945" w:type="pct"/>
                  <w:vAlign w:val="center"/>
                </w:tcPr>
                <w:p w14:paraId="5C02E1F9">
                  <w:pPr>
                    <w:pStyle w:val="51"/>
                    <w:adjustRightInd w:val="0"/>
                    <w:snapToGrid w:val="0"/>
                    <w:rPr>
                      <w:rStyle w:val="86"/>
                      <w:b/>
                      <w:color w:val="000000" w:themeColor="text1"/>
                      <w:szCs w:val="21"/>
                      <w14:textFill>
                        <w14:solidFill>
                          <w14:schemeClr w14:val="tx1"/>
                        </w14:solidFill>
                      </w14:textFill>
                    </w:rPr>
                  </w:pPr>
                  <w:r>
                    <w:rPr>
                      <w:rStyle w:val="86"/>
                      <w:b/>
                      <w:color w:val="000000" w:themeColor="text1"/>
                      <w:szCs w:val="21"/>
                      <w14:textFill>
                        <w14:solidFill>
                          <w14:schemeClr w14:val="tx1"/>
                        </w14:solidFill>
                      </w14:textFill>
                    </w:rPr>
                    <w:t>污染物类型</w:t>
                  </w:r>
                </w:p>
              </w:tc>
              <w:tc>
                <w:tcPr>
                  <w:tcW w:w="1456" w:type="pct"/>
                  <w:vAlign w:val="center"/>
                </w:tcPr>
                <w:p w14:paraId="47A5D884">
                  <w:pPr>
                    <w:pStyle w:val="51"/>
                    <w:adjustRightInd w:val="0"/>
                    <w:snapToGrid w:val="0"/>
                    <w:rPr>
                      <w:rStyle w:val="86"/>
                      <w:b/>
                      <w:color w:val="000000" w:themeColor="text1"/>
                      <w:szCs w:val="21"/>
                      <w14:textFill>
                        <w14:solidFill>
                          <w14:schemeClr w14:val="tx1"/>
                        </w14:solidFill>
                      </w14:textFill>
                    </w:rPr>
                  </w:pPr>
                  <w:r>
                    <w:rPr>
                      <w:rStyle w:val="86"/>
                      <w:b/>
                      <w:color w:val="000000" w:themeColor="text1"/>
                      <w:szCs w:val="21"/>
                      <w14:textFill>
                        <w14:solidFill>
                          <w14:schemeClr w14:val="tx1"/>
                        </w14:solidFill>
                      </w14:textFill>
                    </w:rPr>
                    <w:t>污染途径</w:t>
                  </w:r>
                </w:p>
              </w:tc>
            </w:tr>
            <w:tr w14:paraId="14180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8" w:type="pct"/>
                  <w:vAlign w:val="center"/>
                </w:tcPr>
                <w:p w14:paraId="3661C9E1">
                  <w:pPr>
                    <w:pStyle w:val="51"/>
                    <w:adjustRightInd w:val="0"/>
                    <w:snapToGrid w:val="0"/>
                    <w:rPr>
                      <w:rStyle w:val="86"/>
                      <w:bCs/>
                      <w:color w:val="000000" w:themeColor="text1"/>
                      <w:szCs w:val="21"/>
                      <w14:textFill>
                        <w14:solidFill>
                          <w14:schemeClr w14:val="tx1"/>
                        </w14:solidFill>
                      </w14:textFill>
                    </w:rPr>
                  </w:pPr>
                  <w:r>
                    <w:rPr>
                      <w:rStyle w:val="86"/>
                      <w:rFonts w:hint="eastAsia"/>
                      <w:bCs/>
                      <w:color w:val="000000" w:themeColor="text1"/>
                      <w:szCs w:val="21"/>
                      <w14:textFill>
                        <w14:solidFill>
                          <w14:schemeClr w14:val="tx1"/>
                        </w14:solidFill>
                      </w14:textFill>
                    </w:rPr>
                    <w:t>危废暂存库</w:t>
                  </w:r>
                </w:p>
              </w:tc>
              <w:tc>
                <w:tcPr>
                  <w:tcW w:w="1945" w:type="pct"/>
                  <w:vAlign w:val="center"/>
                </w:tcPr>
                <w:p w14:paraId="2B1C453D">
                  <w:pPr>
                    <w:pStyle w:val="51"/>
                    <w:adjustRightInd w:val="0"/>
                    <w:snapToGrid w:val="0"/>
                    <w:rPr>
                      <w:rStyle w:val="86"/>
                      <w:bCs/>
                      <w:color w:val="000000" w:themeColor="text1"/>
                      <w:szCs w:val="21"/>
                      <w14:textFill>
                        <w14:solidFill>
                          <w14:schemeClr w14:val="tx1"/>
                        </w14:solidFill>
                      </w14:textFill>
                    </w:rPr>
                  </w:pPr>
                  <w:r>
                    <w:rPr>
                      <w:rStyle w:val="86"/>
                      <w:bCs/>
                      <w:color w:val="000000" w:themeColor="text1"/>
                      <w:szCs w:val="21"/>
                      <w14:textFill>
                        <w14:solidFill>
                          <w14:schemeClr w14:val="tx1"/>
                        </w14:solidFill>
                      </w14:textFill>
                    </w:rPr>
                    <w:t>废机油</w:t>
                  </w:r>
                </w:p>
              </w:tc>
              <w:tc>
                <w:tcPr>
                  <w:tcW w:w="1456" w:type="pct"/>
                  <w:vAlign w:val="center"/>
                </w:tcPr>
                <w:p w14:paraId="2752C96E">
                  <w:pPr>
                    <w:pStyle w:val="51"/>
                    <w:adjustRightInd w:val="0"/>
                    <w:snapToGrid w:val="0"/>
                    <w:rPr>
                      <w:rStyle w:val="86"/>
                      <w:bCs/>
                      <w:color w:val="000000" w:themeColor="text1"/>
                      <w:szCs w:val="21"/>
                      <w14:textFill>
                        <w14:solidFill>
                          <w14:schemeClr w14:val="tx1"/>
                        </w14:solidFill>
                      </w14:textFill>
                    </w:rPr>
                  </w:pPr>
                  <w:r>
                    <w:rPr>
                      <w:rStyle w:val="86"/>
                      <w:bCs/>
                      <w:color w:val="000000" w:themeColor="text1"/>
                      <w:szCs w:val="21"/>
                      <w14:textFill>
                        <w14:solidFill>
                          <w14:schemeClr w14:val="tx1"/>
                        </w14:solidFill>
                      </w14:textFill>
                    </w:rPr>
                    <w:t>垂直入渗</w:t>
                  </w:r>
                </w:p>
              </w:tc>
            </w:tr>
            <w:tr w14:paraId="12B93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98" w:type="pct"/>
                  <w:vAlign w:val="center"/>
                </w:tcPr>
                <w:p w14:paraId="11E21C2F">
                  <w:pPr>
                    <w:pStyle w:val="51"/>
                    <w:adjustRightInd w:val="0"/>
                    <w:snapToGrid w:val="0"/>
                    <w:rPr>
                      <w:rStyle w:val="86"/>
                      <w:bCs/>
                      <w:color w:val="000000" w:themeColor="text1"/>
                      <w:szCs w:val="21"/>
                      <w14:textFill>
                        <w14:solidFill>
                          <w14:schemeClr w14:val="tx1"/>
                        </w14:solidFill>
                      </w14:textFill>
                    </w:rPr>
                  </w:pPr>
                  <w:r>
                    <w:rPr>
                      <w:rStyle w:val="86"/>
                      <w:rFonts w:hint="eastAsia"/>
                      <w:bCs/>
                      <w:color w:val="000000" w:themeColor="text1"/>
                      <w:szCs w:val="21"/>
                      <w14:textFill>
                        <w14:solidFill>
                          <w14:schemeClr w14:val="tx1"/>
                        </w14:solidFill>
                      </w14:textFill>
                    </w:rPr>
                    <w:t>渗滤液收集池</w:t>
                  </w:r>
                </w:p>
              </w:tc>
              <w:tc>
                <w:tcPr>
                  <w:tcW w:w="1945" w:type="pct"/>
                  <w:vAlign w:val="center"/>
                </w:tcPr>
                <w:p w14:paraId="6596B51D">
                  <w:pPr>
                    <w:pStyle w:val="51"/>
                    <w:adjustRightInd w:val="0"/>
                    <w:snapToGrid w:val="0"/>
                    <w:rPr>
                      <w:rStyle w:val="86"/>
                      <w:bCs/>
                      <w:color w:val="000000" w:themeColor="text1"/>
                      <w:szCs w:val="21"/>
                      <w14:textFill>
                        <w14:solidFill>
                          <w14:schemeClr w14:val="tx1"/>
                        </w14:solidFill>
                      </w14:textFill>
                    </w:rPr>
                  </w:pPr>
                  <w:r>
                    <w:rPr>
                      <w:rStyle w:val="86"/>
                      <w:rFonts w:hint="eastAsia"/>
                      <w:bCs/>
                      <w:color w:val="000000" w:themeColor="text1"/>
                      <w:szCs w:val="21"/>
                      <w14:textFill>
                        <w14:solidFill>
                          <w14:schemeClr w14:val="tx1"/>
                        </w14:solidFill>
                      </w14:textFill>
                    </w:rPr>
                    <w:t>渗滤液</w:t>
                  </w:r>
                </w:p>
              </w:tc>
              <w:tc>
                <w:tcPr>
                  <w:tcW w:w="1456" w:type="pct"/>
                  <w:vAlign w:val="center"/>
                </w:tcPr>
                <w:p w14:paraId="5473122B">
                  <w:pPr>
                    <w:pStyle w:val="51"/>
                    <w:adjustRightInd w:val="0"/>
                    <w:snapToGrid w:val="0"/>
                    <w:rPr>
                      <w:rStyle w:val="86"/>
                      <w:bCs/>
                      <w:color w:val="000000" w:themeColor="text1"/>
                      <w:szCs w:val="21"/>
                      <w14:textFill>
                        <w14:solidFill>
                          <w14:schemeClr w14:val="tx1"/>
                        </w14:solidFill>
                      </w14:textFill>
                    </w:rPr>
                  </w:pPr>
                  <w:r>
                    <w:rPr>
                      <w:rStyle w:val="86"/>
                      <w:bCs/>
                      <w:color w:val="000000" w:themeColor="text1"/>
                      <w:szCs w:val="21"/>
                      <w14:textFill>
                        <w14:solidFill>
                          <w14:schemeClr w14:val="tx1"/>
                        </w14:solidFill>
                      </w14:textFill>
                    </w:rPr>
                    <w:t>垂直入渗</w:t>
                  </w:r>
                </w:p>
              </w:tc>
            </w:tr>
          </w:tbl>
          <w:p w14:paraId="271F887C">
            <w:pPr>
              <w:adjustRightInd w:val="0"/>
              <w:snapToGrid w:val="0"/>
              <w:spacing w:before="120" w:beforeLines="50" w:line="360" w:lineRule="auto"/>
              <w:ind w:firstLine="482" w:firstLineChars="200"/>
              <w:rPr>
                <w:b/>
                <w:bCs/>
                <w:color w:val="000000" w:themeColor="text1"/>
                <w:sz w:val="24"/>
                <w14:textFill>
                  <w14:solidFill>
                    <w14:schemeClr w14:val="tx1"/>
                  </w14:solidFill>
                </w14:textFill>
              </w:rPr>
            </w:pPr>
            <w:r>
              <w:rPr>
                <w:b/>
                <w:bCs/>
                <w:color w:val="000000" w:themeColor="text1"/>
                <w:sz w:val="24"/>
                <w14:textFill>
                  <w14:solidFill>
                    <w14:schemeClr w14:val="tx1"/>
                  </w14:solidFill>
                </w14:textFill>
              </w:rPr>
              <w:t>2、保护措施</w:t>
            </w:r>
          </w:p>
          <w:p w14:paraId="35CC3B73">
            <w:pPr>
              <w:adjustRightInd w:val="0"/>
              <w:snapToGrid w:val="0"/>
              <w:spacing w:line="360" w:lineRule="auto"/>
              <w:ind w:firstLine="480" w:firstLineChars="200"/>
              <w:rPr>
                <w:color w:val="000000" w:themeColor="text1"/>
                <w:sz w:val="24"/>
                <w14:textFill>
                  <w14:solidFill>
                    <w14:schemeClr w14:val="tx1"/>
                  </w14:solidFill>
                </w14:textFill>
              </w:rPr>
            </w:pPr>
            <w:bookmarkStart w:id="33" w:name="_Toc23775"/>
            <w:r>
              <w:rPr>
                <w:color w:val="000000" w:themeColor="text1"/>
                <w:sz w:val="24"/>
                <w14:textFill>
                  <w14:solidFill>
                    <w14:schemeClr w14:val="tx1"/>
                  </w14:solidFill>
                </w14:textFill>
              </w:rPr>
              <w:t>（1）源头控制措施</w:t>
            </w:r>
            <w:bookmarkEnd w:id="33"/>
          </w:p>
          <w:p w14:paraId="0A8F8631">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lang w:val="zh-CN"/>
                <w14:textFill>
                  <w14:solidFill>
                    <w14:schemeClr w14:val="tx1"/>
                  </w14:solidFill>
                </w14:textFill>
              </w:rPr>
              <w:t>●项目应严格按照国家相关规范要求，对管道、设备、各工作间和处理构筑物采取相应措施，以防止和降低污染物的跑、冒、滴、漏，将污染物泄漏的环境风险事故降到最低程度。</w:t>
            </w:r>
          </w:p>
          <w:p w14:paraId="64089D83">
            <w:pPr>
              <w:adjustRightInd w:val="0"/>
              <w:snapToGrid w:val="0"/>
              <w:spacing w:line="360" w:lineRule="auto"/>
              <w:ind w:firstLine="480" w:firstLineChars="200"/>
              <w:rPr>
                <w:color w:val="000000" w:themeColor="text1"/>
                <w:sz w:val="24"/>
                <w14:textFill>
                  <w14:solidFill>
                    <w14:schemeClr w14:val="tx1"/>
                  </w14:solidFill>
                </w14:textFill>
              </w:rPr>
            </w:pPr>
            <w:bookmarkStart w:id="34" w:name="_Toc18671"/>
            <w:r>
              <w:rPr>
                <w:color w:val="000000" w:themeColor="text1"/>
                <w:sz w:val="24"/>
                <w14:textFill>
                  <w14:solidFill>
                    <w14:schemeClr w14:val="tx1"/>
                  </w14:solidFill>
                </w14:textFill>
              </w:rPr>
              <w:t>（2）分区防控措施</w:t>
            </w:r>
            <w:bookmarkEnd w:id="34"/>
          </w:p>
          <w:p w14:paraId="5E49FFC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重点防渗区：本项目的重点防渗区主要为</w:t>
            </w:r>
            <w:r>
              <w:rPr>
                <w:rFonts w:hint="eastAsia"/>
                <w:color w:val="000000" w:themeColor="text1"/>
                <w:sz w:val="24"/>
                <w14:textFill>
                  <w14:solidFill>
                    <w14:schemeClr w14:val="tx1"/>
                  </w14:solidFill>
                </w14:textFill>
              </w:rPr>
              <w:t>危废暂存库，</w:t>
            </w:r>
            <w:r>
              <w:rPr>
                <w:color w:val="000000" w:themeColor="text1"/>
                <w:sz w:val="24"/>
                <w14:textFill>
                  <w14:solidFill>
                    <w14:schemeClr w14:val="tx1"/>
                  </w14:solidFill>
                </w14:textFill>
              </w:rPr>
              <w:t>针对本项目，建议对</w:t>
            </w:r>
            <w:r>
              <w:rPr>
                <w:rFonts w:hint="eastAsia"/>
                <w:color w:val="000000" w:themeColor="text1"/>
                <w:sz w:val="24"/>
                <w14:textFill>
                  <w14:solidFill>
                    <w14:schemeClr w14:val="tx1"/>
                  </w14:solidFill>
                </w14:textFill>
              </w:rPr>
              <w:t>危废暂存库</w:t>
            </w:r>
            <w:r>
              <w:rPr>
                <w:color w:val="000000" w:themeColor="text1"/>
                <w:sz w:val="24"/>
                <w14:textFill>
                  <w14:solidFill>
                    <w14:schemeClr w14:val="tx1"/>
                  </w14:solidFill>
                </w14:textFill>
              </w:rPr>
              <w:t>按《危险废物贮存污染控制标准》（GB18597-2023）要求进行建设</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针对重点防渗区，可通过下述措施使重点污染区各单元防渗层渗透系数</w:t>
            </w:r>
            <w:r>
              <w:rPr>
                <w:rFonts w:hint="eastAsia"/>
                <w:color w:val="000000" w:themeColor="text1"/>
                <w:sz w:val="24"/>
                <w14:textFill>
                  <w14:solidFill>
                    <w14:schemeClr w14:val="tx1"/>
                  </w14:solidFill>
                </w14:textFill>
              </w:rPr>
              <w:t>达到防渗要求</w:t>
            </w:r>
            <w:r>
              <w:rPr>
                <w:color w:val="000000" w:themeColor="text1"/>
                <w:sz w:val="24"/>
                <w14:textFill>
                  <w14:solidFill>
                    <w14:schemeClr w14:val="tx1"/>
                  </w14:solidFill>
                </w14:textFill>
              </w:rPr>
              <w:t>，主要采取措施（自上而下）：</w:t>
            </w:r>
          </w:p>
          <w:p w14:paraId="3143D55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A、采用铁桶或其它容器盛装液体原材料，以杜绝渗漏洞；建议</w:t>
            </w:r>
            <w:r>
              <w:rPr>
                <w:rFonts w:hint="eastAsia"/>
                <w:color w:val="000000" w:themeColor="text1"/>
                <w:sz w:val="24"/>
                <w14:textFill>
                  <w14:solidFill>
                    <w14:schemeClr w14:val="tx1"/>
                  </w14:solidFill>
                </w14:textFill>
              </w:rPr>
              <w:t>危废暂存库</w:t>
            </w:r>
            <w:r>
              <w:rPr>
                <w:color w:val="000000" w:themeColor="text1"/>
                <w:sz w:val="24"/>
                <w14:textFill>
                  <w14:solidFill>
                    <w14:schemeClr w14:val="tx1"/>
                  </w14:solidFill>
                </w14:textFill>
              </w:rPr>
              <w:t>设底部铝合金托盘，将危废与地面彻底隔绝。</w:t>
            </w:r>
          </w:p>
          <w:p w14:paraId="0206AE09">
            <w:pPr>
              <w:spacing w:line="360" w:lineRule="auto"/>
              <w:ind w:firstLine="480" w:firstLineChars="200"/>
              <w:rPr>
                <w:color w:val="000000" w:themeColor="text1"/>
                <w:sz w:val="24"/>
                <w:lang w:val="zh-CN"/>
                <w14:textFill>
                  <w14:solidFill>
                    <w14:schemeClr w14:val="tx1"/>
                  </w14:solidFill>
                </w14:textFill>
              </w:rPr>
            </w:pPr>
            <w:r>
              <w:rPr>
                <w:color w:val="000000" w:themeColor="text1"/>
                <w:sz w:val="24"/>
                <w:lang w:val="zh-CN"/>
                <w14:textFill>
                  <w14:solidFill>
                    <w14:schemeClr w14:val="tx1"/>
                  </w14:solidFill>
                </w14:textFill>
              </w:rPr>
              <w:t>B、</w:t>
            </w:r>
            <w:r>
              <w:rPr>
                <w:rFonts w:hint="eastAsia"/>
                <w:color w:val="000000" w:themeColor="text1"/>
                <w:sz w:val="24"/>
                <w:lang w:val="zh-CN"/>
                <w14:textFill>
                  <w14:solidFill>
                    <w14:schemeClr w14:val="tx1"/>
                  </w14:solidFill>
                </w14:textFill>
              </w:rPr>
              <w:t>危废暂存库</w:t>
            </w:r>
            <w:r>
              <w:rPr>
                <w:color w:val="000000" w:themeColor="text1"/>
                <w:sz w:val="24"/>
                <w:lang w:val="zh-CN"/>
                <w14:textFill>
                  <w14:solidFill>
                    <w14:schemeClr w14:val="tx1"/>
                  </w14:solidFill>
                </w14:textFill>
              </w:rPr>
              <w:t>地面的表面防渗层为至少2mm厚高密度聚乙烯膜等人工防渗材料（渗透系数不大于10</w:t>
            </w:r>
            <w:r>
              <w:rPr>
                <w:color w:val="000000" w:themeColor="text1"/>
                <w:sz w:val="24"/>
                <w:vertAlign w:val="superscript"/>
                <w:lang w:val="zh-CN"/>
                <w14:textFill>
                  <w14:solidFill>
                    <w14:schemeClr w14:val="tx1"/>
                  </w14:solidFill>
                </w14:textFill>
              </w:rPr>
              <w:t>-10</w:t>
            </w:r>
            <w:r>
              <w:rPr>
                <w:color w:val="000000" w:themeColor="text1"/>
                <w:sz w:val="24"/>
                <w:lang w:val="zh-CN"/>
                <w14:textFill>
                  <w14:solidFill>
                    <w14:schemeClr w14:val="tx1"/>
                  </w14:solidFill>
                </w14:textFill>
              </w:rPr>
              <w:t>cm/s），或其他防渗性能等效的材料，凡墙与地面相交的墙立面铺装180mm高的踢脚线（围堰）。</w:t>
            </w:r>
          </w:p>
          <w:p w14:paraId="5C2D1612">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C、导流沟</w:t>
            </w:r>
            <w:r>
              <w:rPr>
                <w:color w:val="000000" w:themeColor="text1"/>
                <w:sz w:val="24"/>
                <w14:textFill>
                  <w14:solidFill>
                    <w14:schemeClr w14:val="tx1"/>
                  </w14:solidFill>
                </w14:textFill>
              </w:rPr>
              <w:t>按《</w:t>
            </w:r>
            <w:r>
              <w:rPr>
                <w:rFonts w:hint="eastAsia"/>
                <w:color w:val="000000" w:themeColor="text1"/>
                <w:sz w:val="24"/>
                <w14:textFill>
                  <w14:solidFill>
                    <w14:schemeClr w14:val="tx1"/>
                  </w14:solidFill>
                </w14:textFill>
              </w:rPr>
              <w:t>环境影响环评技术导则地下水环境</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HJ610</w:t>
            </w:r>
            <w:r>
              <w:rPr>
                <w:color w:val="000000" w:themeColor="text1"/>
                <w:sz w:val="24"/>
                <w14:textFill>
                  <w14:solidFill>
                    <w14:schemeClr w14:val="tx1"/>
                  </w14:solidFill>
                </w14:textFill>
              </w:rPr>
              <w:t>-2</w:t>
            </w:r>
            <w:r>
              <w:rPr>
                <w:rFonts w:hint="eastAsia"/>
                <w:color w:val="000000" w:themeColor="text1"/>
                <w:sz w:val="24"/>
                <w14:textFill>
                  <w14:solidFill>
                    <w14:schemeClr w14:val="tx1"/>
                  </w14:solidFill>
                </w14:textFill>
              </w:rPr>
              <w:t>016</w:t>
            </w:r>
            <w:r>
              <w:rPr>
                <w:color w:val="000000" w:themeColor="text1"/>
                <w:sz w:val="24"/>
                <w14:textFill>
                  <w14:solidFill>
                    <w14:schemeClr w14:val="tx1"/>
                  </w14:solidFill>
                </w14:textFill>
              </w:rPr>
              <w:t>）要求进行建设</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地面刷环氧树脂等防腐、防渗措施，各防渗措施等效黏土防渗层Mb≥6m，防渗透系数不大于1×10</w:t>
            </w:r>
            <w:r>
              <w:rPr>
                <w:color w:val="000000" w:themeColor="text1"/>
                <w:sz w:val="24"/>
                <w:vertAlign w:val="superscript"/>
                <w14:textFill>
                  <w14:solidFill>
                    <w14:schemeClr w14:val="tx1"/>
                  </w14:solidFill>
                </w14:textFill>
              </w:rPr>
              <w:t>-</w:t>
            </w:r>
            <w:r>
              <w:rPr>
                <w:rFonts w:hint="eastAsia"/>
                <w:color w:val="000000" w:themeColor="text1"/>
                <w:sz w:val="24"/>
                <w:vertAlign w:val="superscript"/>
                <w14:textFill>
                  <w14:solidFill>
                    <w14:schemeClr w14:val="tx1"/>
                  </w14:solidFill>
                </w14:textFill>
              </w:rPr>
              <w:t>7</w:t>
            </w:r>
            <w:r>
              <w:rPr>
                <w:color w:val="000000" w:themeColor="text1"/>
                <w:sz w:val="24"/>
                <w14:textFill>
                  <w14:solidFill>
                    <w14:schemeClr w14:val="tx1"/>
                  </w14:solidFill>
                </w14:textFill>
              </w:rPr>
              <w:t>cm/s。</w:t>
            </w:r>
          </w:p>
          <w:p w14:paraId="1D7A6BE7">
            <w:pPr>
              <w:spacing w:line="360" w:lineRule="auto"/>
              <w:ind w:firstLine="480" w:firstLineChars="200"/>
              <w:rPr>
                <w:color w:val="000000" w:themeColor="text1"/>
                <w:sz w:val="24"/>
                <w:lang w:val="zh-CN"/>
                <w14:textFill>
                  <w14:solidFill>
                    <w14:schemeClr w14:val="tx1"/>
                  </w14:solidFill>
                </w14:textFill>
              </w:rPr>
            </w:pPr>
            <w:r>
              <w:rPr>
                <w:rFonts w:hint="eastAsia"/>
                <w:color w:val="000000" w:themeColor="text1"/>
                <w:sz w:val="24"/>
                <w14:textFill>
                  <w14:solidFill>
                    <w14:schemeClr w14:val="tx1"/>
                  </w14:solidFill>
                </w14:textFill>
              </w:rPr>
              <w:t>D、</w:t>
            </w:r>
            <w:r>
              <w:rPr>
                <w:color w:val="000000" w:themeColor="text1"/>
                <w:sz w:val="24"/>
                <w:lang w:val="zh-CN"/>
                <w14:textFill>
                  <w14:solidFill>
                    <w14:schemeClr w14:val="tx1"/>
                  </w14:solidFill>
                </w14:textFill>
              </w:rPr>
              <w:t>定期对</w:t>
            </w:r>
            <w:r>
              <w:rPr>
                <w:rFonts w:hint="eastAsia"/>
                <w:color w:val="000000" w:themeColor="text1"/>
                <w:sz w:val="24"/>
                <w:lang w:val="zh-CN"/>
                <w14:textFill>
                  <w14:solidFill>
                    <w14:schemeClr w14:val="tx1"/>
                  </w14:solidFill>
                </w14:textFill>
              </w:rPr>
              <w:t>危废暂存库</w:t>
            </w:r>
            <w:r>
              <w:rPr>
                <w:color w:val="000000" w:themeColor="text1"/>
                <w:sz w:val="24"/>
                <w:lang w:val="zh-CN"/>
                <w14:textFill>
                  <w14:solidFill>
                    <w14:schemeClr w14:val="tx1"/>
                  </w14:solidFill>
                </w14:textFill>
              </w:rPr>
              <w:t>侧壁进行检查，一旦出现裂、渗情况，要及时修理。</w:t>
            </w:r>
          </w:p>
          <w:p w14:paraId="0AECA062">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E、</w:t>
            </w:r>
            <w:r>
              <w:rPr>
                <w:color w:val="000000" w:themeColor="text1"/>
                <w:sz w:val="24"/>
                <w:lang w:val="zh-CN"/>
                <w14:textFill>
                  <w14:solidFill>
                    <w14:schemeClr w14:val="tx1"/>
                  </w14:solidFill>
                </w14:textFill>
              </w:rPr>
              <w:t>加强管理，完善管理机制，建立严格的管理制度，遵守操作规程，尽量避免污染物下渗。</w:t>
            </w:r>
          </w:p>
          <w:p w14:paraId="28C90AC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）一般防渗区防渗措施</w:t>
            </w:r>
          </w:p>
          <w:p w14:paraId="71429BA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一般防渗区：本项目的一般防渗区主要为</w:t>
            </w:r>
            <w:r>
              <w:rPr>
                <w:rFonts w:hint="eastAsia"/>
                <w:color w:val="000000" w:themeColor="text1"/>
                <w:sz w:val="24"/>
                <w14:textFill>
                  <w14:solidFill>
                    <w14:schemeClr w14:val="tx1"/>
                  </w14:solidFill>
                </w14:textFill>
              </w:rPr>
              <w:t>原料库、一般固废暂存库、渗滤液收集池、初期雨水收集池、发酵区</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本项目租用厂房地面已进行硬化处理，应按照防渗要求铺设高密度聚乙烯膜等人工防渗材料，满足</w:t>
            </w:r>
            <w:r>
              <w:rPr>
                <w:color w:val="000000" w:themeColor="text1"/>
                <w:sz w:val="24"/>
                <w14:textFill>
                  <w14:solidFill>
                    <w14:schemeClr w14:val="tx1"/>
                  </w14:solidFill>
                </w14:textFill>
              </w:rPr>
              <w:t>一般防渗区</w:t>
            </w:r>
            <w:r>
              <w:rPr>
                <w:rFonts w:hint="eastAsia"/>
                <w:color w:val="000000" w:themeColor="text1"/>
                <w:sz w:val="24"/>
                <w14:textFill>
                  <w14:solidFill>
                    <w14:schemeClr w14:val="tx1"/>
                  </w14:solidFill>
                </w14:textFill>
              </w:rPr>
              <w:t>的防渗要求：</w:t>
            </w:r>
            <w:r>
              <w:rPr>
                <w:color w:val="000000" w:themeColor="text1"/>
                <w:sz w:val="24"/>
                <w14:textFill>
                  <w14:solidFill>
                    <w14:schemeClr w14:val="tx1"/>
                  </w14:solidFill>
                </w14:textFill>
              </w:rPr>
              <w:t>等效黏土防渗层Mb≥1.5m，K≤1.0×10</w:t>
            </w:r>
            <w:r>
              <w:rPr>
                <w:color w:val="000000" w:themeColor="text1"/>
                <w:sz w:val="24"/>
                <w:vertAlign w:val="superscript"/>
                <w14:textFill>
                  <w14:solidFill>
                    <w14:schemeClr w14:val="tx1"/>
                  </w14:solidFill>
                </w14:textFill>
              </w:rPr>
              <w:t>-7</w:t>
            </w:r>
            <w:r>
              <w:rPr>
                <w:color w:val="000000" w:themeColor="text1"/>
                <w:sz w:val="24"/>
                <w14:textFill>
                  <w14:solidFill>
                    <w14:schemeClr w14:val="tx1"/>
                  </w14:solidFill>
                </w14:textFill>
              </w:rPr>
              <w:t>cm/s。</w:t>
            </w:r>
          </w:p>
          <w:p w14:paraId="0F8FD2C3">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（4）简单防渗区防渗措施</w:t>
            </w:r>
          </w:p>
          <w:p w14:paraId="3D0E47A3">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简单防渗区：本项目简单防渗区为除了重点防渗区和一般防渗区以外的其他区域。简单防渗区地面进行硬化处理。</w:t>
            </w:r>
          </w:p>
          <w:p w14:paraId="2F004FEE">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综上，由污染途径及对应措施分析可知，项目对可能产生地下水影响的各项途径均进行有效预防；在确保各项防渗措施得以落实，并加强维护和厂区环境管理的前提下，可有效控制厂区内的废水污染物下渗现象，避免污染地下水和土壤。</w:t>
            </w:r>
          </w:p>
          <w:p w14:paraId="6EEC8FE1">
            <w:pPr>
              <w:spacing w:line="360" w:lineRule="auto"/>
              <w:ind w:firstLine="480" w:firstLineChars="200"/>
              <w:rPr>
                <w:b/>
                <w:bCs/>
                <w:color w:val="000000" w:themeColor="text1"/>
                <w:sz w:val="24"/>
                <w14:textFill>
                  <w14:solidFill>
                    <w14:schemeClr w14:val="tx1"/>
                  </w14:solidFill>
                </w14:textFill>
              </w:rPr>
            </w:pPr>
            <w:r>
              <w:rPr>
                <w:color w:val="000000" w:themeColor="text1"/>
                <w:sz w:val="24"/>
                <w14:textFill>
                  <w14:solidFill>
                    <w14:schemeClr w14:val="tx1"/>
                  </w14:solidFill>
                </w14:textFill>
              </w:rPr>
              <w:t>因此，采取以上措施后正常状态下，厂区的地表与地下的水力联系基本被切断，污染物不会规模性渗入地下水，本项目不会对区域地下水环境产生明显影响。</w:t>
            </w:r>
          </w:p>
          <w:p w14:paraId="479D07EC">
            <w:pPr>
              <w:pStyle w:val="16"/>
              <w:adjustRightInd w:val="0"/>
              <w:spacing w:line="360" w:lineRule="auto"/>
              <w:ind w:firstLine="482" w:firstLineChars="200"/>
              <w:rPr>
                <w:b/>
                <w:bCs/>
                <w:color w:val="000000" w:themeColor="text1"/>
                <w:sz w:val="24"/>
                <w:szCs w:val="24"/>
                <w14:textFill>
                  <w14:solidFill>
                    <w14:schemeClr w14:val="tx1"/>
                  </w14:solidFill>
                </w14:textFill>
              </w:rPr>
            </w:pPr>
            <w:r>
              <w:rPr>
                <w:rFonts w:hint="eastAsia"/>
                <w:b/>
                <w:bCs/>
                <w:color w:val="000000" w:themeColor="text1"/>
                <w:sz w:val="24"/>
                <w:szCs w:val="24"/>
                <w14:textFill>
                  <w14:solidFill>
                    <w14:schemeClr w14:val="tx1"/>
                  </w14:solidFill>
                </w14:textFill>
              </w:rPr>
              <w:t>六</w:t>
            </w:r>
            <w:r>
              <w:rPr>
                <w:b/>
                <w:bCs/>
                <w:color w:val="000000" w:themeColor="text1"/>
                <w:sz w:val="24"/>
                <w:szCs w:val="24"/>
                <w14:textFill>
                  <w14:solidFill>
                    <w14:schemeClr w14:val="tx1"/>
                  </w14:solidFill>
                </w14:textFill>
              </w:rPr>
              <w:t>、环境风险</w:t>
            </w:r>
          </w:p>
          <w:p w14:paraId="290EF635">
            <w:pPr>
              <w:pStyle w:val="5"/>
              <w:keepNext w:val="0"/>
              <w:keepLines w:val="0"/>
              <w:spacing w:line="360" w:lineRule="auto"/>
              <w:ind w:firstLine="482" w:firstLineChars="200"/>
              <w:rPr>
                <w:rFonts w:ascii="Times New Roman" w:hAnsi="Times New Roman"/>
                <w:b/>
                <w:bCs/>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1、</w:t>
            </w:r>
            <w:r>
              <w:rPr>
                <w:rFonts w:ascii="Times New Roman" w:hAnsi="Times New Roman"/>
                <w:b/>
                <w:bCs/>
                <w:color w:val="000000" w:themeColor="text1"/>
                <w:szCs w:val="24"/>
                <w14:textFill>
                  <w14:solidFill>
                    <w14:schemeClr w14:val="tx1"/>
                  </w14:solidFill>
                </w14:textFill>
              </w:rPr>
              <w:t>风险识别</w:t>
            </w:r>
          </w:p>
          <w:p w14:paraId="14DEAF86">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1）物质风险识别</w:t>
            </w:r>
          </w:p>
          <w:p w14:paraId="3A954313">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通过对项目生产过程中的主要原材料及辅助材料、中间产品、最终产品以及生产过程排放的“三废”污染物等进行识别，根据《建设项目环境风险评价技术导则》（HJ169-2018）、《企业突发环境事件风险分级方法》（HJ941-2018）以及《危险化学品重大危险源辨识》（GB18218-2018），项目风险物质为</w:t>
            </w:r>
            <w:r>
              <w:rPr>
                <w:rFonts w:hint="eastAsia"/>
                <w:color w:val="000000" w:themeColor="text1"/>
                <w:kern w:val="0"/>
                <w:sz w:val="24"/>
                <w14:textFill>
                  <w14:solidFill>
                    <w14:schemeClr w14:val="tx1"/>
                  </w14:solidFill>
                </w14:textFill>
              </w:rPr>
              <w:t>废矿物油</w:t>
            </w:r>
            <w:r>
              <w:rPr>
                <w:color w:val="000000" w:themeColor="text1"/>
                <w:kern w:val="0"/>
                <w:sz w:val="24"/>
                <w14:textFill>
                  <w14:solidFill>
                    <w14:schemeClr w14:val="tx1"/>
                  </w14:solidFill>
                </w14:textFill>
              </w:rPr>
              <w:t>，风险物质理化性质如下所示。</w:t>
            </w:r>
          </w:p>
          <w:p w14:paraId="3EFA2AD8">
            <w:pPr>
              <w:adjustRightInd w:val="0"/>
              <w:snapToGrid w:val="0"/>
              <w:spacing w:line="360" w:lineRule="auto"/>
              <w:ind w:firstLine="422" w:firstLineChars="200"/>
              <w:jc w:val="center"/>
              <w:rPr>
                <w:b/>
                <w:bCs/>
                <w:color w:val="000000" w:themeColor="text1"/>
                <w:kern w:val="0"/>
                <w:sz w:val="24"/>
                <w14:textFill>
                  <w14:solidFill>
                    <w14:schemeClr w14:val="tx1"/>
                  </w14:solidFill>
                </w14:textFill>
              </w:rPr>
            </w:pPr>
            <w:r>
              <w:rPr>
                <w:b/>
                <w:bCs/>
                <w:color w:val="000000" w:themeColor="text1"/>
                <w:szCs w:val="21"/>
                <w14:textFill>
                  <w14:solidFill>
                    <w14:schemeClr w14:val="tx1"/>
                  </w14:solidFill>
                </w14:textFill>
              </w:rPr>
              <w:t>表4-</w:t>
            </w:r>
            <w:r>
              <w:rPr>
                <w:rFonts w:hint="eastAsia"/>
                <w:b/>
                <w:bCs/>
                <w:color w:val="000000" w:themeColor="text1"/>
                <w:szCs w:val="21"/>
                <w14:textFill>
                  <w14:solidFill>
                    <w14:schemeClr w14:val="tx1"/>
                  </w14:solidFill>
                </w14:textFill>
              </w:rPr>
              <w:t>11</w:t>
            </w:r>
            <w:r>
              <w:rPr>
                <w:b/>
                <w:bCs/>
                <w:color w:val="000000" w:themeColor="text1"/>
                <w:szCs w:val="21"/>
                <w14:textFill>
                  <w14:solidFill>
                    <w14:schemeClr w14:val="tx1"/>
                  </w14:solidFill>
                </w14:textFill>
              </w:rPr>
              <w:t xml:space="preserve"> </w:t>
            </w:r>
            <w:r>
              <w:rPr>
                <w:rFonts w:hint="eastAsia"/>
                <w:b/>
                <w:bCs/>
                <w:color w:val="000000" w:themeColor="text1"/>
                <w:szCs w:val="21"/>
                <w14:textFill>
                  <w14:solidFill>
                    <w14:schemeClr w14:val="tx1"/>
                  </w14:solidFill>
                </w14:textFill>
              </w:rPr>
              <w:t xml:space="preserve"> </w:t>
            </w:r>
            <w:r>
              <w:rPr>
                <w:b/>
                <w:bCs/>
                <w:color w:val="000000" w:themeColor="text1"/>
                <w:szCs w:val="21"/>
                <w14:textFill>
                  <w14:solidFill>
                    <w14:schemeClr w14:val="tx1"/>
                  </w14:solidFill>
                </w14:textFill>
              </w:rPr>
              <w:t>机油的理化性质及危险特性表</w:t>
            </w:r>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
              <w:gridCol w:w="1092"/>
              <w:gridCol w:w="376"/>
              <w:gridCol w:w="708"/>
              <w:gridCol w:w="758"/>
              <w:gridCol w:w="1078"/>
              <w:gridCol w:w="137"/>
              <w:gridCol w:w="779"/>
              <w:gridCol w:w="386"/>
              <w:gridCol w:w="608"/>
              <w:gridCol w:w="819"/>
              <w:gridCol w:w="171"/>
              <w:gridCol w:w="183"/>
              <w:gridCol w:w="919"/>
            </w:tblGrid>
            <w:tr w14:paraId="09B42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65" w:type="pct"/>
                  <w:vMerge w:val="restart"/>
                  <w:vAlign w:val="center"/>
                </w:tcPr>
                <w:p w14:paraId="7E5A17C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标识</w:t>
                  </w:r>
                </w:p>
              </w:tc>
              <w:tc>
                <w:tcPr>
                  <w:tcW w:w="645" w:type="pct"/>
                  <w:vAlign w:val="center"/>
                </w:tcPr>
                <w:p w14:paraId="4EF4BED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中文名</w:t>
                  </w:r>
                </w:p>
              </w:tc>
              <w:tc>
                <w:tcPr>
                  <w:tcW w:w="640" w:type="pct"/>
                  <w:gridSpan w:val="2"/>
                  <w:vAlign w:val="center"/>
                </w:tcPr>
                <w:p w14:paraId="50DADF9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机油；润滑油</w:t>
                  </w:r>
                </w:p>
              </w:tc>
              <w:tc>
                <w:tcPr>
                  <w:tcW w:w="448" w:type="pct"/>
                  <w:vAlign w:val="center"/>
                </w:tcPr>
                <w:p w14:paraId="04066A4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英文名</w:t>
                  </w:r>
                </w:p>
              </w:tc>
              <w:tc>
                <w:tcPr>
                  <w:tcW w:w="1405" w:type="pct"/>
                  <w:gridSpan w:val="4"/>
                  <w:vAlign w:val="center"/>
                </w:tcPr>
                <w:p w14:paraId="0940903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lubricating oil；Lube oil</w:t>
                  </w:r>
                </w:p>
              </w:tc>
              <w:tc>
                <w:tcPr>
                  <w:tcW w:w="944" w:type="pct"/>
                  <w:gridSpan w:val="3"/>
                  <w:vAlign w:val="center"/>
                </w:tcPr>
                <w:p w14:paraId="14E9859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危险货物编号</w:t>
                  </w:r>
                </w:p>
              </w:tc>
              <w:tc>
                <w:tcPr>
                  <w:tcW w:w="650" w:type="pct"/>
                  <w:gridSpan w:val="2"/>
                  <w:vAlign w:val="center"/>
                </w:tcPr>
                <w:p w14:paraId="2AAFF2EA">
                  <w:pP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7B3CB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continue"/>
                  <w:vAlign w:val="center"/>
                </w:tcPr>
                <w:p w14:paraId="0F7835EB">
                  <w:pPr>
                    <w:rPr>
                      <w:color w:val="000000" w:themeColor="text1"/>
                      <w:szCs w:val="21"/>
                      <w14:textFill>
                        <w14:solidFill>
                          <w14:schemeClr w14:val="tx1"/>
                        </w14:solidFill>
                      </w14:textFill>
                    </w:rPr>
                  </w:pPr>
                </w:p>
              </w:tc>
              <w:tc>
                <w:tcPr>
                  <w:tcW w:w="645" w:type="pct"/>
                  <w:vAlign w:val="center"/>
                </w:tcPr>
                <w:p w14:paraId="24E9FF2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分子式</w:t>
                  </w:r>
                </w:p>
              </w:tc>
              <w:tc>
                <w:tcPr>
                  <w:tcW w:w="640" w:type="pct"/>
                  <w:gridSpan w:val="2"/>
                  <w:vAlign w:val="center"/>
                </w:tcPr>
                <w:p w14:paraId="243FE2FA">
                  <w:pP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448" w:type="pct"/>
                  <w:vAlign w:val="center"/>
                </w:tcPr>
                <w:p w14:paraId="0910CED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分子量</w:t>
                  </w:r>
                </w:p>
              </w:tc>
              <w:tc>
                <w:tcPr>
                  <w:tcW w:w="717" w:type="pct"/>
                  <w:gridSpan w:val="2"/>
                  <w:vAlign w:val="center"/>
                </w:tcPr>
                <w:p w14:paraId="3A53AF0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230～500</w:t>
                  </w:r>
                </w:p>
              </w:tc>
              <w:tc>
                <w:tcPr>
                  <w:tcW w:w="688" w:type="pct"/>
                  <w:gridSpan w:val="2"/>
                  <w:vAlign w:val="center"/>
                </w:tcPr>
                <w:p w14:paraId="3CB8116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UN编号</w:t>
                  </w:r>
                </w:p>
              </w:tc>
              <w:tc>
                <w:tcPr>
                  <w:tcW w:w="359" w:type="pct"/>
                  <w:vAlign w:val="center"/>
                </w:tcPr>
                <w:p w14:paraId="6C7365D5">
                  <w:pP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585" w:type="pct"/>
                  <w:gridSpan w:val="2"/>
                  <w:vAlign w:val="center"/>
                </w:tcPr>
                <w:p w14:paraId="41B2CC5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CAS编号</w:t>
                  </w:r>
                </w:p>
              </w:tc>
              <w:tc>
                <w:tcPr>
                  <w:tcW w:w="650" w:type="pct"/>
                  <w:gridSpan w:val="2"/>
                  <w:vAlign w:val="center"/>
                </w:tcPr>
                <w:p w14:paraId="5E023EDC">
                  <w:pP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1E989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continue"/>
                </w:tcPr>
                <w:p w14:paraId="1774672B">
                  <w:pPr>
                    <w:rPr>
                      <w:color w:val="000000" w:themeColor="text1"/>
                      <w:szCs w:val="21"/>
                      <w14:textFill>
                        <w14:solidFill>
                          <w14:schemeClr w14:val="tx1"/>
                        </w14:solidFill>
                      </w14:textFill>
                    </w:rPr>
                  </w:pPr>
                </w:p>
              </w:tc>
              <w:tc>
                <w:tcPr>
                  <w:tcW w:w="645" w:type="pct"/>
                  <w:vAlign w:val="center"/>
                </w:tcPr>
                <w:p w14:paraId="640F0B1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危险类别</w:t>
                  </w:r>
                </w:p>
              </w:tc>
              <w:tc>
                <w:tcPr>
                  <w:tcW w:w="4089" w:type="pct"/>
                  <w:gridSpan w:val="12"/>
                </w:tcPr>
                <w:p w14:paraId="5B6815B1">
                  <w:pP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0F306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restart"/>
                  <w:vAlign w:val="center"/>
                </w:tcPr>
                <w:p w14:paraId="2ACB7A8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理化性质</w:t>
                  </w:r>
                </w:p>
              </w:tc>
              <w:tc>
                <w:tcPr>
                  <w:tcW w:w="645" w:type="pct"/>
                  <w:vAlign w:val="center"/>
                </w:tcPr>
                <w:p w14:paraId="0779D8E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性状</w:t>
                  </w:r>
                </w:p>
              </w:tc>
              <w:tc>
                <w:tcPr>
                  <w:tcW w:w="4089" w:type="pct"/>
                  <w:gridSpan w:val="12"/>
                </w:tcPr>
                <w:p w14:paraId="4E4FE171">
                  <w:pPr>
                    <w:rPr>
                      <w:color w:val="000000" w:themeColor="text1"/>
                      <w:szCs w:val="21"/>
                      <w14:textFill>
                        <w14:solidFill>
                          <w14:schemeClr w14:val="tx1"/>
                        </w14:solidFill>
                      </w14:textFill>
                    </w:rPr>
                  </w:pPr>
                  <w:r>
                    <w:rPr>
                      <w:color w:val="000000" w:themeColor="text1"/>
                      <w:szCs w:val="21"/>
                      <w14:textFill>
                        <w14:solidFill>
                          <w14:schemeClr w14:val="tx1"/>
                        </w14:solidFill>
                      </w14:textFill>
                    </w:rPr>
                    <w:t>油状液体，淡黄色至褐色，无气味或略带异味。</w:t>
                  </w:r>
                </w:p>
              </w:tc>
            </w:tr>
            <w:tr w14:paraId="0F959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continue"/>
                </w:tcPr>
                <w:p w14:paraId="0AF047D2">
                  <w:pPr>
                    <w:rPr>
                      <w:color w:val="000000" w:themeColor="text1"/>
                      <w:szCs w:val="21"/>
                      <w14:textFill>
                        <w14:solidFill>
                          <w14:schemeClr w14:val="tx1"/>
                        </w14:solidFill>
                      </w14:textFill>
                    </w:rPr>
                  </w:pPr>
                </w:p>
              </w:tc>
              <w:tc>
                <w:tcPr>
                  <w:tcW w:w="867" w:type="pct"/>
                  <w:gridSpan w:val="2"/>
                  <w:vAlign w:val="center"/>
                </w:tcPr>
                <w:p w14:paraId="02F870A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熔点（℃）</w:t>
                  </w:r>
                </w:p>
              </w:tc>
              <w:tc>
                <w:tcPr>
                  <w:tcW w:w="1584" w:type="pct"/>
                  <w:gridSpan w:val="4"/>
                  <w:vAlign w:val="center"/>
                </w:tcPr>
                <w:p w14:paraId="158D50DE">
                  <w:pP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1531" w:type="pct"/>
                  <w:gridSpan w:val="4"/>
                  <w:vAlign w:val="center"/>
                </w:tcPr>
                <w:p w14:paraId="0F8C526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临界压力（Mpa）</w:t>
                  </w:r>
                </w:p>
              </w:tc>
              <w:tc>
                <w:tcPr>
                  <w:tcW w:w="751" w:type="pct"/>
                  <w:gridSpan w:val="3"/>
                  <w:vAlign w:val="center"/>
                </w:tcPr>
                <w:p w14:paraId="2062741A">
                  <w:pP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785D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continue"/>
                </w:tcPr>
                <w:p w14:paraId="7129B79D">
                  <w:pPr>
                    <w:rPr>
                      <w:color w:val="000000" w:themeColor="text1"/>
                      <w:szCs w:val="21"/>
                      <w14:textFill>
                        <w14:solidFill>
                          <w14:schemeClr w14:val="tx1"/>
                        </w14:solidFill>
                      </w14:textFill>
                    </w:rPr>
                  </w:pPr>
                </w:p>
              </w:tc>
              <w:tc>
                <w:tcPr>
                  <w:tcW w:w="867" w:type="pct"/>
                  <w:gridSpan w:val="2"/>
                  <w:vAlign w:val="center"/>
                </w:tcPr>
                <w:p w14:paraId="59104DD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沸点（℃）</w:t>
                  </w:r>
                </w:p>
              </w:tc>
              <w:tc>
                <w:tcPr>
                  <w:tcW w:w="1584" w:type="pct"/>
                  <w:gridSpan w:val="4"/>
                  <w:vAlign w:val="center"/>
                </w:tcPr>
                <w:p w14:paraId="45A4B6EF">
                  <w:pP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1531" w:type="pct"/>
                  <w:gridSpan w:val="4"/>
                  <w:vAlign w:val="center"/>
                </w:tcPr>
                <w:p w14:paraId="01B5C31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相对密度（水＝1）</w:t>
                  </w:r>
                </w:p>
              </w:tc>
              <w:tc>
                <w:tcPr>
                  <w:tcW w:w="751" w:type="pct"/>
                  <w:gridSpan w:val="3"/>
                  <w:vAlign w:val="center"/>
                </w:tcPr>
                <w:p w14:paraId="31CE4AB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r>
            <w:tr w14:paraId="2888D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continue"/>
                </w:tcPr>
                <w:p w14:paraId="09F4C96E">
                  <w:pPr>
                    <w:rPr>
                      <w:color w:val="000000" w:themeColor="text1"/>
                      <w:szCs w:val="21"/>
                      <w14:textFill>
                        <w14:solidFill>
                          <w14:schemeClr w14:val="tx1"/>
                        </w14:solidFill>
                      </w14:textFill>
                    </w:rPr>
                  </w:pPr>
                </w:p>
              </w:tc>
              <w:tc>
                <w:tcPr>
                  <w:tcW w:w="867" w:type="pct"/>
                  <w:gridSpan w:val="2"/>
                  <w:vAlign w:val="center"/>
                </w:tcPr>
                <w:p w14:paraId="17B8F29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饱和蒸汽压（kpa）</w:t>
                  </w:r>
                </w:p>
              </w:tc>
              <w:tc>
                <w:tcPr>
                  <w:tcW w:w="1584" w:type="pct"/>
                  <w:gridSpan w:val="4"/>
                  <w:vAlign w:val="center"/>
                </w:tcPr>
                <w:p w14:paraId="50A5DD04">
                  <w:pP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1531" w:type="pct"/>
                  <w:gridSpan w:val="4"/>
                  <w:vAlign w:val="center"/>
                </w:tcPr>
                <w:p w14:paraId="4F0C435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相对密度（空气＝1）</w:t>
                  </w:r>
                </w:p>
              </w:tc>
              <w:tc>
                <w:tcPr>
                  <w:tcW w:w="751" w:type="pct"/>
                  <w:gridSpan w:val="3"/>
                  <w:vAlign w:val="center"/>
                </w:tcPr>
                <w:p w14:paraId="2C06C258">
                  <w:pP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00F8A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continue"/>
                </w:tcPr>
                <w:p w14:paraId="24735A4D">
                  <w:pPr>
                    <w:rPr>
                      <w:color w:val="000000" w:themeColor="text1"/>
                      <w:szCs w:val="21"/>
                      <w14:textFill>
                        <w14:solidFill>
                          <w14:schemeClr w14:val="tx1"/>
                        </w14:solidFill>
                      </w14:textFill>
                    </w:rPr>
                  </w:pPr>
                </w:p>
              </w:tc>
              <w:tc>
                <w:tcPr>
                  <w:tcW w:w="867" w:type="pct"/>
                  <w:gridSpan w:val="2"/>
                  <w:vAlign w:val="center"/>
                </w:tcPr>
                <w:p w14:paraId="0005651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临界温度（℃）</w:t>
                  </w:r>
                </w:p>
              </w:tc>
              <w:tc>
                <w:tcPr>
                  <w:tcW w:w="1584" w:type="pct"/>
                  <w:gridSpan w:val="4"/>
                  <w:vAlign w:val="center"/>
                </w:tcPr>
                <w:p w14:paraId="5FB01B99">
                  <w:pP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1531" w:type="pct"/>
                  <w:gridSpan w:val="4"/>
                  <w:vAlign w:val="center"/>
                </w:tcPr>
                <w:p w14:paraId="470C267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燃烧热（KJ·mol-1）</w:t>
                  </w:r>
                </w:p>
              </w:tc>
              <w:tc>
                <w:tcPr>
                  <w:tcW w:w="751" w:type="pct"/>
                  <w:gridSpan w:val="3"/>
                  <w:vAlign w:val="center"/>
                </w:tcPr>
                <w:p w14:paraId="35482F76">
                  <w:pP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355C7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continue"/>
                </w:tcPr>
                <w:p w14:paraId="4EFC88B4">
                  <w:pPr>
                    <w:rPr>
                      <w:color w:val="000000" w:themeColor="text1"/>
                      <w:szCs w:val="21"/>
                      <w14:textFill>
                        <w14:solidFill>
                          <w14:schemeClr w14:val="tx1"/>
                        </w14:solidFill>
                      </w14:textFill>
                    </w:rPr>
                  </w:pPr>
                </w:p>
              </w:tc>
              <w:tc>
                <w:tcPr>
                  <w:tcW w:w="867" w:type="pct"/>
                  <w:gridSpan w:val="2"/>
                  <w:vAlign w:val="center"/>
                </w:tcPr>
                <w:p w14:paraId="241263C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溶解性</w:t>
                  </w:r>
                </w:p>
              </w:tc>
              <w:tc>
                <w:tcPr>
                  <w:tcW w:w="3867" w:type="pct"/>
                  <w:gridSpan w:val="11"/>
                </w:tcPr>
                <w:p w14:paraId="367E150E">
                  <w:pPr>
                    <w:rPr>
                      <w:color w:val="000000" w:themeColor="text1"/>
                      <w:szCs w:val="21"/>
                      <w14:textFill>
                        <w14:solidFill>
                          <w14:schemeClr w14:val="tx1"/>
                        </w14:solidFill>
                      </w14:textFill>
                    </w:rPr>
                  </w:pPr>
                  <w:r>
                    <w:rPr>
                      <w:color w:val="000000" w:themeColor="text1"/>
                      <w:szCs w:val="21"/>
                      <w14:textFill>
                        <w14:solidFill>
                          <w14:schemeClr w14:val="tx1"/>
                        </w14:solidFill>
                      </w14:textFill>
                    </w:rPr>
                    <w:t>不溶于水</w:t>
                  </w:r>
                </w:p>
              </w:tc>
            </w:tr>
            <w:tr w14:paraId="56A8F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restart"/>
                  <w:vAlign w:val="center"/>
                </w:tcPr>
                <w:p w14:paraId="21CD374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燃烧爆炸危险性</w:t>
                  </w:r>
                </w:p>
              </w:tc>
              <w:tc>
                <w:tcPr>
                  <w:tcW w:w="867" w:type="pct"/>
                  <w:gridSpan w:val="2"/>
                  <w:vAlign w:val="center"/>
                </w:tcPr>
                <w:p w14:paraId="39F4877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燃烧性</w:t>
                  </w:r>
                </w:p>
              </w:tc>
              <w:tc>
                <w:tcPr>
                  <w:tcW w:w="1584" w:type="pct"/>
                  <w:gridSpan w:val="4"/>
                  <w:vAlign w:val="center"/>
                </w:tcPr>
                <w:p w14:paraId="07A9351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可燃</w:t>
                  </w:r>
                </w:p>
              </w:tc>
              <w:tc>
                <w:tcPr>
                  <w:tcW w:w="1531" w:type="pct"/>
                  <w:gridSpan w:val="4"/>
                  <w:vAlign w:val="center"/>
                </w:tcPr>
                <w:p w14:paraId="69F3E67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闪点（℃）</w:t>
                  </w:r>
                </w:p>
              </w:tc>
              <w:tc>
                <w:tcPr>
                  <w:tcW w:w="751" w:type="pct"/>
                  <w:gridSpan w:val="3"/>
                  <w:vAlign w:val="center"/>
                </w:tcPr>
                <w:p w14:paraId="00E5BC7C">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76</w:t>
                  </w:r>
                </w:p>
              </w:tc>
            </w:tr>
            <w:tr w14:paraId="558FF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continue"/>
                </w:tcPr>
                <w:p w14:paraId="6580A9ED">
                  <w:pPr>
                    <w:rPr>
                      <w:color w:val="000000" w:themeColor="text1"/>
                      <w:szCs w:val="21"/>
                      <w14:textFill>
                        <w14:solidFill>
                          <w14:schemeClr w14:val="tx1"/>
                        </w14:solidFill>
                      </w14:textFill>
                    </w:rPr>
                  </w:pPr>
                </w:p>
              </w:tc>
              <w:tc>
                <w:tcPr>
                  <w:tcW w:w="867" w:type="pct"/>
                  <w:gridSpan w:val="2"/>
                  <w:vAlign w:val="center"/>
                </w:tcPr>
                <w:p w14:paraId="61454B4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爆炸极限（％）</w:t>
                  </w:r>
                </w:p>
              </w:tc>
              <w:tc>
                <w:tcPr>
                  <w:tcW w:w="1584" w:type="pct"/>
                  <w:gridSpan w:val="4"/>
                  <w:vAlign w:val="center"/>
                </w:tcPr>
                <w:p w14:paraId="0ADEA00F">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无资料</w:t>
                  </w:r>
                </w:p>
              </w:tc>
              <w:tc>
                <w:tcPr>
                  <w:tcW w:w="1531" w:type="pct"/>
                  <w:gridSpan w:val="4"/>
                  <w:vAlign w:val="center"/>
                </w:tcPr>
                <w:p w14:paraId="490C45D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最小点火能（MJ）</w:t>
                  </w:r>
                </w:p>
              </w:tc>
              <w:tc>
                <w:tcPr>
                  <w:tcW w:w="751" w:type="pct"/>
                  <w:gridSpan w:val="3"/>
                  <w:vAlign w:val="center"/>
                </w:tcPr>
                <w:p w14:paraId="03212AAE">
                  <w:pP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7E463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continue"/>
                </w:tcPr>
                <w:p w14:paraId="011152AF">
                  <w:pPr>
                    <w:rPr>
                      <w:color w:val="000000" w:themeColor="text1"/>
                      <w:szCs w:val="21"/>
                      <w14:textFill>
                        <w14:solidFill>
                          <w14:schemeClr w14:val="tx1"/>
                        </w14:solidFill>
                      </w14:textFill>
                    </w:rPr>
                  </w:pPr>
                </w:p>
              </w:tc>
              <w:tc>
                <w:tcPr>
                  <w:tcW w:w="867" w:type="pct"/>
                  <w:gridSpan w:val="2"/>
                  <w:vAlign w:val="center"/>
                </w:tcPr>
                <w:p w14:paraId="29D9486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引燃温度（℃）</w:t>
                  </w:r>
                </w:p>
              </w:tc>
              <w:tc>
                <w:tcPr>
                  <w:tcW w:w="1584" w:type="pct"/>
                  <w:gridSpan w:val="4"/>
                  <w:vAlign w:val="center"/>
                </w:tcPr>
                <w:p w14:paraId="1EADC726">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248</w:t>
                  </w:r>
                </w:p>
              </w:tc>
              <w:tc>
                <w:tcPr>
                  <w:tcW w:w="1531" w:type="pct"/>
                  <w:gridSpan w:val="4"/>
                  <w:vAlign w:val="center"/>
                </w:tcPr>
                <w:p w14:paraId="0819BAC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最大爆炸压力（Mpa）</w:t>
                  </w:r>
                </w:p>
              </w:tc>
              <w:tc>
                <w:tcPr>
                  <w:tcW w:w="751" w:type="pct"/>
                  <w:gridSpan w:val="3"/>
                  <w:vAlign w:val="center"/>
                </w:tcPr>
                <w:p w14:paraId="0CF24469">
                  <w:pP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3885D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continue"/>
                </w:tcPr>
                <w:p w14:paraId="781CC4B7">
                  <w:pPr>
                    <w:rPr>
                      <w:color w:val="000000" w:themeColor="text1"/>
                      <w:szCs w:val="21"/>
                      <w14:textFill>
                        <w14:solidFill>
                          <w14:schemeClr w14:val="tx1"/>
                        </w14:solidFill>
                      </w14:textFill>
                    </w:rPr>
                  </w:pPr>
                </w:p>
              </w:tc>
              <w:tc>
                <w:tcPr>
                  <w:tcW w:w="867" w:type="pct"/>
                  <w:gridSpan w:val="2"/>
                  <w:vAlign w:val="center"/>
                </w:tcPr>
                <w:p w14:paraId="3E025D8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危险特性</w:t>
                  </w:r>
                </w:p>
              </w:tc>
              <w:tc>
                <w:tcPr>
                  <w:tcW w:w="3867" w:type="pct"/>
                  <w:gridSpan w:val="11"/>
                </w:tcPr>
                <w:p w14:paraId="6F2A160E">
                  <w:pPr>
                    <w:rPr>
                      <w:color w:val="000000" w:themeColor="text1"/>
                      <w:szCs w:val="21"/>
                      <w14:textFill>
                        <w14:solidFill>
                          <w14:schemeClr w14:val="tx1"/>
                        </w14:solidFill>
                      </w14:textFill>
                    </w:rPr>
                  </w:pPr>
                  <w:r>
                    <w:rPr>
                      <w:color w:val="000000" w:themeColor="text1"/>
                      <w:szCs w:val="21"/>
                      <w14:textFill>
                        <w14:solidFill>
                          <w14:schemeClr w14:val="tx1"/>
                        </w14:solidFill>
                      </w14:textFill>
                    </w:rPr>
                    <w:t>遇明火、高热可燃。</w:t>
                  </w:r>
                </w:p>
              </w:tc>
            </w:tr>
            <w:tr w14:paraId="1894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continue"/>
                </w:tcPr>
                <w:p w14:paraId="17DFA1E1">
                  <w:pPr>
                    <w:rPr>
                      <w:color w:val="000000" w:themeColor="text1"/>
                      <w:szCs w:val="21"/>
                      <w14:textFill>
                        <w14:solidFill>
                          <w14:schemeClr w14:val="tx1"/>
                        </w14:solidFill>
                      </w14:textFill>
                    </w:rPr>
                  </w:pPr>
                </w:p>
              </w:tc>
              <w:tc>
                <w:tcPr>
                  <w:tcW w:w="867" w:type="pct"/>
                  <w:gridSpan w:val="2"/>
                  <w:vAlign w:val="center"/>
                </w:tcPr>
                <w:p w14:paraId="22D42DF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灭火方法</w:t>
                  </w:r>
                </w:p>
              </w:tc>
              <w:tc>
                <w:tcPr>
                  <w:tcW w:w="3867" w:type="pct"/>
                  <w:gridSpan w:val="11"/>
                </w:tcPr>
                <w:p w14:paraId="36F4CBC3">
                  <w:pPr>
                    <w:rPr>
                      <w:color w:val="000000" w:themeColor="text1"/>
                      <w:szCs w:val="21"/>
                      <w14:textFill>
                        <w14:solidFill>
                          <w14:schemeClr w14:val="tx1"/>
                        </w14:solidFill>
                      </w14:textFill>
                    </w:rPr>
                  </w:pPr>
                  <w:r>
                    <w:rPr>
                      <w:color w:val="000000" w:themeColor="text1"/>
                      <w:szCs w:val="21"/>
                      <w14:textFill>
                        <w14:solidFill>
                          <w14:schemeClr w14:val="tx1"/>
                        </w14:solidFill>
                      </w14:textFill>
                    </w:rPr>
                    <w:t>消防人员须佩戴防毒面具、穿全身消防服，在上风向灭火。尽可能将容器从火场移至空旷处。喷水保持火场容器冷却，直至灭火结束。处在火场中的容器若已变色或从安全泄压装置中产生声音，必须马上撤离。灭火剂：雾状水、泡沫、干粉、二氧化碳、砂土。</w:t>
                  </w:r>
                </w:p>
              </w:tc>
            </w:tr>
            <w:tr w14:paraId="2B161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continue"/>
                </w:tcPr>
                <w:p w14:paraId="496B2EE2">
                  <w:pPr>
                    <w:rPr>
                      <w:color w:val="000000" w:themeColor="text1"/>
                      <w:szCs w:val="21"/>
                      <w14:textFill>
                        <w14:solidFill>
                          <w14:schemeClr w14:val="tx1"/>
                        </w14:solidFill>
                      </w14:textFill>
                    </w:rPr>
                  </w:pPr>
                </w:p>
              </w:tc>
              <w:tc>
                <w:tcPr>
                  <w:tcW w:w="867" w:type="pct"/>
                  <w:gridSpan w:val="2"/>
                  <w:vAlign w:val="center"/>
                </w:tcPr>
                <w:p w14:paraId="75CFDE1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禁忌物</w:t>
                  </w:r>
                </w:p>
              </w:tc>
              <w:tc>
                <w:tcPr>
                  <w:tcW w:w="2631" w:type="pct"/>
                  <w:gridSpan w:val="7"/>
                  <w:vAlign w:val="center"/>
                </w:tcPr>
                <w:p w14:paraId="11DFFD3F">
                  <w:pP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693" w:type="pct"/>
                  <w:gridSpan w:val="3"/>
                  <w:vAlign w:val="center"/>
                </w:tcPr>
                <w:p w14:paraId="7E9FEFF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稳定性</w:t>
                  </w:r>
                </w:p>
              </w:tc>
              <w:tc>
                <w:tcPr>
                  <w:tcW w:w="542" w:type="pct"/>
                  <w:vAlign w:val="center"/>
                </w:tcPr>
                <w:p w14:paraId="303137E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稳定</w:t>
                  </w:r>
                </w:p>
              </w:tc>
            </w:tr>
            <w:tr w14:paraId="41A1B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continue"/>
                </w:tcPr>
                <w:p w14:paraId="56270751">
                  <w:pPr>
                    <w:rPr>
                      <w:color w:val="000000" w:themeColor="text1"/>
                      <w:szCs w:val="21"/>
                      <w14:textFill>
                        <w14:solidFill>
                          <w14:schemeClr w14:val="tx1"/>
                        </w14:solidFill>
                      </w14:textFill>
                    </w:rPr>
                  </w:pPr>
                </w:p>
              </w:tc>
              <w:tc>
                <w:tcPr>
                  <w:tcW w:w="867" w:type="pct"/>
                  <w:gridSpan w:val="2"/>
                  <w:vAlign w:val="center"/>
                </w:tcPr>
                <w:p w14:paraId="1784CD8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燃烧产物</w:t>
                  </w:r>
                </w:p>
              </w:tc>
              <w:tc>
                <w:tcPr>
                  <w:tcW w:w="2631" w:type="pct"/>
                  <w:gridSpan w:val="7"/>
                  <w:vAlign w:val="center"/>
                </w:tcPr>
                <w:p w14:paraId="60DB3109">
                  <w:pPr>
                    <w:rPr>
                      <w:color w:val="000000" w:themeColor="text1"/>
                      <w:szCs w:val="21"/>
                      <w14:textFill>
                        <w14:solidFill>
                          <w14:schemeClr w14:val="tx1"/>
                        </w14:solidFill>
                      </w14:textFill>
                    </w:rPr>
                  </w:pPr>
                  <w:r>
                    <w:rPr>
                      <w:color w:val="000000" w:themeColor="text1"/>
                      <w:szCs w:val="21"/>
                      <w14:textFill>
                        <w14:solidFill>
                          <w14:schemeClr w14:val="tx1"/>
                        </w14:solidFill>
                      </w14:textFill>
                    </w:rPr>
                    <w:t>一氧化碳、二氧化碳</w:t>
                  </w:r>
                </w:p>
              </w:tc>
              <w:tc>
                <w:tcPr>
                  <w:tcW w:w="693" w:type="pct"/>
                  <w:gridSpan w:val="3"/>
                  <w:vAlign w:val="center"/>
                </w:tcPr>
                <w:p w14:paraId="59CE91B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聚合危害</w:t>
                  </w:r>
                </w:p>
              </w:tc>
              <w:tc>
                <w:tcPr>
                  <w:tcW w:w="542" w:type="pct"/>
                  <w:vAlign w:val="center"/>
                </w:tcPr>
                <w:p w14:paraId="0738F3C0">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不聚合</w:t>
                  </w:r>
                </w:p>
              </w:tc>
            </w:tr>
            <w:tr w14:paraId="673EA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restart"/>
                  <w:vAlign w:val="center"/>
                </w:tcPr>
                <w:p w14:paraId="36EE21C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毒性及健康危害</w:t>
                  </w:r>
                </w:p>
              </w:tc>
              <w:tc>
                <w:tcPr>
                  <w:tcW w:w="867" w:type="pct"/>
                  <w:gridSpan w:val="2"/>
                  <w:vAlign w:val="center"/>
                </w:tcPr>
                <w:p w14:paraId="1F7D4AD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急性毒性</w:t>
                  </w:r>
                </w:p>
              </w:tc>
              <w:tc>
                <w:tcPr>
                  <w:tcW w:w="1503" w:type="pct"/>
                  <w:gridSpan w:val="3"/>
                  <w:vAlign w:val="center"/>
                </w:tcPr>
                <w:p w14:paraId="0D0D330F">
                  <w:pPr>
                    <w:rPr>
                      <w:color w:val="000000" w:themeColor="text1"/>
                      <w:szCs w:val="21"/>
                      <w14:textFill>
                        <w14:solidFill>
                          <w14:schemeClr w14:val="tx1"/>
                        </w14:solidFill>
                      </w14:textFill>
                    </w:rPr>
                  </w:pPr>
                  <w:r>
                    <w:rPr>
                      <w:color w:val="000000" w:themeColor="text1"/>
                      <w:szCs w:val="21"/>
                      <w14:textFill>
                        <w14:solidFill>
                          <w14:schemeClr w14:val="tx1"/>
                        </w14:solidFill>
                      </w14:textFill>
                    </w:rPr>
                    <w:t>LD50（mg/kg，大鼠经口）</w:t>
                  </w:r>
                </w:p>
              </w:tc>
              <w:tc>
                <w:tcPr>
                  <w:tcW w:w="541" w:type="pct"/>
                  <w:gridSpan w:val="2"/>
                </w:tcPr>
                <w:p w14:paraId="450AC23D">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无资料</w:t>
                  </w:r>
                </w:p>
              </w:tc>
              <w:tc>
                <w:tcPr>
                  <w:tcW w:w="1280" w:type="pct"/>
                  <w:gridSpan w:val="5"/>
                </w:tcPr>
                <w:p w14:paraId="1E4572C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LC50（mg/kg）</w:t>
                  </w:r>
                </w:p>
              </w:tc>
              <w:tc>
                <w:tcPr>
                  <w:tcW w:w="542" w:type="pct"/>
                  <w:vAlign w:val="center"/>
                </w:tcPr>
                <w:p w14:paraId="2BEBFDE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无资料</w:t>
                  </w:r>
                </w:p>
              </w:tc>
            </w:tr>
            <w:tr w14:paraId="72400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continue"/>
                </w:tcPr>
                <w:p w14:paraId="2403B999">
                  <w:pPr>
                    <w:rPr>
                      <w:color w:val="000000" w:themeColor="text1"/>
                      <w:szCs w:val="21"/>
                      <w14:textFill>
                        <w14:solidFill>
                          <w14:schemeClr w14:val="tx1"/>
                        </w14:solidFill>
                      </w14:textFill>
                    </w:rPr>
                  </w:pPr>
                </w:p>
              </w:tc>
              <w:tc>
                <w:tcPr>
                  <w:tcW w:w="867" w:type="pct"/>
                  <w:gridSpan w:val="2"/>
                  <w:vMerge w:val="restart"/>
                  <w:vAlign w:val="center"/>
                </w:tcPr>
                <w:p w14:paraId="6B6CD2E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健康危害</w:t>
                  </w:r>
                </w:p>
              </w:tc>
              <w:tc>
                <w:tcPr>
                  <w:tcW w:w="2044" w:type="pct"/>
                  <w:gridSpan w:val="5"/>
                </w:tcPr>
                <w:p w14:paraId="0D6D476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车间卫生标准</w:t>
                  </w:r>
                </w:p>
              </w:tc>
              <w:tc>
                <w:tcPr>
                  <w:tcW w:w="1823" w:type="pct"/>
                  <w:gridSpan w:val="6"/>
                </w:tcPr>
                <w:p w14:paraId="6D6210FB">
                  <w:pP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02AA9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Merge w:val="continue"/>
                </w:tcPr>
                <w:p w14:paraId="1D6E6E8F">
                  <w:pPr>
                    <w:rPr>
                      <w:color w:val="000000" w:themeColor="text1"/>
                      <w:szCs w:val="21"/>
                      <w14:textFill>
                        <w14:solidFill>
                          <w14:schemeClr w14:val="tx1"/>
                        </w14:solidFill>
                      </w14:textFill>
                    </w:rPr>
                  </w:pPr>
                </w:p>
              </w:tc>
              <w:tc>
                <w:tcPr>
                  <w:tcW w:w="867" w:type="pct"/>
                  <w:gridSpan w:val="2"/>
                  <w:vMerge w:val="continue"/>
                  <w:vAlign w:val="center"/>
                </w:tcPr>
                <w:p w14:paraId="773833CC">
                  <w:pPr>
                    <w:rPr>
                      <w:color w:val="000000" w:themeColor="text1"/>
                      <w:szCs w:val="21"/>
                      <w14:textFill>
                        <w14:solidFill>
                          <w14:schemeClr w14:val="tx1"/>
                        </w14:solidFill>
                      </w14:textFill>
                    </w:rPr>
                  </w:pPr>
                </w:p>
              </w:tc>
              <w:tc>
                <w:tcPr>
                  <w:tcW w:w="3867" w:type="pct"/>
                  <w:gridSpan w:val="11"/>
                  <w:vAlign w:val="center"/>
                </w:tcPr>
                <w:p w14:paraId="011FA1D2">
                  <w:pPr>
                    <w:rPr>
                      <w:color w:val="000000" w:themeColor="text1"/>
                      <w:szCs w:val="21"/>
                      <w14:textFill>
                        <w14:solidFill>
                          <w14:schemeClr w14:val="tx1"/>
                        </w14:solidFill>
                      </w14:textFill>
                    </w:rPr>
                  </w:pPr>
                  <w:r>
                    <w:rPr>
                      <w:color w:val="000000" w:themeColor="text1"/>
                      <w:szCs w:val="21"/>
                      <w14:textFill>
                        <w14:solidFill>
                          <w14:schemeClr w14:val="tx1"/>
                        </w14:solidFill>
                      </w14:textFill>
                    </w:rPr>
                    <w:t>侵入途径：吸入、食入；</w:t>
                  </w:r>
                </w:p>
                <w:p w14:paraId="241419A7">
                  <w:pPr>
                    <w:rPr>
                      <w:color w:val="000000" w:themeColor="text1"/>
                      <w:szCs w:val="21"/>
                      <w14:textFill>
                        <w14:solidFill>
                          <w14:schemeClr w14:val="tx1"/>
                        </w14:solidFill>
                      </w14:textFill>
                    </w:rPr>
                  </w:pPr>
                  <w:r>
                    <w:rPr>
                      <w:color w:val="000000" w:themeColor="text1"/>
                      <w:szCs w:val="21"/>
                      <w14:textFill>
                        <w14:solidFill>
                          <w14:schemeClr w14:val="tx1"/>
                        </w14:solidFill>
                      </w14:textFill>
                    </w:rPr>
                    <w:t>急性吸入，可出现乏力、头晕、头痛、恶心，严重者可引起油脂性肺炎。慢接触者，暴露部位可发生油性痤疮和接触性皮炎。可引起神经衰弱综合征，呼吸道和眼刺激症状及慢性油脂性肺炎。有资料报道，接触石油润滑油类的工人，有致癌的病例报告。</w:t>
                  </w:r>
                </w:p>
              </w:tc>
            </w:tr>
            <w:tr w14:paraId="6C734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Align w:val="center"/>
                </w:tcPr>
                <w:p w14:paraId="0384A80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急</w:t>
                  </w:r>
                </w:p>
                <w:p w14:paraId="5883E23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救</w:t>
                  </w:r>
                </w:p>
              </w:tc>
              <w:tc>
                <w:tcPr>
                  <w:tcW w:w="4734" w:type="pct"/>
                  <w:gridSpan w:val="13"/>
                  <w:vAlign w:val="center"/>
                </w:tcPr>
                <w:p w14:paraId="1A68002E">
                  <w:pPr>
                    <w:rPr>
                      <w:color w:val="000000" w:themeColor="text1"/>
                      <w:szCs w:val="21"/>
                      <w14:textFill>
                        <w14:solidFill>
                          <w14:schemeClr w14:val="tx1"/>
                        </w14:solidFill>
                      </w14:textFill>
                    </w:rPr>
                  </w:pPr>
                  <w:r>
                    <w:rPr>
                      <w:color w:val="000000" w:themeColor="text1"/>
                      <w:szCs w:val="21"/>
                      <w14:textFill>
                        <w14:solidFill>
                          <w14:schemeClr w14:val="tx1"/>
                        </w14:solidFill>
                      </w14:textFill>
                    </w:rPr>
                    <w:t>皮肤接触：立即脱去被污染的衣着，用大量清水冲洗；</w:t>
                  </w:r>
                </w:p>
                <w:p w14:paraId="1702FE41">
                  <w:pPr>
                    <w:rPr>
                      <w:color w:val="000000" w:themeColor="text1"/>
                      <w:szCs w:val="21"/>
                      <w14:textFill>
                        <w14:solidFill>
                          <w14:schemeClr w14:val="tx1"/>
                        </w14:solidFill>
                      </w14:textFill>
                    </w:rPr>
                  </w:pPr>
                  <w:r>
                    <w:rPr>
                      <w:color w:val="000000" w:themeColor="text1"/>
                      <w:szCs w:val="21"/>
                      <w14:textFill>
                        <w14:solidFill>
                          <w14:schemeClr w14:val="tx1"/>
                        </w14:solidFill>
                      </w14:textFill>
                    </w:rPr>
                    <w:t>眼睛接触：立即提起眼睑，用大量流动清水或生理盐水冲洗，就医；</w:t>
                  </w:r>
                </w:p>
                <w:p w14:paraId="2706AA55">
                  <w:pPr>
                    <w:rPr>
                      <w:color w:val="000000" w:themeColor="text1"/>
                      <w:szCs w:val="21"/>
                      <w14:textFill>
                        <w14:solidFill>
                          <w14:schemeClr w14:val="tx1"/>
                        </w14:solidFill>
                      </w14:textFill>
                    </w:rPr>
                  </w:pPr>
                  <w:r>
                    <w:rPr>
                      <w:color w:val="000000" w:themeColor="text1"/>
                      <w:szCs w:val="21"/>
                      <w14:textFill>
                        <w14:solidFill>
                          <w14:schemeClr w14:val="tx1"/>
                        </w14:solidFill>
                      </w14:textFill>
                    </w:rPr>
                    <w:t>吸入：迅速脱离现场至空气新鲜处，保持呼吸道通畅，如呼吸困难，给输氧；如呼吸停止，立即进行人工呼吸，就医；</w:t>
                  </w:r>
                </w:p>
                <w:p w14:paraId="4105BE02">
                  <w:pPr>
                    <w:rPr>
                      <w:color w:val="000000" w:themeColor="text1"/>
                      <w:szCs w:val="21"/>
                      <w14:textFill>
                        <w14:solidFill>
                          <w14:schemeClr w14:val="tx1"/>
                        </w14:solidFill>
                      </w14:textFill>
                    </w:rPr>
                  </w:pPr>
                  <w:r>
                    <w:rPr>
                      <w:color w:val="000000" w:themeColor="text1"/>
                      <w:szCs w:val="21"/>
                      <w14:textFill>
                        <w14:solidFill>
                          <w14:schemeClr w14:val="tx1"/>
                        </w14:solidFill>
                      </w14:textFill>
                    </w:rPr>
                    <w:t>食入：饮足量温水，催吐，就医。</w:t>
                  </w:r>
                </w:p>
              </w:tc>
            </w:tr>
            <w:tr w14:paraId="22A98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Align w:val="center"/>
                </w:tcPr>
                <w:p w14:paraId="31ED78FB">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防护</w:t>
                  </w:r>
                </w:p>
              </w:tc>
              <w:tc>
                <w:tcPr>
                  <w:tcW w:w="4734" w:type="pct"/>
                  <w:gridSpan w:val="13"/>
                  <w:vAlign w:val="center"/>
                </w:tcPr>
                <w:p w14:paraId="1868F325">
                  <w:pPr>
                    <w:rPr>
                      <w:color w:val="000000" w:themeColor="text1"/>
                      <w:szCs w:val="21"/>
                      <w14:textFill>
                        <w14:solidFill>
                          <w14:schemeClr w14:val="tx1"/>
                        </w14:solidFill>
                      </w14:textFill>
                    </w:rPr>
                  </w:pPr>
                  <w:r>
                    <w:rPr>
                      <w:color w:val="000000" w:themeColor="text1"/>
                      <w:szCs w:val="21"/>
                      <w14:textFill>
                        <w14:solidFill>
                          <w14:schemeClr w14:val="tx1"/>
                        </w14:solidFill>
                      </w14:textFill>
                    </w:rPr>
                    <w:t>工程控制：密闭操作，注意通风；</w:t>
                  </w:r>
                </w:p>
                <w:p w14:paraId="2B41DF93">
                  <w:pPr>
                    <w:rPr>
                      <w:color w:val="000000" w:themeColor="text1"/>
                      <w:szCs w:val="21"/>
                      <w14:textFill>
                        <w14:solidFill>
                          <w14:schemeClr w14:val="tx1"/>
                        </w14:solidFill>
                      </w14:textFill>
                    </w:rPr>
                  </w:pPr>
                  <w:r>
                    <w:rPr>
                      <w:color w:val="000000" w:themeColor="text1"/>
                      <w:szCs w:val="21"/>
                      <w14:textFill>
                        <w14:solidFill>
                          <w14:schemeClr w14:val="tx1"/>
                        </w14:solidFill>
                      </w14:textFill>
                    </w:rPr>
                    <w:t>呼吸系统防护：空气中浓度超标时，建议佩戴自吸过滤式防毒面具（半面罩）。紧急事态抢救或撤离时，应该佩戴空气呼吸器。</w:t>
                  </w:r>
                </w:p>
                <w:p w14:paraId="13B8F36A">
                  <w:pPr>
                    <w:rPr>
                      <w:color w:val="000000" w:themeColor="text1"/>
                      <w:szCs w:val="21"/>
                      <w14:textFill>
                        <w14:solidFill>
                          <w14:schemeClr w14:val="tx1"/>
                        </w14:solidFill>
                      </w14:textFill>
                    </w:rPr>
                  </w:pPr>
                  <w:r>
                    <w:rPr>
                      <w:color w:val="000000" w:themeColor="text1"/>
                      <w:szCs w:val="21"/>
                      <w14:textFill>
                        <w14:solidFill>
                          <w14:schemeClr w14:val="tx1"/>
                        </w14:solidFill>
                      </w14:textFill>
                    </w:rPr>
                    <w:t>眼睛防护：戴化学安全防护眼镜。</w:t>
                  </w:r>
                </w:p>
                <w:p w14:paraId="62238633">
                  <w:pPr>
                    <w:rPr>
                      <w:color w:val="000000" w:themeColor="text1"/>
                      <w:szCs w:val="21"/>
                      <w14:textFill>
                        <w14:solidFill>
                          <w14:schemeClr w14:val="tx1"/>
                        </w14:solidFill>
                      </w14:textFill>
                    </w:rPr>
                  </w:pPr>
                  <w:r>
                    <w:rPr>
                      <w:color w:val="000000" w:themeColor="text1"/>
                      <w:szCs w:val="21"/>
                      <w14:textFill>
                        <w14:solidFill>
                          <w14:schemeClr w14:val="tx1"/>
                        </w14:solidFill>
                      </w14:textFill>
                    </w:rPr>
                    <w:t>身体防护：穿防毒物渗透工作服；</w:t>
                  </w:r>
                </w:p>
                <w:p w14:paraId="517E9A8D">
                  <w:pPr>
                    <w:rPr>
                      <w:color w:val="000000" w:themeColor="text1"/>
                      <w:szCs w:val="21"/>
                      <w14:textFill>
                        <w14:solidFill>
                          <w14:schemeClr w14:val="tx1"/>
                        </w14:solidFill>
                      </w14:textFill>
                    </w:rPr>
                  </w:pPr>
                  <w:r>
                    <w:rPr>
                      <w:color w:val="000000" w:themeColor="text1"/>
                      <w:szCs w:val="21"/>
                      <w14:textFill>
                        <w14:solidFill>
                          <w14:schemeClr w14:val="tx1"/>
                        </w14:solidFill>
                      </w14:textFill>
                    </w:rPr>
                    <w:t>手防护：戴橡胶耐油手套。</w:t>
                  </w:r>
                </w:p>
              </w:tc>
            </w:tr>
            <w:tr w14:paraId="7F5FD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Align w:val="center"/>
                </w:tcPr>
                <w:p w14:paraId="7BBD4A55">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泄漏处理</w:t>
                  </w:r>
                </w:p>
              </w:tc>
              <w:tc>
                <w:tcPr>
                  <w:tcW w:w="4734" w:type="pct"/>
                  <w:gridSpan w:val="13"/>
                  <w:vAlign w:val="center"/>
                </w:tcPr>
                <w:p w14:paraId="22B87145">
                  <w:pPr>
                    <w:rPr>
                      <w:color w:val="000000" w:themeColor="text1"/>
                      <w:szCs w:val="21"/>
                      <w14:textFill>
                        <w14:solidFill>
                          <w14:schemeClr w14:val="tx1"/>
                        </w14:solidFill>
                      </w14:textFill>
                    </w:rPr>
                  </w:pPr>
                  <w:r>
                    <w:rPr>
                      <w:color w:val="000000" w:themeColor="text1"/>
                      <w:szCs w:val="21"/>
                      <w14:textFill>
                        <w14:solidFill>
                          <w14:schemeClr w14:val="tx1"/>
                        </w14:solidFill>
                      </w14:textFill>
                    </w:rPr>
                    <w:t>迅速撤离泄漏污染区人员至安全区，并进行隔离，严格限制出入。切断火源。建议应急处理人员戴自给正压式呼吸器，穿防毒服。尽可能切断泄漏源。防止流入下水道、排洪沟等限制性空间。</w:t>
                  </w:r>
                </w:p>
                <w:p w14:paraId="76D817B9">
                  <w:pPr>
                    <w:rPr>
                      <w:color w:val="000000" w:themeColor="text1"/>
                      <w:szCs w:val="21"/>
                      <w14:textFill>
                        <w14:solidFill>
                          <w14:schemeClr w14:val="tx1"/>
                        </w14:solidFill>
                      </w14:textFill>
                    </w:rPr>
                  </w:pPr>
                  <w:r>
                    <w:rPr>
                      <w:color w:val="000000" w:themeColor="text1"/>
                      <w:szCs w:val="21"/>
                      <w14:textFill>
                        <w14:solidFill>
                          <w14:schemeClr w14:val="tx1"/>
                        </w14:solidFill>
                      </w14:textFill>
                    </w:rPr>
                    <w:t>小量泄漏：用砂土或其它不燃材料吸附或吸收。</w:t>
                  </w:r>
                </w:p>
                <w:p w14:paraId="345AC26D">
                  <w:pPr>
                    <w:rPr>
                      <w:color w:val="000000" w:themeColor="text1"/>
                      <w:szCs w:val="21"/>
                      <w14:textFill>
                        <w14:solidFill>
                          <w14:schemeClr w14:val="tx1"/>
                        </w14:solidFill>
                      </w14:textFill>
                    </w:rPr>
                  </w:pPr>
                  <w:r>
                    <w:rPr>
                      <w:color w:val="000000" w:themeColor="text1"/>
                      <w:szCs w:val="21"/>
                      <w14:textFill>
                        <w14:solidFill>
                          <w14:schemeClr w14:val="tx1"/>
                        </w14:solidFill>
                      </w14:textFill>
                    </w:rPr>
                    <w:t>大量泄漏：构筑围堤或挖坑收容。用泵转移至槽车或专用收集器内，回收或运至废物处理场所处置。</w:t>
                  </w:r>
                </w:p>
              </w:tc>
            </w:tr>
            <w:tr w14:paraId="306DF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 w:type="pct"/>
                  <w:vAlign w:val="center"/>
                </w:tcPr>
                <w:p w14:paraId="59F2B0C2">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储运</w:t>
                  </w:r>
                </w:p>
              </w:tc>
              <w:tc>
                <w:tcPr>
                  <w:tcW w:w="4734" w:type="pct"/>
                  <w:gridSpan w:val="13"/>
                  <w:vAlign w:val="center"/>
                </w:tcPr>
                <w:p w14:paraId="68FCFA44">
                  <w:pPr>
                    <w:rPr>
                      <w:color w:val="000000" w:themeColor="text1"/>
                      <w:szCs w:val="21"/>
                      <w14:textFill>
                        <w14:solidFill>
                          <w14:schemeClr w14:val="tx1"/>
                        </w14:solidFill>
                      </w14:textFill>
                    </w:rPr>
                  </w:pPr>
                  <w:r>
                    <w:rPr>
                      <w:color w:val="000000" w:themeColor="text1"/>
                      <w:szCs w:val="21"/>
                      <w14:textFill>
                        <w14:solidFill>
                          <w14:schemeClr w14:val="tx1"/>
                        </w14:solidFill>
                      </w14:textFill>
                    </w:rPr>
                    <w:t>储存于阴凉、通风的库房。远离火种、热源。应与氧化剂分开存放，切忌混储。配备相应品种和数量的消防器材。储区应备有泄漏应急处理设备和合适的收容材料。</w:t>
                  </w:r>
                </w:p>
                <w:p w14:paraId="4B9E2342">
                  <w:pPr>
                    <w:rPr>
                      <w:color w:val="000000" w:themeColor="text1"/>
                      <w:szCs w:val="21"/>
                      <w14:textFill>
                        <w14:solidFill>
                          <w14:schemeClr w14:val="tx1"/>
                        </w14:solidFill>
                      </w14:textFill>
                    </w:rPr>
                  </w:pPr>
                  <w:r>
                    <w:rPr>
                      <w:color w:val="000000" w:themeColor="text1"/>
                      <w:szCs w:val="21"/>
                      <w14:textFill>
                        <w14:solidFill>
                          <w14:schemeClr w14:val="tx1"/>
                        </w14:solidFill>
                      </w14:textFill>
                    </w:rPr>
                    <w:t>运输前应先检查包装容器是否完整、密封，运输过程中要确保容器不泄漏、不倒塌、不坠落、不损坏。严禁与氧化剂、食用化学品等混装混运。运输车船必须彻底清洗、消毒，否则不得装运其它物品。船运时，配装位置应远离卧室、厨房，并与机舱、电源、火源等部位隔离。公路运输时要按规定路线行驶。</w:t>
                  </w:r>
                </w:p>
              </w:tc>
            </w:tr>
          </w:tbl>
          <w:p w14:paraId="11537ECF">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2）生产设施风险识别</w:t>
            </w:r>
          </w:p>
          <w:p w14:paraId="29A66566">
            <w:pPr>
              <w:pStyle w:val="63"/>
              <w:ind w:firstLine="480"/>
              <w:rPr>
                <w:rFonts w:eastAsia="TimesNewRoman"/>
                <w:color w:val="000000" w:themeColor="text1"/>
                <w14:textFill>
                  <w14:solidFill>
                    <w14:schemeClr w14:val="tx1"/>
                  </w14:solidFill>
                </w14:textFill>
              </w:rPr>
            </w:pPr>
            <w:r>
              <w:rPr>
                <w:rFonts w:eastAsia="TimesNewRoman"/>
                <w:color w:val="000000" w:themeColor="text1"/>
                <w14:textFill>
                  <w14:solidFill>
                    <w14:schemeClr w14:val="tx1"/>
                  </w14:solidFill>
                </w14:textFill>
              </w:rPr>
              <w:t>生产设施风险识别范围：生产单元、贮存单元、公用工程及辅助设施单元等。</w:t>
            </w:r>
          </w:p>
          <w:p w14:paraId="2D9C773B">
            <w:pPr>
              <w:pStyle w:val="63"/>
              <w:ind w:firstLine="480"/>
              <w:rPr>
                <w:rFonts w:eastAsia="TimesNewRoman"/>
                <w:color w:val="000000" w:themeColor="text1"/>
                <w14:textFill>
                  <w14:solidFill>
                    <w14:schemeClr w14:val="tx1"/>
                  </w14:solidFill>
                </w14:textFill>
              </w:rPr>
            </w:pPr>
            <w:r>
              <w:rPr>
                <w:rFonts w:eastAsia="TimesNewRoman"/>
                <w:color w:val="000000" w:themeColor="text1"/>
                <w14:textFill>
                  <w14:solidFill>
                    <w14:schemeClr w14:val="tx1"/>
                  </w14:solidFill>
                </w14:textFill>
              </w:rPr>
              <w:t>①功能单元划分</w:t>
            </w:r>
          </w:p>
          <w:p w14:paraId="30BAB3C1">
            <w:pPr>
              <w:pStyle w:val="63"/>
              <w:ind w:firstLine="480"/>
              <w:rPr>
                <w:color w:val="000000" w:themeColor="text1"/>
                <w14:textFill>
                  <w14:solidFill>
                    <w14:schemeClr w14:val="tx1"/>
                  </w14:solidFill>
                </w14:textFill>
              </w:rPr>
            </w:pPr>
            <w:r>
              <w:rPr>
                <w:rFonts w:eastAsia="TimesNewRoman"/>
                <w:color w:val="000000" w:themeColor="text1"/>
                <w14:textFill>
                  <w14:solidFill>
                    <w14:schemeClr w14:val="tx1"/>
                  </w14:solidFill>
                </w14:textFill>
              </w:rPr>
              <w:t>功能单元是指至少应包括一个（套）危险物质的主要生产装置、设施（贮存容器、管道等）及环保处理设施，或同属一个工厂且边缘距离小于500m的几个（套）生产装置、设施。每一个功能单元要有边界和特定的功能，在泄漏事故中能有与其它单元分割开的地方。</w:t>
            </w:r>
            <w:r>
              <w:rPr>
                <w:color w:val="000000" w:themeColor="text1"/>
                <w14:textFill>
                  <w14:solidFill>
                    <w14:schemeClr w14:val="tx1"/>
                  </w14:solidFill>
                </w14:textFill>
              </w:rPr>
              <w:t>项目生产设备出现事故的可能性很小，可能存在风险的设施主要为：危废暂存库，危废暂存库发生泄漏，危险废物进入周边环境，进入外环境。</w:t>
            </w:r>
          </w:p>
          <w:p w14:paraId="6C6C9855">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②危险物质向环境转移途径识别</w:t>
            </w:r>
          </w:p>
          <w:p w14:paraId="0890FDA4">
            <w:pPr>
              <w:adjustRightInd w:val="0"/>
              <w:snapToGri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危废暂存库</w:t>
            </w:r>
            <w:r>
              <w:rPr>
                <w:color w:val="000000" w:themeColor="text1"/>
                <w:sz w:val="24"/>
                <w14:textFill>
                  <w14:solidFill>
                    <w14:schemeClr w14:val="tx1"/>
                  </w14:solidFill>
                </w14:textFill>
              </w:rPr>
              <w:t>发生泄漏，危险废物进入周边环境；项目生产过程风险识别情况见下表4-</w:t>
            </w:r>
            <w:r>
              <w:rPr>
                <w:rFonts w:hint="eastAsia"/>
                <w:color w:val="000000" w:themeColor="text1"/>
                <w:sz w:val="24"/>
                <w14:textFill>
                  <w14:solidFill>
                    <w14:schemeClr w14:val="tx1"/>
                  </w14:solidFill>
                </w14:textFill>
              </w:rPr>
              <w:t>12</w:t>
            </w:r>
            <w:r>
              <w:rPr>
                <w:color w:val="000000" w:themeColor="text1"/>
                <w:sz w:val="24"/>
                <w14:textFill>
                  <w14:solidFill>
                    <w14:schemeClr w14:val="tx1"/>
                  </w14:solidFill>
                </w14:textFill>
              </w:rPr>
              <w:t>。</w:t>
            </w:r>
          </w:p>
          <w:p w14:paraId="080CD1D2">
            <w:pPr>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表4-</w:t>
            </w:r>
            <w:r>
              <w:rPr>
                <w:rFonts w:hint="eastAsia"/>
                <w:b/>
                <w:bCs/>
                <w:color w:val="000000" w:themeColor="text1"/>
                <w:szCs w:val="21"/>
                <w14:textFill>
                  <w14:solidFill>
                    <w14:schemeClr w14:val="tx1"/>
                  </w14:solidFill>
                </w14:textFill>
              </w:rPr>
              <w:t>12</w:t>
            </w:r>
            <w:r>
              <w:rPr>
                <w:b/>
                <w:bCs/>
                <w:color w:val="000000" w:themeColor="text1"/>
                <w:szCs w:val="21"/>
                <w14:textFill>
                  <w14:solidFill>
                    <w14:schemeClr w14:val="tx1"/>
                  </w14:solidFill>
                </w14:textFill>
              </w:rPr>
              <w:t xml:space="preserve"> </w:t>
            </w:r>
            <w:r>
              <w:rPr>
                <w:rFonts w:hint="eastAsia"/>
                <w:b/>
                <w:bCs/>
                <w:color w:val="000000" w:themeColor="text1"/>
                <w:szCs w:val="21"/>
                <w14:textFill>
                  <w14:solidFill>
                    <w14:schemeClr w14:val="tx1"/>
                  </w14:solidFill>
                </w14:textFill>
              </w:rPr>
              <w:t xml:space="preserve"> </w:t>
            </w:r>
            <w:r>
              <w:rPr>
                <w:b/>
                <w:bCs/>
                <w:color w:val="000000" w:themeColor="text1"/>
                <w:szCs w:val="21"/>
                <w14:textFill>
                  <w14:solidFill>
                    <w14:schemeClr w14:val="tx1"/>
                  </w14:solidFill>
                </w14:textFill>
              </w:rPr>
              <w:t>项目环境风险识别表</w:t>
            </w:r>
          </w:p>
          <w:tbl>
            <w:tblPr>
              <w:tblStyle w:val="25"/>
              <w:tblW w:w="8439" w:type="dxa"/>
              <w:tblInd w:w="0" w:type="dxa"/>
              <w:tblLayout w:type="fixed"/>
              <w:tblCellMar>
                <w:top w:w="0" w:type="dxa"/>
                <w:left w:w="0" w:type="dxa"/>
                <w:bottom w:w="0" w:type="dxa"/>
                <w:right w:w="0" w:type="dxa"/>
              </w:tblCellMar>
            </w:tblPr>
            <w:tblGrid>
              <w:gridCol w:w="571"/>
              <w:gridCol w:w="1092"/>
              <w:gridCol w:w="1036"/>
              <w:gridCol w:w="1340"/>
              <w:gridCol w:w="1328"/>
              <w:gridCol w:w="787"/>
              <w:gridCol w:w="1284"/>
              <w:gridCol w:w="1001"/>
            </w:tblGrid>
            <w:tr w14:paraId="512A38DB">
              <w:tblPrEx>
                <w:tblCellMar>
                  <w:top w:w="0" w:type="dxa"/>
                  <w:left w:w="0" w:type="dxa"/>
                  <w:bottom w:w="0" w:type="dxa"/>
                  <w:right w:w="0" w:type="dxa"/>
                </w:tblCellMar>
              </w:tblPrEx>
              <w:tc>
                <w:tcPr>
                  <w:tcW w:w="339"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3261646A">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序号</w:t>
                  </w:r>
                </w:p>
              </w:tc>
              <w:tc>
                <w:tcPr>
                  <w:tcW w:w="6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B1643A">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危险单元</w:t>
                  </w:r>
                </w:p>
              </w:tc>
              <w:tc>
                <w:tcPr>
                  <w:tcW w:w="6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4B07DF">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风险源</w:t>
                  </w:r>
                </w:p>
              </w:tc>
              <w:tc>
                <w:tcPr>
                  <w:tcW w:w="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5AEDD1">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主要危险物质</w:t>
                  </w:r>
                </w:p>
              </w:tc>
              <w:tc>
                <w:tcPr>
                  <w:tcW w:w="7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9A4AF4">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环境风险类型</w:t>
                  </w:r>
                </w:p>
              </w:tc>
              <w:tc>
                <w:tcPr>
                  <w:tcW w:w="46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FC0836">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环境影响途径</w:t>
                  </w:r>
                </w:p>
              </w:tc>
              <w:tc>
                <w:tcPr>
                  <w:tcW w:w="7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CBA87F">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可能受影响的环境敏感目标</w:t>
                  </w:r>
                </w:p>
              </w:tc>
              <w:tc>
                <w:tcPr>
                  <w:tcW w:w="5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689612">
                  <w:pPr>
                    <w:jc w:val="center"/>
                    <w:rPr>
                      <w:b/>
                      <w:color w:val="000000" w:themeColor="text1"/>
                      <w:szCs w:val="21"/>
                      <w14:textFill>
                        <w14:solidFill>
                          <w14:schemeClr w14:val="tx1"/>
                        </w14:solidFill>
                      </w14:textFill>
                    </w:rPr>
                  </w:pPr>
                  <w:r>
                    <w:rPr>
                      <w:b/>
                      <w:color w:val="000000" w:themeColor="text1"/>
                      <w:szCs w:val="21"/>
                      <w14:textFill>
                        <w14:solidFill>
                          <w14:schemeClr w14:val="tx1"/>
                        </w14:solidFill>
                      </w14:textFill>
                    </w:rPr>
                    <w:t>原因</w:t>
                  </w:r>
                </w:p>
              </w:tc>
            </w:tr>
            <w:tr w14:paraId="2522E7B3">
              <w:tblPrEx>
                <w:tblCellMar>
                  <w:top w:w="0" w:type="dxa"/>
                  <w:left w:w="0" w:type="dxa"/>
                  <w:bottom w:w="0" w:type="dxa"/>
                  <w:right w:w="0" w:type="dxa"/>
                </w:tblCellMar>
              </w:tblPrEx>
              <w:tc>
                <w:tcPr>
                  <w:tcW w:w="33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913BA">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1</w:t>
                  </w:r>
                </w:p>
              </w:tc>
              <w:tc>
                <w:tcPr>
                  <w:tcW w:w="64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75978E">
                  <w:pPr>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危废暂存库</w:t>
                  </w:r>
                </w:p>
              </w:tc>
              <w:tc>
                <w:tcPr>
                  <w:tcW w:w="61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0ACA68">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危险废物泄漏</w:t>
                  </w:r>
                </w:p>
              </w:tc>
              <w:tc>
                <w:tcPr>
                  <w:tcW w:w="79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4272DE">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废矿物油</w:t>
                  </w:r>
                </w:p>
              </w:tc>
              <w:tc>
                <w:tcPr>
                  <w:tcW w:w="78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F4EA24">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泄漏</w:t>
                  </w:r>
                </w:p>
              </w:tc>
              <w:tc>
                <w:tcPr>
                  <w:tcW w:w="46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725823">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地下水、土壤</w:t>
                  </w:r>
                </w:p>
              </w:tc>
              <w:tc>
                <w:tcPr>
                  <w:tcW w:w="7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C5F9F9">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周边居民</w:t>
                  </w:r>
                </w:p>
              </w:tc>
              <w:tc>
                <w:tcPr>
                  <w:tcW w:w="5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A43631">
                  <w:pPr>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管理不规范</w:t>
                  </w:r>
                </w:p>
              </w:tc>
            </w:tr>
          </w:tbl>
          <w:p w14:paraId="08362A85">
            <w:pPr>
              <w:adjustRightInd w:val="0"/>
              <w:snapToGrid w:val="0"/>
              <w:spacing w:line="360" w:lineRule="auto"/>
              <w:ind w:firstLine="482" w:firstLineChars="200"/>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2、风险潜势初判</w:t>
            </w:r>
          </w:p>
          <w:p w14:paraId="39E7D797">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根据《建设项目环境风险评价技术导则》（HJ169-2018）附录 C，危险物质数量与临界量的比值（Q）的计算方法如下：</w:t>
            </w:r>
          </w:p>
          <w:p w14:paraId="05EC269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当只涉及一种危险物质时，计算该物质的总量与其临界量比值，即为Q；</w:t>
            </w:r>
          </w:p>
          <w:p w14:paraId="091D579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当存在多种危险物质时，则按式（C.1）计算物质总量与其临界量比值（Q）：</w:t>
            </w:r>
          </w:p>
          <w:p w14:paraId="3A69636B">
            <w:pPr>
              <w:pStyle w:val="87"/>
              <w:spacing w:line="36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114300" distR="114300">
                  <wp:extent cx="2012950" cy="530225"/>
                  <wp:effectExtent l="0" t="0" r="6350" b="3175"/>
                  <wp:docPr id="14" name="图片 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descr="1"/>
                          <pic:cNvPicPr>
                            <a:picLocks noChangeAspect="1"/>
                          </pic:cNvPicPr>
                        </pic:nvPicPr>
                        <pic:blipFill>
                          <a:blip r:embed="rId32"/>
                          <a:stretch>
                            <a:fillRect/>
                          </a:stretch>
                        </pic:blipFill>
                        <pic:spPr>
                          <a:xfrm>
                            <a:off x="0" y="0"/>
                            <a:ext cx="2012950" cy="530225"/>
                          </a:xfrm>
                          <a:prstGeom prst="rect">
                            <a:avLst/>
                          </a:prstGeom>
                          <a:noFill/>
                          <a:ln>
                            <a:noFill/>
                          </a:ln>
                        </pic:spPr>
                      </pic:pic>
                    </a:graphicData>
                  </a:graphic>
                </wp:inline>
              </w:drawing>
            </w:r>
            <w:r>
              <w:rPr>
                <w:rFonts w:ascii="Times New Roman" w:hAnsi="Times New Roman" w:cs="Times New Roman"/>
                <w:color w:val="000000" w:themeColor="text1"/>
                <w14:textFill>
                  <w14:solidFill>
                    <w14:schemeClr w14:val="tx1"/>
                  </w14:solidFill>
                </w14:textFill>
              </w:rPr>
              <w:t xml:space="preserve">     （C.1）</w:t>
            </w:r>
          </w:p>
          <w:p w14:paraId="561DC3D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式中：q</w:t>
            </w:r>
            <w:r>
              <w:rPr>
                <w:color w:val="000000" w:themeColor="text1"/>
                <w:sz w:val="24"/>
                <w:vertAlign w:val="subscript"/>
                <w14:textFill>
                  <w14:solidFill>
                    <w14:schemeClr w14:val="tx1"/>
                  </w14:solidFill>
                </w14:textFill>
              </w:rPr>
              <w:t>1</w:t>
            </w:r>
            <w:r>
              <w:rPr>
                <w:color w:val="000000" w:themeColor="text1"/>
                <w:sz w:val="24"/>
                <w14:textFill>
                  <w14:solidFill>
                    <w14:schemeClr w14:val="tx1"/>
                  </w14:solidFill>
                </w14:textFill>
              </w:rPr>
              <w:t>，q</w:t>
            </w:r>
            <w:r>
              <w:rPr>
                <w:color w:val="000000" w:themeColor="text1"/>
                <w:sz w:val="24"/>
                <w:vertAlign w:val="subscript"/>
                <w14:textFill>
                  <w14:solidFill>
                    <w14:schemeClr w14:val="tx1"/>
                  </w14:solidFill>
                </w14:textFill>
              </w:rPr>
              <w:t>2</w:t>
            </w:r>
            <w:r>
              <w:rPr>
                <w:color w:val="000000" w:themeColor="text1"/>
                <w:sz w:val="24"/>
                <w14:textFill>
                  <w14:solidFill>
                    <w14:schemeClr w14:val="tx1"/>
                  </w14:solidFill>
                </w14:textFill>
              </w:rPr>
              <w:t>，...，q</w:t>
            </w:r>
            <w:r>
              <w:rPr>
                <w:color w:val="000000" w:themeColor="text1"/>
                <w:sz w:val="24"/>
                <w:vertAlign w:val="subscript"/>
                <w14:textFill>
                  <w14:solidFill>
                    <w14:schemeClr w14:val="tx1"/>
                  </w14:solidFill>
                </w14:textFill>
              </w:rPr>
              <w:t>n</w:t>
            </w:r>
            <w:r>
              <w:rPr>
                <w:color w:val="000000" w:themeColor="text1"/>
                <w:sz w:val="24"/>
                <w14:textFill>
                  <w14:solidFill>
                    <w14:schemeClr w14:val="tx1"/>
                  </w14:solidFill>
                </w14:textFill>
              </w:rPr>
              <w:t>——每种危险物质的最大存在总量，t；</w:t>
            </w:r>
          </w:p>
          <w:p w14:paraId="20DCD188">
            <w:pPr>
              <w:spacing w:line="360" w:lineRule="auto"/>
              <w:ind w:firstLine="1200" w:firstLineChars="500"/>
              <w:rPr>
                <w:color w:val="000000" w:themeColor="text1"/>
                <w:sz w:val="24"/>
                <w14:textFill>
                  <w14:solidFill>
                    <w14:schemeClr w14:val="tx1"/>
                  </w14:solidFill>
                </w14:textFill>
              </w:rPr>
            </w:pPr>
            <w:r>
              <w:rPr>
                <w:color w:val="000000" w:themeColor="text1"/>
                <w:sz w:val="24"/>
                <w14:textFill>
                  <w14:solidFill>
                    <w14:schemeClr w14:val="tx1"/>
                  </w14:solidFill>
                </w14:textFill>
              </w:rPr>
              <w:t>Q</w:t>
            </w:r>
            <w:r>
              <w:rPr>
                <w:color w:val="000000" w:themeColor="text1"/>
                <w:sz w:val="24"/>
                <w:vertAlign w:val="subscript"/>
                <w14:textFill>
                  <w14:solidFill>
                    <w14:schemeClr w14:val="tx1"/>
                  </w14:solidFill>
                </w14:textFill>
              </w:rPr>
              <w:t>1</w:t>
            </w:r>
            <w:r>
              <w:rPr>
                <w:color w:val="000000" w:themeColor="text1"/>
                <w:sz w:val="24"/>
                <w14:textFill>
                  <w14:solidFill>
                    <w14:schemeClr w14:val="tx1"/>
                  </w14:solidFill>
                </w14:textFill>
              </w:rPr>
              <w:t>，Q</w:t>
            </w:r>
            <w:r>
              <w:rPr>
                <w:color w:val="000000" w:themeColor="text1"/>
                <w:sz w:val="24"/>
                <w:vertAlign w:val="subscript"/>
                <w14:textFill>
                  <w14:solidFill>
                    <w14:schemeClr w14:val="tx1"/>
                  </w14:solidFill>
                </w14:textFill>
              </w:rPr>
              <w:t>2</w:t>
            </w:r>
            <w:r>
              <w:rPr>
                <w:color w:val="000000" w:themeColor="text1"/>
                <w:sz w:val="24"/>
                <w14:textFill>
                  <w14:solidFill>
                    <w14:schemeClr w14:val="tx1"/>
                  </w14:solidFill>
                </w14:textFill>
              </w:rPr>
              <w:t>，...，Q</w:t>
            </w:r>
            <w:r>
              <w:rPr>
                <w:color w:val="000000" w:themeColor="text1"/>
                <w:sz w:val="24"/>
                <w:vertAlign w:val="subscript"/>
                <w14:textFill>
                  <w14:solidFill>
                    <w14:schemeClr w14:val="tx1"/>
                  </w14:solidFill>
                </w14:textFill>
              </w:rPr>
              <w:t>n</w:t>
            </w:r>
            <w:r>
              <w:rPr>
                <w:color w:val="000000" w:themeColor="text1"/>
                <w:sz w:val="24"/>
                <w14:textFill>
                  <w14:solidFill>
                    <w14:schemeClr w14:val="tx1"/>
                  </w14:solidFill>
                </w14:textFill>
              </w:rPr>
              <w:t>——每种危险物质的临界量，t。</w:t>
            </w:r>
          </w:p>
          <w:p w14:paraId="5C5EC73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当Q＜1时，该项目环境风险潜势为Ⅰ。</w:t>
            </w:r>
          </w:p>
          <w:p w14:paraId="43F2F8AD">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当Q≥1时，将Q值划分为：（1）1≤Q＜10；（2）10≤Q＜100；（3）Q≥100。</w:t>
            </w:r>
          </w:p>
          <w:p w14:paraId="45B900F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根据参照《建设项目环境风险评价技术导则》（HJ/T169-2018）附录B“重点关注的危险物质及临界量”中相关内容，本项目存在的危险物质为：</w:t>
            </w:r>
            <w:r>
              <w:rPr>
                <w:color w:val="000000" w:themeColor="text1"/>
                <w:kern w:val="0"/>
                <w:sz w:val="24"/>
                <w14:textFill>
                  <w14:solidFill>
                    <w14:schemeClr w14:val="tx1"/>
                  </w14:solidFill>
                </w14:textFill>
              </w:rPr>
              <w:t>废机油。</w:t>
            </w:r>
            <w:r>
              <w:rPr>
                <w:color w:val="000000" w:themeColor="text1"/>
                <w:sz w:val="24"/>
                <w14:textFill>
                  <w14:solidFill>
                    <w14:schemeClr w14:val="tx1"/>
                  </w14:solidFill>
                </w14:textFill>
              </w:rPr>
              <w:t>其Q值计算结果见下表：</w:t>
            </w:r>
          </w:p>
          <w:p w14:paraId="7BFE5BCA">
            <w:pPr>
              <w:adjustRightInd w:val="0"/>
              <w:snapToGrid w:val="0"/>
              <w:ind w:firstLine="422" w:firstLineChars="200"/>
              <w:jc w:val="center"/>
              <w:rPr>
                <w:b/>
                <w:bCs/>
                <w:color w:val="000000" w:themeColor="text1"/>
                <w:kern w:val="0"/>
                <w:szCs w:val="21"/>
                <w14:textFill>
                  <w14:solidFill>
                    <w14:schemeClr w14:val="tx1"/>
                  </w14:solidFill>
                </w14:textFill>
              </w:rPr>
            </w:pPr>
            <w:r>
              <w:rPr>
                <w:b/>
                <w:bCs/>
                <w:color w:val="000000" w:themeColor="text1"/>
                <w:szCs w:val="21"/>
                <w14:textFill>
                  <w14:solidFill>
                    <w14:schemeClr w14:val="tx1"/>
                  </w14:solidFill>
                </w14:textFill>
              </w:rPr>
              <w:t>表4-</w:t>
            </w:r>
            <w:r>
              <w:rPr>
                <w:rFonts w:hint="eastAsia"/>
                <w:b/>
                <w:bCs/>
                <w:color w:val="000000" w:themeColor="text1"/>
                <w:szCs w:val="21"/>
                <w14:textFill>
                  <w14:solidFill>
                    <w14:schemeClr w14:val="tx1"/>
                  </w14:solidFill>
                </w14:textFill>
              </w:rPr>
              <w:t>1</w:t>
            </w:r>
            <w:r>
              <w:rPr>
                <w:b/>
                <w:bCs/>
                <w:color w:val="000000" w:themeColor="text1"/>
                <w:szCs w:val="21"/>
                <w14:textFill>
                  <w14:solidFill>
                    <w14:schemeClr w14:val="tx1"/>
                  </w14:solidFill>
                </w14:textFill>
              </w:rPr>
              <w:t>3  主要原料环境风险物质判别表</w:t>
            </w:r>
          </w:p>
          <w:tbl>
            <w:tblPr>
              <w:tblStyle w:val="2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7"/>
              <w:gridCol w:w="728"/>
              <w:gridCol w:w="1200"/>
              <w:gridCol w:w="1163"/>
              <w:gridCol w:w="799"/>
              <w:gridCol w:w="1163"/>
              <w:gridCol w:w="2862"/>
            </w:tblGrid>
            <w:tr w14:paraId="1068E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323"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6C776A87">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序号</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7AF9D8">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物质名称</w:t>
                  </w:r>
                </w:p>
              </w:tc>
              <w:tc>
                <w:tcPr>
                  <w:tcW w:w="7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AE53EE">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CAS号</w:t>
                  </w:r>
                </w:p>
              </w:tc>
              <w:tc>
                <w:tcPr>
                  <w:tcW w:w="6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4BC914">
                  <w:pPr>
                    <w:pStyle w:val="89"/>
                    <w:rPr>
                      <w:b/>
                      <w:bCs/>
                      <w:color w:val="000000" w:themeColor="text1"/>
                      <w:szCs w:val="21"/>
                      <w:lang w:val="de-DE"/>
                      <w14:textFill>
                        <w14:solidFill>
                          <w14:schemeClr w14:val="tx1"/>
                        </w14:solidFill>
                      </w14:textFill>
                    </w:rPr>
                  </w:pPr>
                  <w:r>
                    <w:rPr>
                      <w:b/>
                      <w:bCs/>
                      <w:color w:val="000000" w:themeColor="text1"/>
                      <w:szCs w:val="21"/>
                      <w14:textFill>
                        <w14:solidFill>
                          <w14:schemeClr w14:val="tx1"/>
                        </w14:solidFill>
                      </w14:textFill>
                    </w:rPr>
                    <w:t>最大储存量</w:t>
                  </w:r>
                  <w:r>
                    <w:rPr>
                      <w:b/>
                      <w:bCs/>
                      <w:color w:val="000000" w:themeColor="text1"/>
                      <w:szCs w:val="21"/>
                      <w:lang w:val="de-DE"/>
                      <w14:textFill>
                        <w14:solidFill>
                          <w14:schemeClr w14:val="tx1"/>
                        </w14:solidFill>
                      </w14:textFill>
                    </w:rPr>
                    <w:t>q（t）</w:t>
                  </w:r>
                </w:p>
              </w:tc>
              <w:tc>
                <w:tcPr>
                  <w:tcW w:w="4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1905B8">
                  <w:pPr>
                    <w:pStyle w:val="89"/>
                    <w:rPr>
                      <w:b/>
                      <w:bCs/>
                      <w:color w:val="000000" w:themeColor="text1"/>
                      <w:szCs w:val="21"/>
                      <w14:textFill>
                        <w14:solidFill>
                          <w14:schemeClr w14:val="tx1"/>
                        </w14:solidFill>
                      </w14:textFill>
                    </w:rPr>
                  </w:pPr>
                  <w:r>
                    <w:rPr>
                      <w:b/>
                      <w:bCs/>
                      <w:color w:val="000000" w:themeColor="text1"/>
                      <w:szCs w:val="21"/>
                      <w:lang w:val="de-DE"/>
                      <w14:textFill>
                        <w14:solidFill>
                          <w14:schemeClr w14:val="tx1"/>
                        </w14:solidFill>
                      </w14:textFill>
                    </w:rPr>
                    <w:t>临界量</w:t>
                  </w:r>
                </w:p>
                <w:p w14:paraId="6E72818C">
                  <w:pPr>
                    <w:pStyle w:val="89"/>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Q（t）</w:t>
                  </w:r>
                </w:p>
              </w:tc>
              <w:tc>
                <w:tcPr>
                  <w:tcW w:w="6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9DA401">
                  <w:pPr>
                    <w:pStyle w:val="89"/>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q/Q</w:t>
                  </w:r>
                </w:p>
              </w:tc>
              <w:tc>
                <w:tcPr>
                  <w:tcW w:w="16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DB2B59">
                  <w:pPr>
                    <w:pStyle w:val="89"/>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危险分类</w:t>
                  </w:r>
                </w:p>
              </w:tc>
            </w:tr>
            <w:tr w14:paraId="45C4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32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957569">
                  <w:pPr>
                    <w:adjustRightInd w:val="0"/>
                    <w:snapToGrid w:val="0"/>
                    <w:jc w:val="center"/>
                    <w:rPr>
                      <w:color w:val="000000" w:themeColor="text1"/>
                      <w:position w:val="-28"/>
                      <w:szCs w:val="21"/>
                      <w14:textFill>
                        <w14:solidFill>
                          <w14:schemeClr w14:val="tx1"/>
                        </w14:solidFill>
                      </w14:textFill>
                    </w:rPr>
                  </w:pPr>
                  <w:r>
                    <w:rPr>
                      <w:rFonts w:hint="eastAsia"/>
                      <w:color w:val="000000" w:themeColor="text1"/>
                      <w:position w:val="-28"/>
                      <w:szCs w:val="21"/>
                      <w14:textFill>
                        <w14:solidFill>
                          <w14:schemeClr w14:val="tx1"/>
                        </w14:solidFill>
                      </w14:textFill>
                    </w:rPr>
                    <w:t>1</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01B772">
                  <w:pPr>
                    <w:adjustRightInd w:val="0"/>
                    <w:snapToGrid w:val="0"/>
                    <w:jc w:val="center"/>
                    <w:rPr>
                      <w:color w:val="000000" w:themeColor="text1"/>
                      <w:position w:val="-28"/>
                      <w:szCs w:val="21"/>
                      <w14:textFill>
                        <w14:solidFill>
                          <w14:schemeClr w14:val="tx1"/>
                        </w14:solidFill>
                      </w14:textFill>
                    </w:rPr>
                  </w:pPr>
                  <w:r>
                    <w:rPr>
                      <w:color w:val="000000" w:themeColor="text1"/>
                      <w:position w:val="-28"/>
                      <w:szCs w:val="21"/>
                      <w14:textFill>
                        <w14:solidFill>
                          <w14:schemeClr w14:val="tx1"/>
                        </w14:solidFill>
                      </w14:textFill>
                    </w:rPr>
                    <w:t>废矿物油</w:t>
                  </w:r>
                </w:p>
              </w:tc>
              <w:tc>
                <w:tcPr>
                  <w:tcW w:w="7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AC1344">
                  <w:pPr>
                    <w:adjustRightInd w:val="0"/>
                    <w:snapToGrid w:val="0"/>
                    <w:jc w:val="center"/>
                    <w:rPr>
                      <w:color w:val="000000" w:themeColor="text1"/>
                      <w:position w:val="-28"/>
                      <w:szCs w:val="21"/>
                      <w14:textFill>
                        <w14:solidFill>
                          <w14:schemeClr w14:val="tx1"/>
                        </w14:solidFill>
                      </w14:textFill>
                    </w:rPr>
                  </w:pPr>
                  <w:r>
                    <w:rPr>
                      <w:color w:val="000000" w:themeColor="text1"/>
                      <w:position w:val="-28"/>
                      <w:szCs w:val="21"/>
                      <w14:textFill>
                        <w14:solidFill>
                          <w14:schemeClr w14:val="tx1"/>
                        </w14:solidFill>
                      </w14:textFill>
                    </w:rPr>
                    <w:t>/</w:t>
                  </w:r>
                </w:p>
              </w:tc>
              <w:tc>
                <w:tcPr>
                  <w:tcW w:w="6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023A35">
                  <w:pPr>
                    <w:adjustRightInd w:val="0"/>
                    <w:snapToGrid w:val="0"/>
                    <w:jc w:val="center"/>
                    <w:rPr>
                      <w:color w:val="000000" w:themeColor="text1"/>
                      <w:position w:val="-28"/>
                      <w:szCs w:val="21"/>
                      <w14:textFill>
                        <w14:solidFill>
                          <w14:schemeClr w14:val="tx1"/>
                        </w14:solidFill>
                      </w14:textFill>
                    </w:rPr>
                  </w:pPr>
                  <w:r>
                    <w:rPr>
                      <w:color w:val="000000" w:themeColor="text1"/>
                      <w:position w:val="-28"/>
                      <w:szCs w:val="21"/>
                      <w14:textFill>
                        <w14:solidFill>
                          <w14:schemeClr w14:val="tx1"/>
                        </w14:solidFill>
                      </w14:textFill>
                    </w:rPr>
                    <w:t>0.</w:t>
                  </w:r>
                  <w:r>
                    <w:rPr>
                      <w:rFonts w:hint="eastAsia"/>
                      <w:color w:val="000000" w:themeColor="text1"/>
                      <w:position w:val="-28"/>
                      <w:szCs w:val="21"/>
                      <w14:textFill>
                        <w14:solidFill>
                          <w14:schemeClr w14:val="tx1"/>
                        </w14:solidFill>
                      </w14:textFill>
                    </w:rPr>
                    <w:t>5</w:t>
                  </w:r>
                </w:p>
              </w:tc>
              <w:tc>
                <w:tcPr>
                  <w:tcW w:w="4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1BE8BF">
                  <w:pPr>
                    <w:adjustRightInd w:val="0"/>
                    <w:snapToGrid w:val="0"/>
                    <w:jc w:val="center"/>
                    <w:rPr>
                      <w:color w:val="000000" w:themeColor="text1"/>
                      <w:position w:val="-28"/>
                      <w:szCs w:val="21"/>
                      <w14:textFill>
                        <w14:solidFill>
                          <w14:schemeClr w14:val="tx1"/>
                        </w14:solidFill>
                      </w14:textFill>
                    </w:rPr>
                  </w:pPr>
                  <w:r>
                    <w:rPr>
                      <w:color w:val="000000" w:themeColor="text1"/>
                      <w:position w:val="-28"/>
                      <w:szCs w:val="21"/>
                      <w14:textFill>
                        <w14:solidFill>
                          <w14:schemeClr w14:val="tx1"/>
                        </w14:solidFill>
                      </w14:textFill>
                    </w:rPr>
                    <w:t>2500</w:t>
                  </w:r>
                </w:p>
              </w:tc>
              <w:tc>
                <w:tcPr>
                  <w:tcW w:w="6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C3CF62">
                  <w:pPr>
                    <w:adjustRightInd w:val="0"/>
                    <w:snapToGrid w:val="0"/>
                    <w:jc w:val="center"/>
                    <w:rPr>
                      <w:color w:val="000000" w:themeColor="text1"/>
                      <w:position w:val="-28"/>
                      <w:szCs w:val="21"/>
                      <w14:textFill>
                        <w14:solidFill>
                          <w14:schemeClr w14:val="tx1"/>
                        </w14:solidFill>
                      </w14:textFill>
                    </w:rPr>
                  </w:pPr>
                  <w:r>
                    <w:rPr>
                      <w:color w:val="000000" w:themeColor="text1"/>
                      <w:position w:val="-28"/>
                      <w:szCs w:val="21"/>
                      <w14:textFill>
                        <w14:solidFill>
                          <w14:schemeClr w14:val="tx1"/>
                        </w14:solidFill>
                      </w14:textFill>
                    </w:rPr>
                    <w:t>0.000</w:t>
                  </w:r>
                  <w:r>
                    <w:rPr>
                      <w:rFonts w:hint="eastAsia"/>
                      <w:color w:val="000000" w:themeColor="text1"/>
                      <w:position w:val="-28"/>
                      <w:szCs w:val="21"/>
                      <w14:textFill>
                        <w14:solidFill>
                          <w14:schemeClr w14:val="tx1"/>
                        </w14:solidFill>
                      </w14:textFill>
                    </w:rPr>
                    <w:t>2</w:t>
                  </w:r>
                </w:p>
              </w:tc>
              <w:tc>
                <w:tcPr>
                  <w:tcW w:w="16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3C5783">
                  <w:pPr>
                    <w:adjustRightInd w:val="0"/>
                    <w:snapToGrid w:val="0"/>
                    <w:jc w:val="center"/>
                    <w:rPr>
                      <w:color w:val="000000" w:themeColor="text1"/>
                      <w:position w:val="-28"/>
                      <w:szCs w:val="21"/>
                      <w14:textFill>
                        <w14:solidFill>
                          <w14:schemeClr w14:val="tx1"/>
                        </w14:solidFill>
                      </w14:textFill>
                    </w:rPr>
                  </w:pPr>
                  <w:r>
                    <w:rPr>
                      <w:color w:val="000000" w:themeColor="text1"/>
                      <w:position w:val="-28"/>
                      <w:szCs w:val="21"/>
                      <w14:textFill>
                        <w14:solidFill>
                          <w14:schemeClr w14:val="tx1"/>
                        </w14:solidFill>
                      </w14:textFill>
                    </w:rPr>
                    <w:t>《企业突发环境事件风险分级方法》（HJ941-2018）附录A（突发环境事件风险物质及临界量清单）中第八部分：其他类物质及污染物</w:t>
                  </w:r>
                </w:p>
              </w:tc>
            </w:tr>
            <w:tr w14:paraId="33D7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753"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3377986">
                  <w:pPr>
                    <w:adjustRightInd w:val="0"/>
                    <w:snapToGrid w:val="0"/>
                    <w:jc w:val="center"/>
                    <w:rPr>
                      <w:color w:val="000000" w:themeColor="text1"/>
                      <w:position w:val="-28"/>
                      <w:szCs w:val="21"/>
                      <w14:textFill>
                        <w14:solidFill>
                          <w14:schemeClr w14:val="tx1"/>
                        </w14:solidFill>
                      </w14:textFill>
                    </w:rPr>
                  </w:pPr>
                  <w:r>
                    <w:rPr>
                      <w:color w:val="000000" w:themeColor="text1"/>
                      <w:position w:val="-28"/>
                      <w:szCs w:val="21"/>
                      <w14:textFill>
                        <w14:solidFill>
                          <w14:schemeClr w14:val="tx1"/>
                        </w14:solidFill>
                      </w14:textFill>
                    </w:rPr>
                    <w:t>合计</w:t>
                  </w:r>
                </w:p>
              </w:tc>
              <w:tc>
                <w:tcPr>
                  <w:tcW w:w="7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CCFF05">
                  <w:pPr>
                    <w:adjustRightInd w:val="0"/>
                    <w:snapToGrid w:val="0"/>
                    <w:jc w:val="center"/>
                    <w:rPr>
                      <w:color w:val="000000" w:themeColor="text1"/>
                      <w:position w:val="-28"/>
                      <w:szCs w:val="21"/>
                      <w14:textFill>
                        <w14:solidFill>
                          <w14:schemeClr w14:val="tx1"/>
                        </w14:solidFill>
                      </w14:textFill>
                    </w:rPr>
                  </w:pPr>
                  <w:r>
                    <w:rPr>
                      <w:color w:val="000000" w:themeColor="text1"/>
                      <w:position w:val="-28"/>
                      <w:szCs w:val="21"/>
                      <w14:textFill>
                        <w14:solidFill>
                          <w14:schemeClr w14:val="tx1"/>
                        </w14:solidFill>
                      </w14:textFill>
                    </w:rPr>
                    <w:t>/</w:t>
                  </w:r>
                </w:p>
              </w:tc>
              <w:tc>
                <w:tcPr>
                  <w:tcW w:w="6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FA9199">
                  <w:pPr>
                    <w:adjustRightInd w:val="0"/>
                    <w:snapToGrid w:val="0"/>
                    <w:jc w:val="center"/>
                    <w:rPr>
                      <w:color w:val="000000" w:themeColor="text1"/>
                      <w:position w:val="-28"/>
                      <w:szCs w:val="21"/>
                      <w14:textFill>
                        <w14:solidFill>
                          <w14:schemeClr w14:val="tx1"/>
                        </w14:solidFill>
                      </w14:textFill>
                    </w:rPr>
                  </w:pPr>
                  <w:r>
                    <w:rPr>
                      <w:color w:val="000000" w:themeColor="text1"/>
                      <w:position w:val="-28"/>
                      <w:szCs w:val="21"/>
                      <w14:textFill>
                        <w14:solidFill>
                          <w14:schemeClr w14:val="tx1"/>
                        </w14:solidFill>
                      </w14:textFill>
                    </w:rPr>
                    <w:t>/</w:t>
                  </w:r>
                </w:p>
              </w:tc>
              <w:tc>
                <w:tcPr>
                  <w:tcW w:w="47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B6BB76">
                  <w:pPr>
                    <w:adjustRightInd w:val="0"/>
                    <w:snapToGrid w:val="0"/>
                    <w:jc w:val="center"/>
                    <w:rPr>
                      <w:color w:val="000000" w:themeColor="text1"/>
                      <w:position w:val="-28"/>
                      <w:szCs w:val="21"/>
                      <w14:textFill>
                        <w14:solidFill>
                          <w14:schemeClr w14:val="tx1"/>
                        </w14:solidFill>
                      </w14:textFill>
                    </w:rPr>
                  </w:pPr>
                  <w:r>
                    <w:rPr>
                      <w:color w:val="000000" w:themeColor="text1"/>
                      <w:position w:val="-28"/>
                      <w:szCs w:val="21"/>
                      <w14:textFill>
                        <w14:solidFill>
                          <w14:schemeClr w14:val="tx1"/>
                        </w14:solidFill>
                      </w14:textFill>
                    </w:rPr>
                    <w:t>/</w:t>
                  </w:r>
                </w:p>
              </w:tc>
              <w:tc>
                <w:tcPr>
                  <w:tcW w:w="68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6DB97C">
                  <w:pPr>
                    <w:adjustRightInd w:val="0"/>
                    <w:snapToGrid w:val="0"/>
                    <w:jc w:val="center"/>
                    <w:rPr>
                      <w:color w:val="000000" w:themeColor="text1"/>
                      <w:position w:val="-28"/>
                      <w:szCs w:val="21"/>
                      <w14:textFill>
                        <w14:solidFill>
                          <w14:schemeClr w14:val="tx1"/>
                        </w14:solidFill>
                      </w14:textFill>
                    </w:rPr>
                  </w:pPr>
                  <w:r>
                    <w:rPr>
                      <w:rFonts w:hint="eastAsia"/>
                      <w:color w:val="000000" w:themeColor="text1"/>
                      <w:position w:val="-28"/>
                      <w:szCs w:val="21"/>
                      <w14:textFill>
                        <w14:solidFill>
                          <w14:schemeClr w14:val="tx1"/>
                        </w14:solidFill>
                      </w14:textFill>
                    </w:rPr>
                    <w:t>0.0002</w:t>
                  </w:r>
                </w:p>
              </w:tc>
              <w:tc>
                <w:tcPr>
                  <w:tcW w:w="16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655B7E">
                  <w:pPr>
                    <w:adjustRightInd w:val="0"/>
                    <w:snapToGrid w:val="0"/>
                    <w:jc w:val="center"/>
                    <w:rPr>
                      <w:color w:val="000000" w:themeColor="text1"/>
                      <w:position w:val="-28"/>
                      <w:szCs w:val="21"/>
                      <w14:textFill>
                        <w14:solidFill>
                          <w14:schemeClr w14:val="tx1"/>
                        </w14:solidFill>
                      </w14:textFill>
                    </w:rPr>
                  </w:pPr>
                  <w:r>
                    <w:rPr>
                      <w:color w:val="000000" w:themeColor="text1"/>
                      <w:position w:val="-28"/>
                      <w:szCs w:val="21"/>
                      <w14:textFill>
                        <w14:solidFill>
                          <w14:schemeClr w14:val="tx1"/>
                        </w14:solidFill>
                      </w14:textFill>
                    </w:rPr>
                    <w:t>/</w:t>
                  </w:r>
                </w:p>
              </w:tc>
            </w:tr>
          </w:tbl>
          <w:p w14:paraId="23226A53">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本项目风险物质与临界值的比值Q=</w:t>
            </w:r>
            <w:r>
              <w:rPr>
                <w:rFonts w:hint="eastAsia"/>
                <w:color w:val="000000" w:themeColor="text1"/>
                <w:sz w:val="24"/>
                <w14:textFill>
                  <w14:solidFill>
                    <w14:schemeClr w14:val="tx1"/>
                  </w14:solidFill>
                </w14:textFill>
              </w:rPr>
              <w:t>0.0002</w:t>
            </w:r>
            <w:r>
              <w:rPr>
                <w:color w:val="000000" w:themeColor="text1"/>
                <w:sz w:val="24"/>
                <w14:textFill>
                  <w14:solidFill>
                    <w14:schemeClr w14:val="tx1"/>
                  </w14:solidFill>
                </w14:textFill>
              </w:rPr>
              <w:t>＜1，项目环境风险潜势为I，不设置评价等级，仅进行简要分析。</w:t>
            </w:r>
          </w:p>
          <w:p w14:paraId="7E16EE63">
            <w:pPr>
              <w:adjustRightInd w:val="0"/>
              <w:snapToGrid w:val="0"/>
              <w:spacing w:line="360" w:lineRule="auto"/>
              <w:ind w:firstLine="482" w:firstLineChars="200"/>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3、评价等级</w:t>
            </w:r>
          </w:p>
          <w:p w14:paraId="5FCF9481">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根据《建设项目环境风险评价技术导则》（HJ169-2018）表1评价工作等级的划分见下表：</w:t>
            </w:r>
          </w:p>
          <w:p w14:paraId="6FF4BBB3">
            <w:pPr>
              <w:pStyle w:val="12"/>
              <w:adjustRightInd w:val="0"/>
              <w:ind w:right="-45"/>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表4-</w:t>
            </w:r>
            <w:r>
              <w:rPr>
                <w:rFonts w:hint="eastAsia" w:ascii="Times New Roman" w:hAnsi="Times New Roman"/>
                <w:b/>
                <w:color w:val="000000" w:themeColor="text1"/>
                <w:szCs w:val="21"/>
                <w14:textFill>
                  <w14:solidFill>
                    <w14:schemeClr w14:val="tx1"/>
                  </w14:solidFill>
                </w14:textFill>
              </w:rPr>
              <w:t>1</w:t>
            </w:r>
            <w:r>
              <w:rPr>
                <w:rFonts w:ascii="Times New Roman" w:hAnsi="Times New Roman"/>
                <w:b/>
                <w:color w:val="000000" w:themeColor="text1"/>
                <w:szCs w:val="21"/>
                <w14:textFill>
                  <w14:solidFill>
                    <w14:schemeClr w14:val="tx1"/>
                  </w14:solidFill>
                </w14:textFill>
              </w:rPr>
              <w:t>4  环境风险评价等级的确定依据</w:t>
            </w:r>
          </w:p>
          <w:tbl>
            <w:tblPr>
              <w:tblStyle w:val="25"/>
              <w:tblW w:w="5000" w:type="pct"/>
              <w:tblInd w:w="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690"/>
              <w:gridCol w:w="1690"/>
              <w:gridCol w:w="1691"/>
              <w:gridCol w:w="1691"/>
              <w:gridCol w:w="1695"/>
            </w:tblGrid>
            <w:tr w14:paraId="437C1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 w:hRule="atLeast"/>
              </w:trPr>
              <w:tc>
                <w:tcPr>
                  <w:tcW w:w="999" w:type="pct"/>
                </w:tcPr>
                <w:p w14:paraId="25B45F0A">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环境风险潜势</w:t>
                  </w:r>
                </w:p>
              </w:tc>
              <w:tc>
                <w:tcPr>
                  <w:tcW w:w="999" w:type="pct"/>
                </w:tcPr>
                <w:p w14:paraId="014436D8">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Ⅳ、Ⅳ*</w:t>
                  </w:r>
                </w:p>
              </w:tc>
              <w:tc>
                <w:tcPr>
                  <w:tcW w:w="1000" w:type="pct"/>
                </w:tcPr>
                <w:p w14:paraId="4308AAFC">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Ⅲ</w:t>
                  </w:r>
                </w:p>
              </w:tc>
              <w:tc>
                <w:tcPr>
                  <w:tcW w:w="1000" w:type="pct"/>
                </w:tcPr>
                <w:p w14:paraId="1E946BD4">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Ⅱ</w:t>
                  </w:r>
                </w:p>
              </w:tc>
              <w:tc>
                <w:tcPr>
                  <w:tcW w:w="1000" w:type="pct"/>
                </w:tcPr>
                <w:p w14:paraId="7D7003B2">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Ⅰ</w:t>
                  </w:r>
                </w:p>
              </w:tc>
            </w:tr>
            <w:tr w14:paraId="49C81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 w:hRule="atLeast"/>
              </w:trPr>
              <w:tc>
                <w:tcPr>
                  <w:tcW w:w="999" w:type="pct"/>
                </w:tcPr>
                <w:p w14:paraId="626EB747">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评价工作等级</w:t>
                  </w:r>
                </w:p>
              </w:tc>
              <w:tc>
                <w:tcPr>
                  <w:tcW w:w="999" w:type="pct"/>
                </w:tcPr>
                <w:p w14:paraId="5840E44D">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一</w:t>
                  </w:r>
                </w:p>
              </w:tc>
              <w:tc>
                <w:tcPr>
                  <w:tcW w:w="1000" w:type="pct"/>
                </w:tcPr>
                <w:p w14:paraId="1A479C3C">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二</w:t>
                  </w:r>
                </w:p>
              </w:tc>
              <w:tc>
                <w:tcPr>
                  <w:tcW w:w="1000" w:type="pct"/>
                </w:tcPr>
                <w:p w14:paraId="72C54BAC">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三</w:t>
                  </w:r>
                </w:p>
              </w:tc>
              <w:tc>
                <w:tcPr>
                  <w:tcW w:w="1000" w:type="pct"/>
                </w:tcPr>
                <w:p w14:paraId="10D96903">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简单分析</w:t>
                  </w:r>
                </w:p>
              </w:tc>
            </w:tr>
            <w:tr w14:paraId="41D1B7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0" w:hRule="atLeast"/>
              </w:trPr>
              <w:tc>
                <w:tcPr>
                  <w:tcW w:w="5000" w:type="pct"/>
                  <w:gridSpan w:val="5"/>
                </w:tcPr>
                <w:p w14:paraId="2E5E697C">
                  <w:pPr>
                    <w:widowControl/>
                    <w:autoSpaceDE w:val="0"/>
                    <w:autoSpaceDN w:val="0"/>
                    <w:ind w:left="105" w:leftChars="50" w:right="105" w:rightChars="50"/>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简单分析是相对于详细评价工作内容而言，在描述危险物质、环境影响途径、环境危害后果、风险防范措施等方面给出定性的说明。详见 HJ169-2018 附录 A</w:t>
                  </w:r>
                </w:p>
              </w:tc>
            </w:tr>
          </w:tbl>
          <w:p w14:paraId="687B62DC">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依据上表中所规定的判定原则，本次环境风险评价工作等级判定为</w:t>
            </w:r>
            <w:r>
              <w:rPr>
                <w:b/>
                <w:bCs/>
                <w:color w:val="000000" w:themeColor="text1"/>
                <w:kern w:val="0"/>
                <w:sz w:val="24"/>
                <w14:textFill>
                  <w14:solidFill>
                    <w14:schemeClr w14:val="tx1"/>
                  </w14:solidFill>
                </w14:textFill>
              </w:rPr>
              <w:t>简单分析</w:t>
            </w:r>
            <w:r>
              <w:rPr>
                <w:color w:val="000000" w:themeColor="text1"/>
                <w:kern w:val="0"/>
                <w:sz w:val="24"/>
                <w14:textFill>
                  <w14:solidFill>
                    <w14:schemeClr w14:val="tx1"/>
                  </w14:solidFill>
                </w14:textFill>
              </w:rPr>
              <w:t>。</w:t>
            </w:r>
          </w:p>
          <w:p w14:paraId="21183423">
            <w:pPr>
              <w:adjustRightInd w:val="0"/>
              <w:snapToGrid w:val="0"/>
              <w:spacing w:line="360" w:lineRule="auto"/>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4</w:t>
            </w:r>
            <w:r>
              <w:rPr>
                <w:b/>
                <w:bCs/>
                <w:color w:val="000000" w:themeColor="text1"/>
                <w:kern w:val="0"/>
                <w:sz w:val="24"/>
                <w14:textFill>
                  <w14:solidFill>
                    <w14:schemeClr w14:val="tx1"/>
                  </w14:solidFill>
                </w14:textFill>
              </w:rPr>
              <w:t>、环境敏感目标概况</w:t>
            </w:r>
          </w:p>
          <w:p w14:paraId="09999AED">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评价区可能受影响的环境保护目标见下表：</w:t>
            </w:r>
          </w:p>
          <w:p w14:paraId="70D31821">
            <w:pPr>
              <w:pStyle w:val="12"/>
              <w:adjustRightInd w:val="0"/>
              <w:ind w:right="-45"/>
              <w:jc w:val="center"/>
              <w:rPr>
                <w:rFonts w:ascii="Times New Roman" w:hAnsi="Times New Roman"/>
                <w:b/>
                <w:color w:val="000000" w:themeColor="text1"/>
                <w:szCs w:val="21"/>
                <w14:textFill>
                  <w14:solidFill>
                    <w14:schemeClr w14:val="tx1"/>
                  </w14:solidFill>
                </w14:textFill>
              </w:rPr>
            </w:pPr>
            <w:r>
              <w:rPr>
                <w:rFonts w:ascii="Times New Roman" w:hAnsi="Times New Roman"/>
                <w:b/>
                <w:color w:val="000000" w:themeColor="text1"/>
                <w:szCs w:val="21"/>
                <w14:textFill>
                  <w14:solidFill>
                    <w14:schemeClr w14:val="tx1"/>
                  </w14:solidFill>
                </w14:textFill>
              </w:rPr>
              <w:t>表4-</w:t>
            </w:r>
            <w:r>
              <w:rPr>
                <w:rFonts w:hint="eastAsia" w:ascii="Times New Roman" w:hAnsi="Times New Roman"/>
                <w:b/>
                <w:color w:val="000000" w:themeColor="text1"/>
                <w:szCs w:val="21"/>
                <w14:textFill>
                  <w14:solidFill>
                    <w14:schemeClr w14:val="tx1"/>
                  </w14:solidFill>
                </w14:textFill>
              </w:rPr>
              <w:t>1</w:t>
            </w:r>
            <w:r>
              <w:rPr>
                <w:rFonts w:ascii="Times New Roman" w:hAnsi="Times New Roman"/>
                <w:b/>
                <w:color w:val="000000" w:themeColor="text1"/>
                <w:szCs w:val="21"/>
                <w14:textFill>
                  <w14:solidFill>
                    <w14:schemeClr w14:val="tx1"/>
                  </w14:solidFill>
                </w14:textFill>
              </w:rPr>
              <w:t>5  评价区可能受影响的主要环境保护目标</w:t>
            </w:r>
          </w:p>
          <w:tbl>
            <w:tblPr>
              <w:tblStyle w:val="25"/>
              <w:tblW w:w="4997"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1052"/>
              <w:gridCol w:w="1438"/>
              <w:gridCol w:w="4157"/>
              <w:gridCol w:w="1805"/>
            </w:tblGrid>
            <w:tr w14:paraId="4A41CE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622" w:type="pct"/>
                  <w:vAlign w:val="center"/>
                </w:tcPr>
                <w:p w14:paraId="18B69D5A">
                  <w:pPr>
                    <w:widowControl/>
                    <w:autoSpaceDE w:val="0"/>
                    <w:autoSpaceDN w:val="0"/>
                    <w:ind w:left="105" w:leftChars="50" w:right="105" w:rightChars="5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保护对象</w:t>
                  </w:r>
                </w:p>
              </w:tc>
              <w:tc>
                <w:tcPr>
                  <w:tcW w:w="850" w:type="pct"/>
                  <w:vAlign w:val="center"/>
                </w:tcPr>
                <w:p w14:paraId="7B193B33">
                  <w:pPr>
                    <w:widowControl/>
                    <w:autoSpaceDE w:val="0"/>
                    <w:autoSpaceDN w:val="0"/>
                    <w:ind w:left="105" w:leftChars="50" w:right="105" w:rightChars="5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保护类别</w:t>
                  </w:r>
                </w:p>
              </w:tc>
              <w:tc>
                <w:tcPr>
                  <w:tcW w:w="2458" w:type="pct"/>
                  <w:vAlign w:val="center"/>
                </w:tcPr>
                <w:p w14:paraId="7706B57F">
                  <w:pPr>
                    <w:widowControl/>
                    <w:autoSpaceDE w:val="0"/>
                    <w:autoSpaceDN w:val="0"/>
                    <w:ind w:left="105" w:leftChars="50" w:right="105" w:rightChars="5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保护目标</w:t>
                  </w:r>
                </w:p>
              </w:tc>
              <w:tc>
                <w:tcPr>
                  <w:tcW w:w="1068" w:type="pct"/>
                  <w:vAlign w:val="center"/>
                </w:tcPr>
                <w:p w14:paraId="078D8864">
                  <w:pPr>
                    <w:widowControl/>
                    <w:autoSpaceDE w:val="0"/>
                    <w:autoSpaceDN w:val="0"/>
                    <w:ind w:left="105" w:leftChars="50" w:right="105" w:rightChars="50"/>
                    <w:jc w:val="center"/>
                    <w:rPr>
                      <w:b/>
                      <w:bCs/>
                      <w:color w:val="000000" w:themeColor="text1"/>
                      <w:kern w:val="0"/>
                      <w:szCs w:val="21"/>
                      <w14:textFill>
                        <w14:solidFill>
                          <w14:schemeClr w14:val="tx1"/>
                        </w14:solidFill>
                      </w14:textFill>
                    </w:rPr>
                  </w:pPr>
                  <w:r>
                    <w:rPr>
                      <w:b/>
                      <w:bCs/>
                      <w:color w:val="000000" w:themeColor="text1"/>
                      <w:kern w:val="0"/>
                      <w:szCs w:val="21"/>
                      <w14:textFill>
                        <w14:solidFill>
                          <w14:schemeClr w14:val="tx1"/>
                        </w14:solidFill>
                      </w14:textFill>
                    </w:rPr>
                    <w:t>备注</w:t>
                  </w:r>
                </w:p>
              </w:tc>
            </w:tr>
            <w:tr w14:paraId="384453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622" w:type="pct"/>
                  <w:vAlign w:val="center"/>
                </w:tcPr>
                <w:p w14:paraId="39AE9149">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大气环境</w:t>
                  </w:r>
                </w:p>
              </w:tc>
              <w:tc>
                <w:tcPr>
                  <w:tcW w:w="850" w:type="pct"/>
                  <w:vAlign w:val="center"/>
                </w:tcPr>
                <w:p w14:paraId="21A139C6">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空气质量、人群健康</w:t>
                  </w:r>
                </w:p>
              </w:tc>
              <w:tc>
                <w:tcPr>
                  <w:tcW w:w="2458" w:type="pct"/>
                  <w:vAlign w:val="center"/>
                </w:tcPr>
                <w:p w14:paraId="6C5FF45D">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《环境空气质量标准》（GB3095-20</w:t>
                  </w:r>
                  <w:r>
                    <w:rPr>
                      <w:rFonts w:hint="eastAsia"/>
                      <w:color w:val="000000" w:themeColor="text1"/>
                      <w:kern w:val="0"/>
                      <w:szCs w:val="21"/>
                      <w14:textFill>
                        <w14:solidFill>
                          <w14:schemeClr w14:val="tx1"/>
                        </w14:solidFill>
                      </w14:textFill>
                    </w:rPr>
                    <w:t>26</w:t>
                  </w:r>
                  <w:r>
                    <w:rPr>
                      <w:color w:val="000000" w:themeColor="text1"/>
                      <w:kern w:val="0"/>
                      <w:szCs w:val="21"/>
                      <w14:textFill>
                        <w14:solidFill>
                          <w14:schemeClr w14:val="tx1"/>
                        </w14:solidFill>
                      </w14:textFill>
                    </w:rPr>
                    <w:t>）二级标准</w:t>
                  </w:r>
                </w:p>
              </w:tc>
              <w:tc>
                <w:tcPr>
                  <w:tcW w:w="1068" w:type="pct"/>
                  <w:vAlign w:val="center"/>
                </w:tcPr>
                <w:p w14:paraId="10D94335">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拟建地附近人群</w:t>
                  </w:r>
                </w:p>
              </w:tc>
            </w:tr>
            <w:tr w14:paraId="46BF1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622" w:type="pct"/>
                  <w:vAlign w:val="center"/>
                </w:tcPr>
                <w:p w14:paraId="3BA596DA">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地下水</w:t>
                  </w:r>
                </w:p>
              </w:tc>
              <w:tc>
                <w:tcPr>
                  <w:tcW w:w="850" w:type="pct"/>
                  <w:vAlign w:val="center"/>
                </w:tcPr>
                <w:p w14:paraId="28F53E7E">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地下水</w:t>
                  </w:r>
                </w:p>
              </w:tc>
              <w:tc>
                <w:tcPr>
                  <w:tcW w:w="2458" w:type="pct"/>
                  <w:vAlign w:val="center"/>
                </w:tcPr>
                <w:p w14:paraId="1213B9A5">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《地下水质量标准》（GB/T14848-2017）Ⅲ类标准</w:t>
                  </w:r>
                </w:p>
              </w:tc>
              <w:tc>
                <w:tcPr>
                  <w:tcW w:w="1068" w:type="pct"/>
                  <w:vAlign w:val="center"/>
                </w:tcPr>
                <w:p w14:paraId="7790DA72">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拟建地及周边地区</w:t>
                  </w:r>
                </w:p>
              </w:tc>
            </w:tr>
            <w:tr w14:paraId="73A1D3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622" w:type="pct"/>
                  <w:vMerge w:val="restart"/>
                  <w:vAlign w:val="center"/>
                </w:tcPr>
                <w:p w14:paraId="73C5ED94">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生态环境</w:t>
                  </w:r>
                </w:p>
              </w:tc>
              <w:tc>
                <w:tcPr>
                  <w:tcW w:w="850" w:type="pct"/>
                  <w:vMerge w:val="restart"/>
                  <w:vAlign w:val="center"/>
                </w:tcPr>
                <w:p w14:paraId="3EBF2FD1">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土壤</w:t>
                  </w:r>
                </w:p>
              </w:tc>
              <w:tc>
                <w:tcPr>
                  <w:tcW w:w="2458" w:type="pct"/>
                  <w:vAlign w:val="center"/>
                </w:tcPr>
                <w:p w14:paraId="69962243">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《土壤环境质量 农用地土壤污染风险管控标准（试行）》（GB 15618-2018）</w:t>
                  </w:r>
                </w:p>
              </w:tc>
              <w:tc>
                <w:tcPr>
                  <w:tcW w:w="1068" w:type="pct"/>
                  <w:vAlign w:val="center"/>
                </w:tcPr>
                <w:p w14:paraId="1AD12C89">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拟建地周边地区</w:t>
                  </w:r>
                </w:p>
              </w:tc>
            </w:tr>
            <w:tr w14:paraId="008E83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3" w:hRule="atLeast"/>
                <w:jc w:val="center"/>
              </w:trPr>
              <w:tc>
                <w:tcPr>
                  <w:tcW w:w="622" w:type="pct"/>
                  <w:vMerge w:val="continue"/>
                  <w:vAlign w:val="center"/>
                </w:tcPr>
                <w:p w14:paraId="20E09043">
                  <w:pPr>
                    <w:widowControl/>
                    <w:autoSpaceDE w:val="0"/>
                    <w:autoSpaceDN w:val="0"/>
                    <w:ind w:left="105" w:leftChars="50" w:right="105" w:rightChars="50"/>
                    <w:jc w:val="center"/>
                    <w:rPr>
                      <w:color w:val="000000" w:themeColor="text1"/>
                      <w14:textFill>
                        <w14:solidFill>
                          <w14:schemeClr w14:val="tx1"/>
                        </w14:solidFill>
                      </w14:textFill>
                    </w:rPr>
                  </w:pPr>
                </w:p>
              </w:tc>
              <w:tc>
                <w:tcPr>
                  <w:tcW w:w="850" w:type="pct"/>
                  <w:vMerge w:val="continue"/>
                  <w:vAlign w:val="center"/>
                </w:tcPr>
                <w:p w14:paraId="72583C4C">
                  <w:pPr>
                    <w:widowControl/>
                    <w:autoSpaceDE w:val="0"/>
                    <w:autoSpaceDN w:val="0"/>
                    <w:ind w:left="105" w:leftChars="50" w:right="105" w:rightChars="50"/>
                    <w:jc w:val="center"/>
                    <w:rPr>
                      <w:color w:val="000000" w:themeColor="text1"/>
                      <w14:textFill>
                        <w14:solidFill>
                          <w14:schemeClr w14:val="tx1"/>
                        </w14:solidFill>
                      </w14:textFill>
                    </w:rPr>
                  </w:pPr>
                </w:p>
              </w:tc>
              <w:tc>
                <w:tcPr>
                  <w:tcW w:w="2458" w:type="pct"/>
                  <w:vAlign w:val="center"/>
                </w:tcPr>
                <w:p w14:paraId="31DE8D77">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《土壤环境质量 建设用地土壤污染风险管控标准（试行）》（GB36600-2018）</w:t>
                  </w:r>
                </w:p>
              </w:tc>
              <w:tc>
                <w:tcPr>
                  <w:tcW w:w="1068" w:type="pct"/>
                  <w:vAlign w:val="center"/>
                </w:tcPr>
                <w:p w14:paraId="478ABD7E">
                  <w:pPr>
                    <w:widowControl/>
                    <w:autoSpaceDE w:val="0"/>
                    <w:autoSpaceDN w:val="0"/>
                    <w:ind w:left="105" w:leftChars="50" w:right="105" w:rightChars="50"/>
                    <w:jc w:val="center"/>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拟建地</w:t>
                  </w:r>
                </w:p>
              </w:tc>
            </w:tr>
          </w:tbl>
          <w:p w14:paraId="53AA7858">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本评价主要采用资料收集及现场调查的方法对评价区域内的环境状况进行了解，本次评价对风险源周围500m范围内的环境敏感点进行了调查，500m范围内环境敏感目标如下。</w:t>
            </w:r>
          </w:p>
          <w:p w14:paraId="29C2197F">
            <w:pPr>
              <w:pStyle w:val="63"/>
              <w:ind w:firstLine="480"/>
              <w:rPr>
                <w:color w:val="000000" w:themeColor="text1"/>
                <w14:textFill>
                  <w14:solidFill>
                    <w14:schemeClr w14:val="tx1"/>
                  </w14:solidFill>
                </w14:textFill>
              </w:rPr>
            </w:pPr>
          </w:p>
          <w:p w14:paraId="289DBCA1">
            <w:pPr>
              <w:adjustRightInd w:val="0"/>
              <w:snapToGrid w:val="0"/>
              <w:jc w:val="center"/>
              <w:rPr>
                <w:b/>
                <w:bCs/>
                <w:color w:val="000000" w:themeColor="text1"/>
                <w:szCs w:val="21"/>
                <w14:textFill>
                  <w14:solidFill>
                    <w14:schemeClr w14:val="tx1"/>
                  </w14:solidFill>
                </w14:textFill>
              </w:rPr>
            </w:pPr>
            <w:r>
              <w:rPr>
                <w:b/>
                <w:bCs/>
                <w:color w:val="000000" w:themeColor="text1"/>
                <w:szCs w:val="21"/>
                <w14:textFill>
                  <w14:solidFill>
                    <w14:schemeClr w14:val="tx1"/>
                  </w14:solidFill>
                </w14:textFill>
              </w:rPr>
              <w:t>表4-</w:t>
            </w:r>
            <w:r>
              <w:rPr>
                <w:rFonts w:hint="eastAsia"/>
                <w:b/>
                <w:bCs/>
                <w:color w:val="000000" w:themeColor="text1"/>
                <w:szCs w:val="21"/>
                <w14:textFill>
                  <w14:solidFill>
                    <w14:schemeClr w14:val="tx1"/>
                  </w14:solidFill>
                </w14:textFill>
              </w:rPr>
              <w:t>1</w:t>
            </w:r>
            <w:r>
              <w:rPr>
                <w:b/>
                <w:bCs/>
                <w:color w:val="000000" w:themeColor="text1"/>
                <w:szCs w:val="21"/>
                <w14:textFill>
                  <w14:solidFill>
                    <w14:schemeClr w14:val="tx1"/>
                  </w14:solidFill>
                </w14:textFill>
              </w:rPr>
              <w:t xml:space="preserve">6  </w:t>
            </w:r>
            <w:r>
              <w:rPr>
                <w:rFonts w:hint="eastAsia"/>
                <w:b/>
                <w:bCs/>
                <w:color w:val="000000" w:themeColor="text1"/>
                <w:szCs w:val="21"/>
                <w14:textFill>
                  <w14:solidFill>
                    <w14:schemeClr w14:val="tx1"/>
                  </w14:solidFill>
                </w14:textFill>
              </w:rPr>
              <w:t>500</w:t>
            </w:r>
            <w:r>
              <w:rPr>
                <w:b/>
                <w:bCs/>
                <w:color w:val="000000" w:themeColor="text1"/>
                <w:szCs w:val="21"/>
                <w14:textFill>
                  <w14:solidFill>
                    <w14:schemeClr w14:val="tx1"/>
                  </w14:solidFill>
                </w14:textFill>
              </w:rPr>
              <w:t>m范围内环境敏感目标一览表</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1126"/>
              <w:gridCol w:w="1317"/>
              <w:gridCol w:w="1065"/>
              <w:gridCol w:w="714"/>
              <w:gridCol w:w="708"/>
              <w:gridCol w:w="845"/>
              <w:gridCol w:w="901"/>
              <w:gridCol w:w="1163"/>
            </w:tblGrid>
            <w:tr w14:paraId="64BD7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0" w:type="pct"/>
                  <w:vMerge w:val="restart"/>
                  <w:vAlign w:val="center"/>
                </w:tcPr>
                <w:p w14:paraId="141F83E5">
                  <w:pPr>
                    <w:autoSpaceDE w:val="0"/>
                    <w:autoSpaceDN w:val="0"/>
                    <w:adjustRightInd w:val="0"/>
                    <w:jc w:val="center"/>
                    <w:rPr>
                      <w:color w:val="000000" w:themeColor="text1"/>
                      <w:szCs w:val="21"/>
                      <w14:textFill>
                        <w14:solidFill>
                          <w14:schemeClr w14:val="tx1"/>
                        </w14:solidFill>
                      </w14:textFill>
                    </w:rPr>
                  </w:pPr>
                  <w:r>
                    <w:rPr>
                      <w:b/>
                      <w:color w:val="000000" w:themeColor="text1"/>
                      <w:spacing w:val="-10"/>
                      <w:szCs w:val="21"/>
                      <w14:textFill>
                        <w14:solidFill>
                          <w14:schemeClr w14:val="tx1"/>
                        </w14:solidFill>
                      </w14:textFill>
                    </w:rPr>
                    <w:t>环境要素</w:t>
                  </w:r>
                </w:p>
              </w:tc>
              <w:tc>
                <w:tcPr>
                  <w:tcW w:w="664" w:type="pct"/>
                  <w:vMerge w:val="restart"/>
                  <w:vAlign w:val="center"/>
                </w:tcPr>
                <w:p w14:paraId="427C0557">
                  <w:pPr>
                    <w:autoSpaceDE w:val="0"/>
                    <w:autoSpaceDN w:val="0"/>
                    <w:adjustRightInd w:val="0"/>
                    <w:jc w:val="center"/>
                    <w:rPr>
                      <w:color w:val="000000" w:themeColor="text1"/>
                      <w:szCs w:val="21"/>
                      <w14:textFill>
                        <w14:solidFill>
                          <w14:schemeClr w14:val="tx1"/>
                        </w14:solidFill>
                      </w14:textFill>
                    </w:rPr>
                  </w:pPr>
                  <w:r>
                    <w:rPr>
                      <w:b/>
                      <w:color w:val="000000" w:themeColor="text1"/>
                      <w:spacing w:val="-10"/>
                      <w:szCs w:val="21"/>
                      <w14:textFill>
                        <w14:solidFill>
                          <w14:schemeClr w14:val="tx1"/>
                        </w14:solidFill>
                      </w14:textFill>
                    </w:rPr>
                    <w:t>名称</w:t>
                  </w:r>
                </w:p>
              </w:tc>
              <w:tc>
                <w:tcPr>
                  <w:tcW w:w="1405" w:type="pct"/>
                  <w:gridSpan w:val="2"/>
                  <w:vAlign w:val="center"/>
                </w:tcPr>
                <w:p w14:paraId="2FF22929">
                  <w:pPr>
                    <w:jc w:val="center"/>
                    <w:rPr>
                      <w:b/>
                      <w:color w:val="000000" w:themeColor="text1"/>
                      <w:spacing w:val="-10"/>
                      <w:szCs w:val="21"/>
                      <w14:textFill>
                        <w14:solidFill>
                          <w14:schemeClr w14:val="tx1"/>
                        </w14:solidFill>
                      </w14:textFill>
                    </w:rPr>
                  </w:pPr>
                  <w:r>
                    <w:rPr>
                      <w:b/>
                      <w:snapToGrid w:val="0"/>
                      <w:color w:val="000000" w:themeColor="text1"/>
                      <w:kern w:val="0"/>
                      <w:szCs w:val="21"/>
                      <w14:textFill>
                        <w14:solidFill>
                          <w14:schemeClr w14:val="tx1"/>
                        </w14:solidFill>
                      </w14:textFill>
                    </w:rPr>
                    <w:t>经纬度</w:t>
                  </w:r>
                </w:p>
              </w:tc>
              <w:tc>
                <w:tcPr>
                  <w:tcW w:w="422" w:type="pct"/>
                  <w:vMerge w:val="restart"/>
                  <w:vAlign w:val="center"/>
                </w:tcPr>
                <w:p w14:paraId="7EB1B55D">
                  <w:pPr>
                    <w:autoSpaceDE w:val="0"/>
                    <w:autoSpaceDN w:val="0"/>
                    <w:adjustRightInd w:val="0"/>
                    <w:jc w:val="center"/>
                    <w:rPr>
                      <w:color w:val="000000" w:themeColor="text1"/>
                      <w:szCs w:val="21"/>
                      <w14:textFill>
                        <w14:solidFill>
                          <w14:schemeClr w14:val="tx1"/>
                        </w14:solidFill>
                      </w14:textFill>
                    </w:rPr>
                  </w:pPr>
                  <w:r>
                    <w:rPr>
                      <w:b/>
                      <w:bCs/>
                      <w:color w:val="000000" w:themeColor="text1"/>
                      <w:szCs w:val="21"/>
                      <w14:textFill>
                        <w14:solidFill>
                          <w14:schemeClr w14:val="tx1"/>
                        </w14:solidFill>
                      </w14:textFill>
                    </w:rPr>
                    <w:t>保护内容</w:t>
                  </w:r>
                </w:p>
              </w:tc>
              <w:tc>
                <w:tcPr>
                  <w:tcW w:w="418" w:type="pct"/>
                  <w:vMerge w:val="restart"/>
                  <w:vAlign w:val="center"/>
                </w:tcPr>
                <w:p w14:paraId="1CB65FE5">
                  <w:pPr>
                    <w:autoSpaceDE w:val="0"/>
                    <w:autoSpaceDN w:val="0"/>
                    <w:adjustRightInd w:val="0"/>
                    <w:jc w:val="center"/>
                    <w:rPr>
                      <w:b/>
                      <w:color w:val="000000" w:themeColor="text1"/>
                      <w:spacing w:val="-10"/>
                      <w:szCs w:val="21"/>
                      <w14:textFill>
                        <w14:solidFill>
                          <w14:schemeClr w14:val="tx1"/>
                        </w14:solidFill>
                      </w14:textFill>
                    </w:rPr>
                  </w:pPr>
                  <w:r>
                    <w:rPr>
                      <w:b/>
                      <w:color w:val="000000" w:themeColor="text1"/>
                      <w:spacing w:val="-10"/>
                      <w:szCs w:val="21"/>
                      <w14:textFill>
                        <w14:solidFill>
                          <w14:schemeClr w14:val="tx1"/>
                        </w14:solidFill>
                      </w14:textFill>
                    </w:rPr>
                    <w:t>保护</w:t>
                  </w:r>
                </w:p>
                <w:p w14:paraId="0ED31270">
                  <w:pPr>
                    <w:autoSpaceDE w:val="0"/>
                    <w:autoSpaceDN w:val="0"/>
                    <w:adjustRightInd w:val="0"/>
                    <w:jc w:val="center"/>
                    <w:rPr>
                      <w:color w:val="000000" w:themeColor="text1"/>
                      <w:szCs w:val="21"/>
                      <w14:textFill>
                        <w14:solidFill>
                          <w14:schemeClr w14:val="tx1"/>
                        </w14:solidFill>
                      </w14:textFill>
                    </w:rPr>
                  </w:pPr>
                  <w:r>
                    <w:rPr>
                      <w:b/>
                      <w:color w:val="000000" w:themeColor="text1"/>
                      <w:spacing w:val="-10"/>
                      <w:szCs w:val="21"/>
                      <w14:textFill>
                        <w14:solidFill>
                          <w14:schemeClr w14:val="tx1"/>
                        </w14:solidFill>
                      </w14:textFill>
                    </w:rPr>
                    <w:t>对象</w:t>
                  </w:r>
                </w:p>
              </w:tc>
              <w:tc>
                <w:tcPr>
                  <w:tcW w:w="499" w:type="pct"/>
                  <w:vMerge w:val="restart"/>
                  <w:vAlign w:val="center"/>
                </w:tcPr>
                <w:p w14:paraId="170EF109">
                  <w:pPr>
                    <w:autoSpaceDE w:val="0"/>
                    <w:autoSpaceDN w:val="0"/>
                    <w:adjustRightInd w:val="0"/>
                    <w:jc w:val="center"/>
                    <w:rPr>
                      <w:b/>
                      <w:color w:val="000000" w:themeColor="text1"/>
                      <w:spacing w:val="-10"/>
                      <w:szCs w:val="21"/>
                      <w14:textFill>
                        <w14:solidFill>
                          <w14:schemeClr w14:val="tx1"/>
                        </w14:solidFill>
                      </w14:textFill>
                    </w:rPr>
                  </w:pPr>
                  <w:r>
                    <w:rPr>
                      <w:b/>
                      <w:color w:val="000000" w:themeColor="text1"/>
                      <w:spacing w:val="-10"/>
                      <w:szCs w:val="21"/>
                      <w14:textFill>
                        <w14:solidFill>
                          <w14:schemeClr w14:val="tx1"/>
                        </w14:solidFill>
                      </w14:textFill>
                    </w:rPr>
                    <w:t>相对厂址方向</w:t>
                  </w:r>
                </w:p>
              </w:tc>
              <w:tc>
                <w:tcPr>
                  <w:tcW w:w="532" w:type="pct"/>
                  <w:vMerge w:val="restart"/>
                  <w:vAlign w:val="center"/>
                </w:tcPr>
                <w:p w14:paraId="20A17782">
                  <w:pPr>
                    <w:autoSpaceDE w:val="0"/>
                    <w:autoSpaceDN w:val="0"/>
                    <w:adjustRightInd w:val="0"/>
                    <w:jc w:val="center"/>
                    <w:rPr>
                      <w:b/>
                      <w:color w:val="000000" w:themeColor="text1"/>
                      <w:spacing w:val="-10"/>
                      <w:szCs w:val="21"/>
                      <w14:textFill>
                        <w14:solidFill>
                          <w14:schemeClr w14:val="tx1"/>
                        </w14:solidFill>
                      </w14:textFill>
                    </w:rPr>
                  </w:pPr>
                  <w:r>
                    <w:rPr>
                      <w:b/>
                      <w:color w:val="000000" w:themeColor="text1"/>
                      <w:spacing w:val="-10"/>
                      <w:szCs w:val="21"/>
                      <w14:textFill>
                        <w14:solidFill>
                          <w14:schemeClr w14:val="tx1"/>
                        </w14:solidFill>
                      </w14:textFill>
                    </w:rPr>
                    <w:t>相对厂界距离</w:t>
                  </w:r>
                </w:p>
              </w:tc>
              <w:tc>
                <w:tcPr>
                  <w:tcW w:w="686" w:type="pct"/>
                  <w:vMerge w:val="restart"/>
                  <w:vAlign w:val="center"/>
                </w:tcPr>
                <w:p w14:paraId="64C1419E">
                  <w:pPr>
                    <w:autoSpaceDE w:val="0"/>
                    <w:autoSpaceDN w:val="0"/>
                    <w:adjustRightInd w:val="0"/>
                    <w:jc w:val="center"/>
                    <w:rPr>
                      <w:b/>
                      <w:color w:val="000000" w:themeColor="text1"/>
                      <w:spacing w:val="-10"/>
                      <w:szCs w:val="21"/>
                      <w14:textFill>
                        <w14:solidFill>
                          <w14:schemeClr w14:val="tx1"/>
                        </w14:solidFill>
                      </w14:textFill>
                    </w:rPr>
                  </w:pPr>
                  <w:r>
                    <w:rPr>
                      <w:b/>
                      <w:color w:val="000000" w:themeColor="text1"/>
                      <w:spacing w:val="-10"/>
                      <w:szCs w:val="21"/>
                      <w14:textFill>
                        <w14:solidFill>
                          <w14:schemeClr w14:val="tx1"/>
                        </w14:solidFill>
                      </w14:textFill>
                    </w:rPr>
                    <w:t>保护级别</w:t>
                  </w:r>
                </w:p>
              </w:tc>
            </w:tr>
            <w:tr w14:paraId="3ECC7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0" w:type="pct"/>
                  <w:vMerge w:val="continue"/>
                  <w:vAlign w:val="center"/>
                </w:tcPr>
                <w:p w14:paraId="1C7B4507">
                  <w:pPr>
                    <w:autoSpaceDE w:val="0"/>
                    <w:autoSpaceDN w:val="0"/>
                    <w:adjustRightInd w:val="0"/>
                    <w:jc w:val="center"/>
                    <w:rPr>
                      <w:color w:val="000000" w:themeColor="text1"/>
                      <w:szCs w:val="21"/>
                      <w14:textFill>
                        <w14:solidFill>
                          <w14:schemeClr w14:val="tx1"/>
                        </w14:solidFill>
                      </w14:textFill>
                    </w:rPr>
                  </w:pPr>
                </w:p>
              </w:tc>
              <w:tc>
                <w:tcPr>
                  <w:tcW w:w="664" w:type="pct"/>
                  <w:vMerge w:val="continue"/>
                  <w:vAlign w:val="center"/>
                </w:tcPr>
                <w:p w14:paraId="597AD7CA">
                  <w:pPr>
                    <w:autoSpaceDE w:val="0"/>
                    <w:autoSpaceDN w:val="0"/>
                    <w:adjustRightInd w:val="0"/>
                    <w:jc w:val="center"/>
                    <w:rPr>
                      <w:color w:val="000000" w:themeColor="text1"/>
                      <w:szCs w:val="21"/>
                      <w14:textFill>
                        <w14:solidFill>
                          <w14:schemeClr w14:val="tx1"/>
                        </w14:solidFill>
                      </w14:textFill>
                    </w:rPr>
                  </w:pPr>
                </w:p>
              </w:tc>
              <w:tc>
                <w:tcPr>
                  <w:tcW w:w="777" w:type="pct"/>
                  <w:vAlign w:val="center"/>
                </w:tcPr>
                <w:p w14:paraId="58296B62">
                  <w:pPr>
                    <w:jc w:val="center"/>
                    <w:rPr>
                      <w:b/>
                      <w:i/>
                      <w:iCs/>
                      <w:color w:val="000000" w:themeColor="text1"/>
                      <w:spacing w:val="-10"/>
                      <w:szCs w:val="21"/>
                      <w14:textFill>
                        <w14:solidFill>
                          <w14:schemeClr w14:val="tx1"/>
                        </w14:solidFill>
                      </w14:textFill>
                    </w:rPr>
                  </w:pPr>
                  <w:r>
                    <w:rPr>
                      <w:b/>
                      <w:snapToGrid w:val="0"/>
                      <w:color w:val="000000" w:themeColor="text1"/>
                      <w:kern w:val="0"/>
                      <w:szCs w:val="21"/>
                      <w14:textFill>
                        <w14:solidFill>
                          <w14:schemeClr w14:val="tx1"/>
                        </w14:solidFill>
                      </w14:textFill>
                    </w:rPr>
                    <w:t>经度</w:t>
                  </w:r>
                </w:p>
              </w:tc>
              <w:tc>
                <w:tcPr>
                  <w:tcW w:w="627" w:type="pct"/>
                  <w:vAlign w:val="center"/>
                </w:tcPr>
                <w:p w14:paraId="5B123D8A">
                  <w:pPr>
                    <w:jc w:val="center"/>
                    <w:rPr>
                      <w:b/>
                      <w:i/>
                      <w:iCs/>
                      <w:color w:val="000000" w:themeColor="text1"/>
                      <w:spacing w:val="-10"/>
                      <w:szCs w:val="21"/>
                      <w14:textFill>
                        <w14:solidFill>
                          <w14:schemeClr w14:val="tx1"/>
                        </w14:solidFill>
                      </w14:textFill>
                    </w:rPr>
                  </w:pPr>
                  <w:r>
                    <w:rPr>
                      <w:b/>
                      <w:snapToGrid w:val="0"/>
                      <w:color w:val="000000" w:themeColor="text1"/>
                      <w:kern w:val="0"/>
                      <w:szCs w:val="21"/>
                      <w14:textFill>
                        <w14:solidFill>
                          <w14:schemeClr w14:val="tx1"/>
                        </w14:solidFill>
                      </w14:textFill>
                    </w:rPr>
                    <w:t>纬度</w:t>
                  </w:r>
                </w:p>
              </w:tc>
              <w:tc>
                <w:tcPr>
                  <w:tcW w:w="422" w:type="pct"/>
                  <w:vMerge w:val="continue"/>
                  <w:vAlign w:val="center"/>
                </w:tcPr>
                <w:p w14:paraId="2990A4AA">
                  <w:pPr>
                    <w:autoSpaceDE w:val="0"/>
                    <w:autoSpaceDN w:val="0"/>
                    <w:adjustRightInd w:val="0"/>
                    <w:jc w:val="center"/>
                    <w:rPr>
                      <w:b/>
                      <w:color w:val="000000" w:themeColor="text1"/>
                      <w:spacing w:val="-10"/>
                      <w:szCs w:val="21"/>
                      <w14:textFill>
                        <w14:solidFill>
                          <w14:schemeClr w14:val="tx1"/>
                        </w14:solidFill>
                      </w14:textFill>
                    </w:rPr>
                  </w:pPr>
                </w:p>
              </w:tc>
              <w:tc>
                <w:tcPr>
                  <w:tcW w:w="418" w:type="pct"/>
                  <w:vMerge w:val="continue"/>
                  <w:vAlign w:val="center"/>
                </w:tcPr>
                <w:p w14:paraId="032249F5">
                  <w:pPr>
                    <w:autoSpaceDE w:val="0"/>
                    <w:autoSpaceDN w:val="0"/>
                    <w:adjustRightInd w:val="0"/>
                    <w:jc w:val="center"/>
                    <w:rPr>
                      <w:b/>
                      <w:color w:val="000000" w:themeColor="text1"/>
                      <w:spacing w:val="-10"/>
                      <w:szCs w:val="21"/>
                      <w14:textFill>
                        <w14:solidFill>
                          <w14:schemeClr w14:val="tx1"/>
                        </w14:solidFill>
                      </w14:textFill>
                    </w:rPr>
                  </w:pPr>
                </w:p>
              </w:tc>
              <w:tc>
                <w:tcPr>
                  <w:tcW w:w="499" w:type="pct"/>
                  <w:vMerge w:val="continue"/>
                  <w:vAlign w:val="center"/>
                </w:tcPr>
                <w:p w14:paraId="38249153">
                  <w:pPr>
                    <w:autoSpaceDE w:val="0"/>
                    <w:autoSpaceDN w:val="0"/>
                    <w:adjustRightInd w:val="0"/>
                    <w:jc w:val="center"/>
                    <w:rPr>
                      <w:b/>
                      <w:color w:val="000000" w:themeColor="text1"/>
                      <w:spacing w:val="-10"/>
                      <w:szCs w:val="21"/>
                      <w14:textFill>
                        <w14:solidFill>
                          <w14:schemeClr w14:val="tx1"/>
                        </w14:solidFill>
                      </w14:textFill>
                    </w:rPr>
                  </w:pPr>
                </w:p>
              </w:tc>
              <w:tc>
                <w:tcPr>
                  <w:tcW w:w="532" w:type="pct"/>
                  <w:vMerge w:val="continue"/>
                  <w:vAlign w:val="center"/>
                </w:tcPr>
                <w:p w14:paraId="19051551">
                  <w:pPr>
                    <w:autoSpaceDE w:val="0"/>
                    <w:autoSpaceDN w:val="0"/>
                    <w:adjustRightInd w:val="0"/>
                    <w:jc w:val="center"/>
                    <w:rPr>
                      <w:b/>
                      <w:color w:val="000000" w:themeColor="text1"/>
                      <w:spacing w:val="-10"/>
                      <w:szCs w:val="21"/>
                      <w14:textFill>
                        <w14:solidFill>
                          <w14:schemeClr w14:val="tx1"/>
                        </w14:solidFill>
                      </w14:textFill>
                    </w:rPr>
                  </w:pPr>
                </w:p>
              </w:tc>
              <w:tc>
                <w:tcPr>
                  <w:tcW w:w="686" w:type="pct"/>
                  <w:vMerge w:val="continue"/>
                  <w:vAlign w:val="center"/>
                </w:tcPr>
                <w:p w14:paraId="6EB23482">
                  <w:pPr>
                    <w:autoSpaceDE w:val="0"/>
                    <w:autoSpaceDN w:val="0"/>
                    <w:adjustRightInd w:val="0"/>
                    <w:jc w:val="center"/>
                    <w:rPr>
                      <w:b/>
                      <w:color w:val="000000" w:themeColor="text1"/>
                      <w:spacing w:val="-10"/>
                      <w:szCs w:val="21"/>
                      <w14:textFill>
                        <w14:solidFill>
                          <w14:schemeClr w14:val="tx1"/>
                        </w14:solidFill>
                      </w14:textFill>
                    </w:rPr>
                  </w:pPr>
                </w:p>
              </w:tc>
            </w:tr>
            <w:tr w14:paraId="68A85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70" w:type="pct"/>
                  <w:vMerge w:val="restart"/>
                  <w:vAlign w:val="center"/>
                </w:tcPr>
                <w:p w14:paraId="427C68CC">
                  <w:pPr>
                    <w:autoSpaceDE w:val="0"/>
                    <w:autoSpaceDN w:val="0"/>
                    <w:adjustRightInd w:val="0"/>
                    <w:jc w:val="center"/>
                    <w:rPr>
                      <w:color w:val="000000" w:themeColor="text1"/>
                      <w:spacing w:val="-10"/>
                      <w:szCs w:val="21"/>
                      <w14:textFill>
                        <w14:solidFill>
                          <w14:schemeClr w14:val="tx1"/>
                        </w14:solidFill>
                      </w14:textFill>
                    </w:rPr>
                  </w:pPr>
                  <w:r>
                    <w:rPr>
                      <w:color w:val="000000" w:themeColor="text1"/>
                      <w:spacing w:val="-10"/>
                      <w:szCs w:val="21"/>
                      <w14:textFill>
                        <w14:solidFill>
                          <w14:schemeClr w14:val="tx1"/>
                        </w14:solidFill>
                      </w14:textFill>
                    </w:rPr>
                    <w:t>大气环境</w:t>
                  </w:r>
                </w:p>
              </w:tc>
              <w:tc>
                <w:tcPr>
                  <w:tcW w:w="664" w:type="pct"/>
                  <w:vAlign w:val="center"/>
                </w:tcPr>
                <w:p w14:paraId="03566280">
                  <w:pPr>
                    <w:jc w:val="center"/>
                    <w:rPr>
                      <w:snapToGrid w:val="0"/>
                      <w:color w:val="000000" w:themeColor="text1"/>
                      <w:kern w:val="0"/>
                      <w:szCs w:val="21"/>
                      <w14:textFill>
                        <w14:solidFill>
                          <w14:schemeClr w14:val="tx1"/>
                        </w14:solidFill>
                      </w14:textFill>
                    </w:rPr>
                  </w:pPr>
                  <w:r>
                    <w:rPr>
                      <w:rFonts w:hint="eastAsia"/>
                      <w:color w:val="000000" w:themeColor="text1"/>
                      <w:szCs w:val="21"/>
                      <w14:textFill>
                        <w14:solidFill>
                          <w14:schemeClr w14:val="tx1"/>
                        </w14:solidFill>
                      </w14:textFill>
                    </w:rPr>
                    <w:t>散户1</w:t>
                  </w:r>
                </w:p>
              </w:tc>
              <w:tc>
                <w:tcPr>
                  <w:tcW w:w="777" w:type="pct"/>
                  <w:vAlign w:val="center"/>
                </w:tcPr>
                <w:p w14:paraId="3FB65A8C">
                  <w:pPr>
                    <w:jc w:val="center"/>
                    <w:rPr>
                      <w:color w:val="000000" w:themeColor="text1"/>
                      <w:spacing w:val="-10"/>
                      <w:szCs w:val="21"/>
                      <w14:textFill>
                        <w14:solidFill>
                          <w14:schemeClr w14:val="tx1"/>
                        </w14:solidFill>
                      </w14:textFill>
                    </w:rPr>
                  </w:pPr>
                  <w:r>
                    <w:rPr>
                      <w:color w:val="000000" w:themeColor="text1"/>
                      <w:szCs w:val="21"/>
                      <w14:textFill>
                        <w14:solidFill>
                          <w14:schemeClr w14:val="tx1"/>
                        </w14:solidFill>
                      </w14:textFill>
                    </w:rPr>
                    <w:t>10</w:t>
                  </w:r>
                  <w:r>
                    <w:rPr>
                      <w:rFonts w:hint="eastAsia"/>
                      <w:color w:val="000000" w:themeColor="text1"/>
                      <w:szCs w:val="21"/>
                      <w14:textFill>
                        <w14:solidFill>
                          <w14:schemeClr w14:val="tx1"/>
                        </w14:solidFill>
                      </w14:textFill>
                    </w:rPr>
                    <w:t>3.112485</w:t>
                  </w:r>
                </w:p>
              </w:tc>
              <w:tc>
                <w:tcPr>
                  <w:tcW w:w="627" w:type="pct"/>
                  <w:vAlign w:val="center"/>
                </w:tcPr>
                <w:p w14:paraId="234A90F7">
                  <w:pPr>
                    <w:jc w:val="center"/>
                    <w:rPr>
                      <w:color w:val="000000" w:themeColor="text1"/>
                      <w:spacing w:val="-10"/>
                      <w:szCs w:val="21"/>
                      <w14:textFill>
                        <w14:solidFill>
                          <w14:schemeClr w14:val="tx1"/>
                        </w14:solidFill>
                      </w14:textFill>
                    </w:rPr>
                  </w:pPr>
                  <w:r>
                    <w:rPr>
                      <w:color w:val="000000" w:themeColor="text1"/>
                      <w:szCs w:val="21"/>
                      <w14:textFill>
                        <w14:solidFill>
                          <w14:schemeClr w14:val="tx1"/>
                        </w14:solidFill>
                      </w14:textFill>
                    </w:rPr>
                    <w:t>2</w:t>
                  </w:r>
                  <w:r>
                    <w:rPr>
                      <w:rFonts w:hint="eastAsia"/>
                      <w:color w:val="000000" w:themeColor="text1"/>
                      <w:szCs w:val="21"/>
                      <w14:textFill>
                        <w14:solidFill>
                          <w14:schemeClr w14:val="tx1"/>
                        </w14:solidFill>
                      </w14:textFill>
                    </w:rPr>
                    <w:t>5.3404</w:t>
                  </w:r>
                </w:p>
              </w:tc>
              <w:tc>
                <w:tcPr>
                  <w:tcW w:w="422" w:type="pct"/>
                  <w:vAlign w:val="center"/>
                </w:tcPr>
                <w:p w14:paraId="33F699A3">
                  <w:pPr>
                    <w:autoSpaceDE w:val="0"/>
                    <w:autoSpaceDN w:val="0"/>
                    <w:adjustRightIn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7人</w:t>
                  </w:r>
                </w:p>
              </w:tc>
              <w:tc>
                <w:tcPr>
                  <w:tcW w:w="418" w:type="pct"/>
                  <w:vAlign w:val="center"/>
                </w:tcPr>
                <w:p w14:paraId="1AF3D535">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居住区</w:t>
                  </w:r>
                </w:p>
              </w:tc>
              <w:tc>
                <w:tcPr>
                  <w:tcW w:w="499" w:type="pct"/>
                  <w:vAlign w:val="center"/>
                </w:tcPr>
                <w:p w14:paraId="61E2EF24">
                  <w:pPr>
                    <w:jc w:val="center"/>
                    <w:rPr>
                      <w:color w:val="000000" w:themeColor="text1"/>
                      <w:spacing w:val="-10"/>
                      <w:szCs w:val="21"/>
                      <w14:textFill>
                        <w14:solidFill>
                          <w14:schemeClr w14:val="tx1"/>
                        </w14:solidFill>
                      </w14:textFill>
                    </w:rPr>
                  </w:pPr>
                  <w:r>
                    <w:rPr>
                      <w:rFonts w:hint="eastAsia"/>
                      <w:color w:val="000000" w:themeColor="text1"/>
                      <w:szCs w:val="21"/>
                      <w14:textFill>
                        <w14:solidFill>
                          <w14:schemeClr w14:val="tx1"/>
                        </w14:solidFill>
                      </w14:textFill>
                    </w:rPr>
                    <w:t>西</w:t>
                  </w:r>
                  <w:r>
                    <w:rPr>
                      <w:color w:val="000000" w:themeColor="text1"/>
                      <w:szCs w:val="21"/>
                      <w14:textFill>
                        <w14:solidFill>
                          <w14:schemeClr w14:val="tx1"/>
                        </w14:solidFill>
                      </w14:textFill>
                    </w:rPr>
                    <w:t>北面</w:t>
                  </w:r>
                </w:p>
              </w:tc>
              <w:tc>
                <w:tcPr>
                  <w:tcW w:w="532" w:type="pct"/>
                  <w:vAlign w:val="center"/>
                </w:tcPr>
                <w:p w14:paraId="564EF498">
                  <w:pPr>
                    <w:jc w:val="center"/>
                    <w:rPr>
                      <w:color w:val="000000" w:themeColor="text1"/>
                      <w:spacing w:val="-10"/>
                      <w:szCs w:val="21"/>
                      <w14:textFill>
                        <w14:solidFill>
                          <w14:schemeClr w14:val="tx1"/>
                        </w14:solidFill>
                      </w14:textFill>
                    </w:rPr>
                  </w:pPr>
                  <w:r>
                    <w:rPr>
                      <w:rFonts w:hint="eastAsia"/>
                      <w:color w:val="000000" w:themeColor="text1"/>
                      <w:szCs w:val="21"/>
                      <w14:textFill>
                        <w14:solidFill>
                          <w14:schemeClr w14:val="tx1"/>
                        </w14:solidFill>
                      </w14:textFill>
                    </w:rPr>
                    <w:t>330</w:t>
                  </w:r>
                </w:p>
              </w:tc>
              <w:tc>
                <w:tcPr>
                  <w:tcW w:w="686" w:type="pct"/>
                  <w:vMerge w:val="restart"/>
                  <w:vAlign w:val="center"/>
                </w:tcPr>
                <w:p w14:paraId="231ED51D">
                  <w:pPr>
                    <w:autoSpaceDE w:val="0"/>
                    <w:autoSpaceDN w:val="0"/>
                    <w:adjustRightIn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《环境空气质量标准》（GB3095-20</w:t>
                  </w:r>
                  <w:r>
                    <w:rPr>
                      <w:rFonts w:hint="eastAsia"/>
                      <w:color w:val="000000" w:themeColor="text1"/>
                      <w:szCs w:val="21"/>
                      <w14:textFill>
                        <w14:solidFill>
                          <w14:schemeClr w14:val="tx1"/>
                        </w14:solidFill>
                      </w14:textFill>
                    </w:rPr>
                    <w:t>26</w:t>
                  </w:r>
                  <w:r>
                    <w:rPr>
                      <w:color w:val="000000" w:themeColor="text1"/>
                      <w:szCs w:val="21"/>
                      <w14:textFill>
                        <w14:solidFill>
                          <w14:schemeClr w14:val="tx1"/>
                        </w14:solidFill>
                      </w14:textFill>
                    </w:rPr>
                    <w:t>）二级标准</w:t>
                  </w:r>
                </w:p>
              </w:tc>
            </w:tr>
            <w:tr w14:paraId="036E8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70" w:type="pct"/>
                  <w:vMerge w:val="continue"/>
                  <w:vAlign w:val="center"/>
                </w:tcPr>
                <w:p w14:paraId="638B5422">
                  <w:pPr>
                    <w:autoSpaceDE w:val="0"/>
                    <w:autoSpaceDN w:val="0"/>
                    <w:adjustRightInd w:val="0"/>
                    <w:jc w:val="center"/>
                    <w:rPr>
                      <w:color w:val="000000" w:themeColor="text1"/>
                      <w:spacing w:val="-10"/>
                      <w:szCs w:val="21"/>
                      <w14:textFill>
                        <w14:solidFill>
                          <w14:schemeClr w14:val="tx1"/>
                        </w14:solidFill>
                      </w14:textFill>
                    </w:rPr>
                  </w:pPr>
                </w:p>
              </w:tc>
              <w:tc>
                <w:tcPr>
                  <w:tcW w:w="664" w:type="pct"/>
                  <w:vAlign w:val="center"/>
                </w:tcPr>
                <w:p w14:paraId="6F1D4228">
                  <w:pPr>
                    <w:jc w:val="center"/>
                    <w:rPr>
                      <w:snapToGrid w:val="0"/>
                      <w:color w:val="000000" w:themeColor="text1"/>
                      <w:kern w:val="0"/>
                      <w:szCs w:val="21"/>
                      <w14:textFill>
                        <w14:solidFill>
                          <w14:schemeClr w14:val="tx1"/>
                        </w14:solidFill>
                      </w14:textFill>
                    </w:rPr>
                  </w:pPr>
                  <w:r>
                    <w:rPr>
                      <w:rFonts w:hint="eastAsia"/>
                      <w:color w:val="000000" w:themeColor="text1"/>
                      <w:szCs w:val="21"/>
                      <w14:textFill>
                        <w14:solidFill>
                          <w14:schemeClr w14:val="tx1"/>
                        </w14:solidFill>
                      </w14:textFill>
                    </w:rPr>
                    <w:t>散户2</w:t>
                  </w:r>
                </w:p>
              </w:tc>
              <w:tc>
                <w:tcPr>
                  <w:tcW w:w="777" w:type="pct"/>
                  <w:vAlign w:val="center"/>
                </w:tcPr>
                <w:p w14:paraId="757CA97A">
                  <w:pPr>
                    <w:jc w:val="center"/>
                    <w:rPr>
                      <w:color w:val="000000" w:themeColor="text1"/>
                      <w:spacing w:val="-10"/>
                      <w:szCs w:val="21"/>
                      <w14:textFill>
                        <w14:solidFill>
                          <w14:schemeClr w14:val="tx1"/>
                        </w14:solidFill>
                      </w14:textFill>
                    </w:rPr>
                  </w:pPr>
                  <w:r>
                    <w:rPr>
                      <w:color w:val="000000" w:themeColor="text1"/>
                      <w:szCs w:val="21"/>
                      <w14:textFill>
                        <w14:solidFill>
                          <w14:schemeClr w14:val="tx1"/>
                        </w14:solidFill>
                      </w14:textFill>
                    </w:rPr>
                    <w:t>10</w:t>
                  </w:r>
                  <w:r>
                    <w:rPr>
                      <w:rFonts w:hint="eastAsia"/>
                      <w:color w:val="000000" w:themeColor="text1"/>
                      <w:szCs w:val="21"/>
                      <w14:textFill>
                        <w14:solidFill>
                          <w14:schemeClr w14:val="tx1"/>
                        </w14:solidFill>
                      </w14:textFill>
                    </w:rPr>
                    <w:t>3.113970</w:t>
                  </w:r>
                </w:p>
              </w:tc>
              <w:tc>
                <w:tcPr>
                  <w:tcW w:w="627" w:type="pct"/>
                  <w:vAlign w:val="center"/>
                </w:tcPr>
                <w:p w14:paraId="7CB8ED1A">
                  <w:pPr>
                    <w:jc w:val="center"/>
                    <w:rPr>
                      <w:color w:val="000000" w:themeColor="text1"/>
                      <w:spacing w:val="-10"/>
                      <w:szCs w:val="21"/>
                      <w14:textFill>
                        <w14:solidFill>
                          <w14:schemeClr w14:val="tx1"/>
                        </w14:solidFill>
                      </w14:textFill>
                    </w:rPr>
                  </w:pPr>
                  <w:r>
                    <w:rPr>
                      <w:color w:val="000000" w:themeColor="text1"/>
                      <w:szCs w:val="21"/>
                      <w14:textFill>
                        <w14:solidFill>
                          <w14:schemeClr w14:val="tx1"/>
                        </w14:solidFill>
                      </w14:textFill>
                    </w:rPr>
                    <w:t>2</w:t>
                  </w:r>
                  <w:r>
                    <w:rPr>
                      <w:rFonts w:hint="eastAsia"/>
                      <w:color w:val="000000" w:themeColor="text1"/>
                      <w:szCs w:val="21"/>
                      <w14:textFill>
                        <w14:solidFill>
                          <w14:schemeClr w14:val="tx1"/>
                        </w14:solidFill>
                      </w14:textFill>
                    </w:rPr>
                    <w:t>5.3349</w:t>
                  </w:r>
                </w:p>
              </w:tc>
              <w:tc>
                <w:tcPr>
                  <w:tcW w:w="422" w:type="pct"/>
                  <w:vAlign w:val="center"/>
                </w:tcPr>
                <w:p w14:paraId="24EB3951">
                  <w:pPr>
                    <w:autoSpaceDE w:val="0"/>
                    <w:autoSpaceDN w:val="0"/>
                    <w:adjustRightIn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7人</w:t>
                  </w:r>
                </w:p>
              </w:tc>
              <w:tc>
                <w:tcPr>
                  <w:tcW w:w="418" w:type="pct"/>
                  <w:vAlign w:val="center"/>
                </w:tcPr>
                <w:p w14:paraId="24D5A894">
                  <w:pPr>
                    <w:autoSpaceDE w:val="0"/>
                    <w:autoSpaceDN w:val="0"/>
                    <w:adjustRightIn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居住区</w:t>
                  </w:r>
                </w:p>
              </w:tc>
              <w:tc>
                <w:tcPr>
                  <w:tcW w:w="499" w:type="pct"/>
                  <w:vAlign w:val="center"/>
                </w:tcPr>
                <w:p w14:paraId="2255EAA5">
                  <w:pPr>
                    <w:jc w:val="center"/>
                    <w:rPr>
                      <w:color w:val="000000" w:themeColor="text1"/>
                      <w:spacing w:val="-10"/>
                      <w:szCs w:val="21"/>
                      <w14:textFill>
                        <w14:solidFill>
                          <w14:schemeClr w14:val="tx1"/>
                        </w14:solidFill>
                      </w14:textFill>
                    </w:rPr>
                  </w:pPr>
                  <w:r>
                    <w:rPr>
                      <w:rFonts w:hint="eastAsia"/>
                      <w:color w:val="000000" w:themeColor="text1"/>
                      <w:szCs w:val="21"/>
                      <w14:textFill>
                        <w14:solidFill>
                          <w14:schemeClr w14:val="tx1"/>
                        </w14:solidFill>
                      </w14:textFill>
                    </w:rPr>
                    <w:t>东</w:t>
                  </w:r>
                  <w:r>
                    <w:rPr>
                      <w:color w:val="000000" w:themeColor="text1"/>
                      <w:szCs w:val="21"/>
                      <w14:textFill>
                        <w14:solidFill>
                          <w14:schemeClr w14:val="tx1"/>
                        </w14:solidFill>
                      </w14:textFill>
                    </w:rPr>
                    <w:t>面</w:t>
                  </w:r>
                </w:p>
              </w:tc>
              <w:tc>
                <w:tcPr>
                  <w:tcW w:w="532" w:type="pct"/>
                  <w:vAlign w:val="center"/>
                </w:tcPr>
                <w:p w14:paraId="3B2BB868">
                  <w:pPr>
                    <w:jc w:val="center"/>
                    <w:rPr>
                      <w:color w:val="000000" w:themeColor="text1"/>
                      <w:spacing w:val="-10"/>
                      <w:szCs w:val="21"/>
                      <w14:textFill>
                        <w14:solidFill>
                          <w14:schemeClr w14:val="tx1"/>
                        </w14:solidFill>
                      </w14:textFill>
                    </w:rPr>
                  </w:pPr>
                  <w:r>
                    <w:rPr>
                      <w:rFonts w:hint="eastAsia"/>
                      <w:color w:val="000000" w:themeColor="text1"/>
                      <w:szCs w:val="21"/>
                      <w14:textFill>
                        <w14:solidFill>
                          <w14:schemeClr w14:val="tx1"/>
                        </w14:solidFill>
                      </w14:textFill>
                    </w:rPr>
                    <w:t>257</w:t>
                  </w:r>
                </w:p>
              </w:tc>
              <w:tc>
                <w:tcPr>
                  <w:tcW w:w="686" w:type="pct"/>
                  <w:vMerge w:val="continue"/>
                  <w:vAlign w:val="center"/>
                </w:tcPr>
                <w:p w14:paraId="1089879E">
                  <w:pPr>
                    <w:autoSpaceDE w:val="0"/>
                    <w:autoSpaceDN w:val="0"/>
                    <w:adjustRightInd w:val="0"/>
                    <w:jc w:val="center"/>
                    <w:rPr>
                      <w:color w:val="000000" w:themeColor="text1"/>
                      <w:szCs w:val="21"/>
                      <w14:textFill>
                        <w14:solidFill>
                          <w14:schemeClr w14:val="tx1"/>
                        </w14:solidFill>
                      </w14:textFill>
                    </w:rPr>
                  </w:pPr>
                </w:p>
              </w:tc>
            </w:tr>
            <w:tr w14:paraId="299F2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70" w:type="pct"/>
                  <w:vMerge w:val="continue"/>
                  <w:vAlign w:val="center"/>
                </w:tcPr>
                <w:p w14:paraId="3D0BF77F">
                  <w:pPr>
                    <w:autoSpaceDE w:val="0"/>
                    <w:autoSpaceDN w:val="0"/>
                    <w:adjustRightInd w:val="0"/>
                    <w:jc w:val="center"/>
                    <w:rPr>
                      <w:color w:val="000000" w:themeColor="text1"/>
                      <w:spacing w:val="-10"/>
                      <w:szCs w:val="21"/>
                      <w14:textFill>
                        <w14:solidFill>
                          <w14:schemeClr w14:val="tx1"/>
                        </w14:solidFill>
                      </w14:textFill>
                    </w:rPr>
                  </w:pPr>
                </w:p>
              </w:tc>
              <w:tc>
                <w:tcPr>
                  <w:tcW w:w="664" w:type="pct"/>
                  <w:vAlign w:val="center"/>
                </w:tcPr>
                <w:p w14:paraId="5E22F481">
                  <w:pPr>
                    <w:jc w:val="center"/>
                    <w:rPr>
                      <w:snapToGrid w:val="0"/>
                      <w:color w:val="000000" w:themeColor="text1"/>
                      <w:kern w:val="0"/>
                      <w:szCs w:val="21"/>
                      <w14:textFill>
                        <w14:solidFill>
                          <w14:schemeClr w14:val="tx1"/>
                        </w14:solidFill>
                      </w14:textFill>
                    </w:rPr>
                  </w:pPr>
                  <w:r>
                    <w:rPr>
                      <w:rFonts w:hint="eastAsia"/>
                      <w:color w:val="000000" w:themeColor="text1"/>
                      <w:szCs w:val="21"/>
                      <w14:textFill>
                        <w14:solidFill>
                          <w14:schemeClr w14:val="tx1"/>
                        </w14:solidFill>
                      </w14:textFill>
                    </w:rPr>
                    <w:t>竹沟</w:t>
                  </w:r>
                  <w:r>
                    <w:rPr>
                      <w:color w:val="000000" w:themeColor="text1"/>
                      <w:szCs w:val="21"/>
                      <w14:textFill>
                        <w14:solidFill>
                          <w14:schemeClr w14:val="tx1"/>
                        </w14:solidFill>
                      </w14:textFill>
                    </w:rPr>
                    <w:t>村</w:t>
                  </w:r>
                </w:p>
              </w:tc>
              <w:tc>
                <w:tcPr>
                  <w:tcW w:w="777" w:type="pct"/>
                  <w:vAlign w:val="center"/>
                </w:tcPr>
                <w:p w14:paraId="3D241AC0">
                  <w:pPr>
                    <w:jc w:val="center"/>
                    <w:rPr>
                      <w:color w:val="000000" w:themeColor="text1"/>
                      <w:spacing w:val="-10"/>
                      <w:szCs w:val="21"/>
                      <w14:textFill>
                        <w14:solidFill>
                          <w14:schemeClr w14:val="tx1"/>
                        </w14:solidFill>
                      </w14:textFill>
                    </w:rPr>
                  </w:pPr>
                  <w:r>
                    <w:rPr>
                      <w:color w:val="000000" w:themeColor="text1"/>
                      <w:szCs w:val="21"/>
                      <w14:textFill>
                        <w14:solidFill>
                          <w14:schemeClr w14:val="tx1"/>
                        </w14:solidFill>
                      </w14:textFill>
                    </w:rPr>
                    <w:t>10</w:t>
                  </w:r>
                  <w:r>
                    <w:rPr>
                      <w:rFonts w:hint="eastAsia"/>
                      <w:color w:val="000000" w:themeColor="text1"/>
                      <w:szCs w:val="21"/>
                      <w14:textFill>
                        <w14:solidFill>
                          <w14:schemeClr w14:val="tx1"/>
                        </w14:solidFill>
                      </w14:textFill>
                    </w:rPr>
                    <w:t>3.113325</w:t>
                  </w:r>
                </w:p>
              </w:tc>
              <w:tc>
                <w:tcPr>
                  <w:tcW w:w="627" w:type="pct"/>
                  <w:vAlign w:val="center"/>
                </w:tcPr>
                <w:p w14:paraId="7E107C4D">
                  <w:pPr>
                    <w:jc w:val="center"/>
                    <w:rPr>
                      <w:color w:val="000000" w:themeColor="text1"/>
                      <w:spacing w:val="-10"/>
                      <w:szCs w:val="21"/>
                      <w14:textFill>
                        <w14:solidFill>
                          <w14:schemeClr w14:val="tx1"/>
                        </w14:solidFill>
                      </w14:textFill>
                    </w:rPr>
                  </w:pPr>
                  <w:r>
                    <w:rPr>
                      <w:rFonts w:hint="eastAsia"/>
                      <w:color w:val="000000" w:themeColor="text1"/>
                      <w:szCs w:val="21"/>
                      <w14:textFill>
                        <w14:solidFill>
                          <w14:schemeClr w14:val="tx1"/>
                        </w14:solidFill>
                      </w14:textFill>
                    </w:rPr>
                    <w:t>25.3407</w:t>
                  </w:r>
                </w:p>
              </w:tc>
              <w:tc>
                <w:tcPr>
                  <w:tcW w:w="422" w:type="pct"/>
                  <w:vAlign w:val="center"/>
                </w:tcPr>
                <w:p w14:paraId="6F7426E8">
                  <w:pPr>
                    <w:autoSpaceDE w:val="0"/>
                    <w:autoSpaceDN w:val="0"/>
                    <w:adjustRightIn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300人</w:t>
                  </w:r>
                </w:p>
              </w:tc>
              <w:tc>
                <w:tcPr>
                  <w:tcW w:w="418" w:type="pct"/>
                  <w:vAlign w:val="center"/>
                </w:tcPr>
                <w:p w14:paraId="0946D9E8">
                  <w:pPr>
                    <w:autoSpaceDE w:val="0"/>
                    <w:autoSpaceDN w:val="0"/>
                    <w:adjustRightIn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居住区</w:t>
                  </w:r>
                </w:p>
              </w:tc>
              <w:tc>
                <w:tcPr>
                  <w:tcW w:w="499" w:type="pct"/>
                  <w:vAlign w:val="center"/>
                </w:tcPr>
                <w:p w14:paraId="04948017">
                  <w:pPr>
                    <w:jc w:val="center"/>
                    <w:rPr>
                      <w:color w:val="000000" w:themeColor="text1"/>
                      <w:spacing w:val="-10"/>
                      <w:szCs w:val="21"/>
                      <w14:textFill>
                        <w14:solidFill>
                          <w14:schemeClr w14:val="tx1"/>
                        </w14:solidFill>
                      </w14:textFill>
                    </w:rPr>
                  </w:pPr>
                  <w:r>
                    <w:rPr>
                      <w:rFonts w:hint="eastAsia"/>
                      <w:color w:val="000000" w:themeColor="text1"/>
                      <w:szCs w:val="21"/>
                      <w14:textFill>
                        <w14:solidFill>
                          <w14:schemeClr w14:val="tx1"/>
                        </w14:solidFill>
                      </w14:textFill>
                    </w:rPr>
                    <w:t>北</w:t>
                  </w:r>
                  <w:r>
                    <w:rPr>
                      <w:color w:val="000000" w:themeColor="text1"/>
                      <w:szCs w:val="21"/>
                      <w14:textFill>
                        <w14:solidFill>
                          <w14:schemeClr w14:val="tx1"/>
                        </w14:solidFill>
                      </w14:textFill>
                    </w:rPr>
                    <w:t>面</w:t>
                  </w:r>
                </w:p>
              </w:tc>
              <w:tc>
                <w:tcPr>
                  <w:tcW w:w="532" w:type="pct"/>
                  <w:vAlign w:val="center"/>
                </w:tcPr>
                <w:p w14:paraId="03F1B97B">
                  <w:pPr>
                    <w:jc w:val="center"/>
                    <w:rPr>
                      <w:color w:val="000000" w:themeColor="text1"/>
                      <w:spacing w:val="-10"/>
                      <w:szCs w:val="21"/>
                      <w14:textFill>
                        <w14:solidFill>
                          <w14:schemeClr w14:val="tx1"/>
                        </w14:solidFill>
                      </w14:textFill>
                    </w:rPr>
                  </w:pPr>
                  <w:r>
                    <w:rPr>
                      <w:rFonts w:hint="eastAsia"/>
                      <w:color w:val="000000" w:themeColor="text1"/>
                      <w:szCs w:val="21"/>
                      <w14:textFill>
                        <w14:solidFill>
                          <w14:schemeClr w14:val="tx1"/>
                        </w14:solidFill>
                      </w14:textFill>
                    </w:rPr>
                    <w:t>430</w:t>
                  </w:r>
                </w:p>
              </w:tc>
              <w:tc>
                <w:tcPr>
                  <w:tcW w:w="686" w:type="pct"/>
                  <w:vMerge w:val="continue"/>
                  <w:vAlign w:val="center"/>
                </w:tcPr>
                <w:p w14:paraId="6149ACBF">
                  <w:pPr>
                    <w:autoSpaceDE w:val="0"/>
                    <w:autoSpaceDN w:val="0"/>
                    <w:adjustRightInd w:val="0"/>
                    <w:jc w:val="center"/>
                    <w:rPr>
                      <w:color w:val="000000" w:themeColor="text1"/>
                      <w:szCs w:val="21"/>
                      <w14:textFill>
                        <w14:solidFill>
                          <w14:schemeClr w14:val="tx1"/>
                        </w14:solidFill>
                      </w14:textFill>
                    </w:rPr>
                  </w:pPr>
                </w:p>
              </w:tc>
            </w:tr>
          </w:tbl>
          <w:p w14:paraId="1AF0D044">
            <w:pPr>
              <w:adjustRightInd w:val="0"/>
              <w:snapToGrid w:val="0"/>
              <w:spacing w:before="120" w:beforeLines="50" w:line="360" w:lineRule="auto"/>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5</w:t>
            </w:r>
            <w:r>
              <w:rPr>
                <w:b/>
                <w:bCs/>
                <w:color w:val="000000" w:themeColor="text1"/>
                <w:kern w:val="0"/>
                <w:sz w:val="24"/>
                <w14:textFill>
                  <w14:solidFill>
                    <w14:schemeClr w14:val="tx1"/>
                  </w14:solidFill>
                </w14:textFill>
              </w:rPr>
              <w:t>、环境风险分析</w:t>
            </w:r>
          </w:p>
          <w:p w14:paraId="255A85B0">
            <w:pPr>
              <w:adjustRightInd w:val="0"/>
              <w:snapToGrid w:val="0"/>
              <w:spacing w:line="360" w:lineRule="auto"/>
              <w:ind w:firstLine="482" w:firstLineChars="200"/>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（1）大气环境风险分析</w:t>
            </w:r>
          </w:p>
          <w:p w14:paraId="665273C0">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①危废暂存库发生泄漏风险分析</w:t>
            </w:r>
          </w:p>
          <w:p w14:paraId="296C450C">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本项目危废暂存库油类物质发生泄漏事故后，一方面会有一定量烃类物质挥发到空气中，可能造成空气中非甲烷总烃超标，另一方面作为人体吸入烃类物质会出现可乏力、头晕、头痛、恶心，严重者可致死。此外，油类物质泄漏还可能应发火灾、爆炸事故，若渗入土壤，改变土壤酸碱度，影响植物生长，造成植物死亡，对地下水、土壤、大气环境造成影响。</w:t>
            </w:r>
          </w:p>
          <w:p w14:paraId="1D35E76E">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②雾炮机发生故障，颗粒物未经处理超标排放，造成大气环境污染。</w:t>
            </w:r>
          </w:p>
          <w:p w14:paraId="0E9D4C46">
            <w:pPr>
              <w:adjustRightInd w:val="0"/>
              <w:snapToGrid w:val="0"/>
              <w:spacing w:line="360" w:lineRule="auto"/>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6</w:t>
            </w:r>
            <w:r>
              <w:rPr>
                <w:b/>
                <w:bCs/>
                <w:color w:val="000000" w:themeColor="text1"/>
                <w:kern w:val="0"/>
                <w:sz w:val="24"/>
                <w14:textFill>
                  <w14:solidFill>
                    <w14:schemeClr w14:val="tx1"/>
                  </w14:solidFill>
                </w14:textFill>
              </w:rPr>
              <w:t>、环境风险防范措施及应急要求</w:t>
            </w:r>
          </w:p>
          <w:p w14:paraId="12D60E17">
            <w:pPr>
              <w:adjustRightInd w:val="0"/>
              <w:snapToGrid w:val="0"/>
              <w:spacing w:line="360" w:lineRule="auto"/>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6</w:t>
            </w:r>
            <w:r>
              <w:rPr>
                <w:b/>
                <w:bCs/>
                <w:color w:val="000000" w:themeColor="text1"/>
                <w:kern w:val="0"/>
                <w:sz w:val="24"/>
                <w14:textFill>
                  <w14:solidFill>
                    <w14:schemeClr w14:val="tx1"/>
                  </w14:solidFill>
                </w14:textFill>
              </w:rPr>
              <w:t>.1、环境风险防范措施</w:t>
            </w:r>
          </w:p>
          <w:p w14:paraId="0FB95AF4">
            <w:pPr>
              <w:adjustRightInd w:val="0"/>
              <w:snapToGrid w:val="0"/>
              <w:spacing w:line="360" w:lineRule="auto"/>
              <w:ind w:firstLine="482" w:firstLineChars="200"/>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（1）泄漏事故风险防范措施</w:t>
            </w:r>
          </w:p>
          <w:p w14:paraId="4C1EA368">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1、</w:t>
            </w:r>
            <w:r>
              <w:rPr>
                <w:color w:val="000000" w:themeColor="text1"/>
                <w:sz w:val="24"/>
                <w14:textFill>
                  <w14:solidFill>
                    <w14:schemeClr w14:val="tx1"/>
                  </w14:solidFill>
                </w14:textFill>
              </w:rPr>
              <w:t>废矿物油收集桶发生渗漏，应及时将收集桶内的废矿物油抽到备用油桶内，防止废矿物油漫流，现场抢险组应及时清除泄漏区内可能引起火灾的物品，同时投加沙土或锯末覆盖泄漏区，将吸附后的废物收集于容器内后，按有关规定作为危险废物交由资质单位回收处置。</w:t>
            </w:r>
          </w:p>
          <w:p w14:paraId="7E65835C">
            <w:pPr>
              <w:spacing w:line="360" w:lineRule="auto"/>
              <w:ind w:firstLine="480" w:firstLineChars="200"/>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2、</w:t>
            </w:r>
            <w:r>
              <w:rPr>
                <w:color w:val="000000" w:themeColor="text1"/>
                <w:sz w:val="24"/>
                <w14:textFill>
                  <w14:solidFill>
                    <w14:schemeClr w14:val="tx1"/>
                  </w14:solidFill>
                </w14:textFill>
              </w:rPr>
              <w:t xml:space="preserve">加强废气治理设施巡查，做好废气定期监测工作。           </w:t>
            </w:r>
          </w:p>
          <w:p w14:paraId="51FB9388">
            <w:pPr>
              <w:spacing w:line="360" w:lineRule="auto"/>
              <w:ind w:firstLine="480" w:firstLineChars="200"/>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w:t>
            </w:r>
            <w:r>
              <w:rPr>
                <w:color w:val="000000" w:themeColor="text1"/>
                <w:sz w:val="24"/>
                <w14:textFill>
                  <w14:solidFill>
                    <w14:schemeClr w14:val="tx1"/>
                  </w14:solidFill>
                </w14:textFill>
              </w:rPr>
              <w:t>严格按照施工质量控制标准要求施工，防止防渗膜破损；</w:t>
            </w:r>
          </w:p>
          <w:p w14:paraId="63727EB9">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4</w:t>
            </w:r>
            <w:r>
              <w:rPr>
                <w:color w:val="000000" w:themeColor="text1"/>
                <w:kern w:val="0"/>
                <w:sz w:val="24"/>
                <w14:textFill>
                  <w14:solidFill>
                    <w14:schemeClr w14:val="tx1"/>
                  </w14:solidFill>
                </w14:textFill>
              </w:rPr>
              <w:t>、废机油设置单独的储存容器，并定期将废机油交由有资质单位进行处理。</w:t>
            </w:r>
          </w:p>
          <w:p w14:paraId="05BCED7A">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5</w:t>
            </w:r>
            <w:r>
              <w:rPr>
                <w:color w:val="000000" w:themeColor="text1"/>
                <w:kern w:val="0"/>
                <w:sz w:val="24"/>
                <w14:textFill>
                  <w14:solidFill>
                    <w14:schemeClr w14:val="tx1"/>
                  </w14:solidFill>
                </w14:textFill>
              </w:rPr>
              <w:t>、危险废物暂存间需满足“三防”（防渗漏、防雨淋、防流失）要求，并设置标识牌。</w:t>
            </w:r>
          </w:p>
          <w:p w14:paraId="05CA15A9">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6</w:t>
            </w:r>
            <w:r>
              <w:rPr>
                <w:color w:val="000000" w:themeColor="text1"/>
                <w:kern w:val="0"/>
                <w:sz w:val="24"/>
                <w14:textFill>
                  <w14:solidFill>
                    <w14:schemeClr w14:val="tx1"/>
                  </w14:solidFill>
                </w14:textFill>
              </w:rPr>
              <w:t>、废机油产生及处置须记录有台账，废矿物油到一定量时应及时委托有资质单位处置。</w:t>
            </w:r>
          </w:p>
          <w:p w14:paraId="1CA5E1CA">
            <w:pPr>
              <w:adjustRightInd w:val="0"/>
              <w:snapToGrid w:val="0"/>
              <w:spacing w:line="360" w:lineRule="auto"/>
              <w:ind w:firstLine="482" w:firstLineChars="200"/>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（2）火灾事故风险防范措施</w:t>
            </w:r>
          </w:p>
          <w:p w14:paraId="1B5ED6A0">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①按规范使用各类电器设备，避免漏电、短路、过流、过载、过热等而造成的绝缘失效或线路着火，定期检查厂房内的电源、线路，对老化电线及时更换。</w:t>
            </w:r>
          </w:p>
          <w:p w14:paraId="1EB09FF9">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②禁止在废机油等存放处有明火、吸烟、焊接等，危废暂存库应在显眼位置设置禁火标识。</w:t>
            </w:r>
          </w:p>
          <w:p w14:paraId="49010E3C">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③定期对操作人员进行安全生产与安全知识培训，并制定严格的安全操作规程，切实加强生产过程中的安全控制，保证劳动安全，防止意外事故的发生。</w:t>
            </w:r>
          </w:p>
          <w:p w14:paraId="1630BE2E">
            <w:pPr>
              <w:adjustRightInd w:val="0"/>
              <w:snapToGrid w:val="0"/>
              <w:spacing w:line="360" w:lineRule="auto"/>
              <w:ind w:firstLine="482" w:firstLineChars="200"/>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（3）废气处置设施防损措施</w:t>
            </w:r>
          </w:p>
          <w:p w14:paraId="777D24E0">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①加强设备日常的维护和管理，定期对废气处置设施的各类设备进行保养、检查和维修。</w:t>
            </w:r>
          </w:p>
          <w:p w14:paraId="7BBAD3B1">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②进行安全化管理来改善设备的安全性、改进工艺的安全性；完善标准及操作规程，定期进行安全检查。</w:t>
            </w:r>
          </w:p>
          <w:p w14:paraId="084ECFE3">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③进一步加强职工的岗位操作培训，提高职工的安全意识和风险防范能力，规范操作，将安全隐患降到最低。</w:t>
            </w:r>
          </w:p>
          <w:p w14:paraId="3EC94CAD">
            <w:pPr>
              <w:adjustRightInd w:val="0"/>
              <w:snapToGrid w:val="0"/>
              <w:spacing w:line="360" w:lineRule="auto"/>
              <w:ind w:firstLine="482" w:firstLineChars="200"/>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w:t>
            </w:r>
            <w:r>
              <w:rPr>
                <w:rFonts w:hint="eastAsia"/>
                <w:b/>
                <w:bCs/>
                <w:color w:val="000000" w:themeColor="text1"/>
                <w:kern w:val="0"/>
                <w:sz w:val="24"/>
                <w14:textFill>
                  <w14:solidFill>
                    <w14:schemeClr w14:val="tx1"/>
                  </w14:solidFill>
                </w14:textFill>
              </w:rPr>
              <w:t>4</w:t>
            </w:r>
            <w:r>
              <w:rPr>
                <w:b/>
                <w:bCs/>
                <w:color w:val="000000" w:themeColor="text1"/>
                <w:kern w:val="0"/>
                <w:sz w:val="24"/>
                <w14:textFill>
                  <w14:solidFill>
                    <w14:schemeClr w14:val="tx1"/>
                  </w14:solidFill>
                </w14:textFill>
              </w:rPr>
              <w:t>）</w:t>
            </w:r>
            <w:r>
              <w:rPr>
                <w:rFonts w:hint="eastAsia"/>
                <w:b/>
                <w:bCs/>
                <w:color w:val="000000" w:themeColor="text1"/>
                <w:kern w:val="0"/>
                <w:sz w:val="24"/>
                <w14:textFill>
                  <w14:solidFill>
                    <w14:schemeClr w14:val="tx1"/>
                  </w14:solidFill>
                </w14:textFill>
              </w:rPr>
              <w:t>废水</w:t>
            </w:r>
            <w:r>
              <w:rPr>
                <w:b/>
                <w:bCs/>
                <w:color w:val="000000" w:themeColor="text1"/>
                <w:kern w:val="0"/>
                <w:sz w:val="24"/>
                <w14:textFill>
                  <w14:solidFill>
                    <w14:schemeClr w14:val="tx1"/>
                  </w14:solidFill>
                </w14:textFill>
              </w:rPr>
              <w:t>处置</w:t>
            </w:r>
            <w:r>
              <w:rPr>
                <w:rFonts w:hint="eastAsia"/>
                <w:b/>
                <w:bCs/>
                <w:color w:val="000000" w:themeColor="text1"/>
                <w:kern w:val="0"/>
                <w:sz w:val="24"/>
                <w14:textFill>
                  <w14:solidFill>
                    <w14:schemeClr w14:val="tx1"/>
                  </w14:solidFill>
                </w14:textFill>
              </w:rPr>
              <w:t>防治</w:t>
            </w:r>
            <w:r>
              <w:rPr>
                <w:b/>
                <w:bCs/>
                <w:color w:val="000000" w:themeColor="text1"/>
                <w:kern w:val="0"/>
                <w:sz w:val="24"/>
                <w14:textFill>
                  <w14:solidFill>
                    <w14:schemeClr w14:val="tx1"/>
                  </w14:solidFill>
                </w14:textFill>
              </w:rPr>
              <w:t>措施</w:t>
            </w:r>
          </w:p>
          <w:p w14:paraId="1DB82701">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①废水收集、储存设施进行防渗措施，定期安排专人负责收集池的管理；</w:t>
            </w:r>
          </w:p>
          <w:p w14:paraId="1BBA0972">
            <w:pPr>
              <w:adjustRightInd w:val="0"/>
              <w:snapToGrid w:val="0"/>
              <w:spacing w:line="360" w:lineRule="auto"/>
              <w:ind w:firstLine="480" w:firstLineChars="200"/>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②废水收集后及时回用于生产，禁止外排。</w:t>
            </w:r>
          </w:p>
          <w:p w14:paraId="6719EA28">
            <w:pPr>
              <w:adjustRightInd w:val="0"/>
              <w:snapToGrid w:val="0"/>
              <w:spacing w:line="360" w:lineRule="auto"/>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6</w:t>
            </w:r>
            <w:r>
              <w:rPr>
                <w:b/>
                <w:bCs/>
                <w:color w:val="000000" w:themeColor="text1"/>
                <w:kern w:val="0"/>
                <w:sz w:val="24"/>
                <w14:textFill>
                  <w14:solidFill>
                    <w14:schemeClr w14:val="tx1"/>
                  </w14:solidFill>
                </w14:textFill>
              </w:rPr>
              <w:t>.2、应急措施</w:t>
            </w:r>
          </w:p>
          <w:p w14:paraId="024E319C">
            <w:pPr>
              <w:adjustRightInd w:val="0"/>
              <w:snapToGrid w:val="0"/>
              <w:spacing w:line="360" w:lineRule="auto"/>
              <w:ind w:firstLine="482" w:firstLineChars="200"/>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（1）泄漏事故应急措施</w:t>
            </w:r>
          </w:p>
          <w:p w14:paraId="26CB587C">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A、对废矿物油储存场所发生的泄漏，可采取倒桶等方法，尽量将发生泄漏的桶体内的物料转移，在此基础上堵漏。</w:t>
            </w:r>
          </w:p>
          <w:p w14:paraId="00E0D509">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B、若桶体发生泄漏、火灾、爆炸等事故，在做好堵漏、灭火的同时，应做好临近桶体的保护工作，避免连锁效应。</w:t>
            </w:r>
          </w:p>
          <w:p w14:paraId="4B09ED30">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C、堵漏过程中使用的堵漏材料，应妥善收集、暂存于</w:t>
            </w:r>
            <w:r>
              <w:rPr>
                <w:rFonts w:hint="eastAsia"/>
                <w:color w:val="000000" w:themeColor="text1"/>
                <w:sz w:val="24"/>
                <w14:textFill>
                  <w14:solidFill>
                    <w14:schemeClr w14:val="tx1"/>
                  </w14:solidFill>
                </w14:textFill>
              </w:rPr>
              <w:t>危险废物贮存库</w:t>
            </w:r>
            <w:r>
              <w:rPr>
                <w:color w:val="000000" w:themeColor="text1"/>
                <w:sz w:val="24"/>
                <w14:textFill>
                  <w14:solidFill>
                    <w14:schemeClr w14:val="tx1"/>
                  </w14:solidFill>
                </w14:textFill>
              </w:rPr>
              <w:t>，定期委托有资质的单位回收处置，禁止随意丢弃、排放，对环境产生二次污染。</w:t>
            </w:r>
          </w:p>
          <w:p w14:paraId="35334E0F">
            <w:pPr>
              <w:adjustRightInd w:val="0"/>
              <w:snapToGrid w:val="0"/>
              <w:spacing w:line="360" w:lineRule="auto"/>
              <w:ind w:firstLine="482" w:firstLineChars="200"/>
              <w:rPr>
                <w:b/>
                <w:bCs/>
                <w:color w:val="000000" w:themeColor="text1"/>
                <w:kern w:val="0"/>
                <w:sz w:val="24"/>
                <w14:textFill>
                  <w14:solidFill>
                    <w14:schemeClr w14:val="tx1"/>
                  </w14:solidFill>
                </w14:textFill>
              </w:rPr>
            </w:pPr>
            <w:r>
              <w:rPr>
                <w:b/>
                <w:bCs/>
                <w:color w:val="000000" w:themeColor="text1"/>
                <w:kern w:val="0"/>
                <w:sz w:val="24"/>
                <w14:textFill>
                  <w14:solidFill>
                    <w14:schemeClr w14:val="tx1"/>
                  </w14:solidFill>
                </w14:textFill>
              </w:rPr>
              <w:t>（2）火灾事故应急措施</w:t>
            </w:r>
          </w:p>
          <w:p w14:paraId="1F88A6D5">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①在保证安全情况下将人员转移至安全地带，并将其他易燃易爆物品及时转移到安全位置。并第一时间通知周边村民，必要时让村民疏散至安全地带。</w:t>
            </w:r>
          </w:p>
          <w:p w14:paraId="1509BB60">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②使用厂区消防器材进行灭火，尽量将火势控制在一定范围内，防止其蔓延。</w:t>
            </w:r>
          </w:p>
          <w:p w14:paraId="59EDDB44">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③事故处理过程中对事故区域设置围堰收容泄漏的消防废水和废物，采用抽水泵、水管联合作业将围堵的消防废水收集引流或收集至应急事故池内。</w:t>
            </w:r>
          </w:p>
          <w:p w14:paraId="4BA4F678">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④事故处置完毕后，对处置过程中产生的消防废水、废物进行收集存储，后期交由资质单位进行集中处置。</w:t>
            </w:r>
          </w:p>
          <w:p w14:paraId="2AEA2CC3">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⑤迅速撤离火灾污染区人员至上风处，并立即进行隔离。应急处理人员戴自给正压式呼吸器，穿防毒服。尽可能切断泄漏源。</w:t>
            </w:r>
          </w:p>
          <w:p w14:paraId="0BB45791">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⑥应急处理人员用灭火器紧急处理，及时报告，根据情况向厂内应急中心求救或拨打119。</w:t>
            </w:r>
          </w:p>
          <w:p w14:paraId="289CE1BF">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⑦切断火势蔓延的途径，冷却和疏散受火势威胁的密闭容器和可燃物，控制燃烧范围，并积极抢救受伤和被困人员。合理通风，加速扩散。</w:t>
            </w:r>
          </w:p>
          <w:p w14:paraId="059449CC">
            <w:pPr>
              <w:pStyle w:val="63"/>
              <w:ind w:firstLine="480"/>
              <w:rPr>
                <w:color w:val="000000" w:themeColor="text1"/>
                <w14:textFill>
                  <w14:solidFill>
                    <w14:schemeClr w14:val="tx1"/>
                  </w14:solidFill>
                </w14:textFill>
              </w:rPr>
            </w:pPr>
            <w:r>
              <w:rPr>
                <w:color w:val="000000" w:themeColor="text1"/>
                <w14:textFill>
                  <w14:solidFill>
                    <w14:schemeClr w14:val="tx1"/>
                  </w14:solidFill>
                </w14:textFill>
              </w:rPr>
              <w:t>⑧当人体吸入有毒气体引起中毒，须迅速脱离现场至空气新鲜处，情节严重的要立即就医。</w:t>
            </w:r>
          </w:p>
          <w:p w14:paraId="02F65FEB">
            <w:pPr>
              <w:spacing w:line="360" w:lineRule="auto"/>
              <w:ind w:firstLine="482" w:firstLineChars="200"/>
              <w:rPr>
                <w:b/>
                <w:bCs/>
                <w:color w:val="000000" w:themeColor="text1"/>
                <w:sz w:val="24"/>
                <w14:textFill>
                  <w14:solidFill>
                    <w14:schemeClr w14:val="tx1"/>
                  </w14:solidFill>
                </w14:textFill>
              </w:rPr>
            </w:pPr>
            <w:r>
              <w:rPr>
                <w:rFonts w:hint="eastAsia"/>
                <w:b/>
                <w:bCs/>
                <w:color w:val="000000" w:themeColor="text1"/>
                <w:kern w:val="0"/>
                <w:sz w:val="24"/>
                <w14:textFill>
                  <w14:solidFill>
                    <w14:schemeClr w14:val="tx1"/>
                  </w14:solidFill>
                </w14:textFill>
              </w:rPr>
              <w:t>（3）</w:t>
            </w:r>
            <w:r>
              <w:rPr>
                <w:b/>
                <w:bCs/>
                <w:color w:val="000000" w:themeColor="text1"/>
                <w:sz w:val="24"/>
                <w14:textFill>
                  <w14:solidFill>
                    <w14:schemeClr w14:val="tx1"/>
                  </w14:solidFill>
                </w14:textFill>
              </w:rPr>
              <w:t>应急预案及措施</w:t>
            </w:r>
          </w:p>
          <w:p w14:paraId="340B0DFF">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为保证企业及人民生命财产的安全，防止重大火灾事故或危险废物泄漏事故的发生，并在发生事故时，能迅速有序地开展救援工作，尽最大努力减少事故的危害和损失，企业应根据环境保护部印发的《突发环境事件应急管理办法》（部令第34号）、《企业突发环境事件风险分级方法》（HJ941-2018）、《企业事业单位突发环境事件应急预案评审工作指南（试行）（环办应急〔2018〕8号），以及《云南省企业单位突发环境事件应急预案指导目录和编制要点》（试行）（云环应发〔2013〕12号）的要求编制相关的应急预案，并报</w:t>
            </w:r>
            <w:r>
              <w:rPr>
                <w:rFonts w:hint="eastAsia"/>
                <w:color w:val="000000" w:themeColor="text1"/>
                <w:sz w:val="24"/>
                <w14:textFill>
                  <w14:solidFill>
                    <w14:schemeClr w14:val="tx1"/>
                  </w14:solidFill>
                </w14:textFill>
              </w:rPr>
              <w:t>昆明市生态环境局寻甸分局</w:t>
            </w:r>
            <w:r>
              <w:rPr>
                <w:color w:val="000000" w:themeColor="text1"/>
                <w:sz w:val="24"/>
                <w14:textFill>
                  <w14:solidFill>
                    <w14:schemeClr w14:val="tx1"/>
                  </w14:solidFill>
                </w14:textFill>
              </w:rPr>
              <w:t>备案。</w:t>
            </w:r>
          </w:p>
          <w:p w14:paraId="648DC0C1">
            <w:pPr>
              <w:adjustRightInd w:val="0"/>
              <w:snapToGrid w:val="0"/>
              <w:spacing w:line="360" w:lineRule="auto"/>
              <w:ind w:firstLine="482" w:firstLineChars="200"/>
              <w:rPr>
                <w:b/>
                <w:bCs/>
                <w:color w:val="000000" w:themeColor="text1"/>
                <w:kern w:val="0"/>
                <w:sz w:val="24"/>
                <w14:textFill>
                  <w14:solidFill>
                    <w14:schemeClr w14:val="tx1"/>
                  </w14:solidFill>
                </w14:textFill>
              </w:rPr>
            </w:pPr>
            <w:r>
              <w:rPr>
                <w:rFonts w:hint="eastAsia"/>
                <w:b/>
                <w:bCs/>
                <w:color w:val="000000" w:themeColor="text1"/>
                <w:kern w:val="0"/>
                <w:sz w:val="24"/>
                <w14:textFill>
                  <w14:solidFill>
                    <w14:schemeClr w14:val="tx1"/>
                  </w14:solidFill>
                </w14:textFill>
              </w:rPr>
              <w:t>7</w:t>
            </w:r>
            <w:r>
              <w:rPr>
                <w:b/>
                <w:bCs/>
                <w:color w:val="000000" w:themeColor="text1"/>
                <w:kern w:val="0"/>
                <w:sz w:val="24"/>
                <w14:textFill>
                  <w14:solidFill>
                    <w14:schemeClr w14:val="tx1"/>
                  </w14:solidFill>
                </w14:textFill>
              </w:rPr>
              <w:t>、分析结论</w:t>
            </w:r>
          </w:p>
          <w:p w14:paraId="4734519E">
            <w:pPr>
              <w:adjustRightInd w:val="0"/>
              <w:snapToGrid w:val="0"/>
              <w:spacing w:line="360" w:lineRule="auto"/>
              <w:ind w:firstLine="480" w:firstLineChars="200"/>
              <w:rPr>
                <w:color w:val="000000" w:themeColor="text1"/>
                <w:kern w:val="0"/>
                <w:sz w:val="24"/>
                <w14:textFill>
                  <w14:solidFill>
                    <w14:schemeClr w14:val="tx1"/>
                  </w14:solidFill>
                </w14:textFill>
              </w:rPr>
            </w:pPr>
            <w:r>
              <w:rPr>
                <w:color w:val="000000" w:themeColor="text1"/>
                <w:kern w:val="0"/>
                <w:sz w:val="24"/>
                <w14:textFill>
                  <w14:solidFill>
                    <w14:schemeClr w14:val="tx1"/>
                  </w14:solidFill>
                </w14:textFill>
              </w:rPr>
              <w:t>本项目存在的危险物质数量较</w:t>
            </w:r>
            <w:r>
              <w:rPr>
                <w:rFonts w:hint="eastAsia"/>
                <w:color w:val="000000" w:themeColor="text1"/>
                <w:kern w:val="0"/>
                <w:sz w:val="24"/>
                <w14:textFill>
                  <w14:solidFill>
                    <w14:schemeClr w14:val="tx1"/>
                  </w14:solidFill>
                </w14:textFill>
              </w:rPr>
              <w:t>少</w:t>
            </w:r>
            <w:r>
              <w:rPr>
                <w:color w:val="000000" w:themeColor="text1"/>
                <w:kern w:val="0"/>
                <w:sz w:val="24"/>
                <w14:textFill>
                  <w14:solidFill>
                    <w14:schemeClr w14:val="tx1"/>
                  </w14:solidFill>
                </w14:textFill>
              </w:rPr>
              <w:t>，对环境造成污染的风险较小。通过对风险物质的存储、使用进行严格管控，对风险源进行监控，同时配备相应的应急物资，设置应急池等风险防范措施后，可以有效减少风险事故的发生，并有效控制环境风险事故发生后对外环境的影响</w:t>
            </w:r>
            <w:r>
              <w:rPr>
                <w:rFonts w:hint="eastAsia"/>
                <w:color w:val="000000" w:themeColor="text1"/>
                <w:kern w:val="0"/>
                <w:sz w:val="24"/>
                <w14:textFill>
                  <w14:solidFill>
                    <w14:schemeClr w14:val="tx1"/>
                  </w14:solidFill>
                </w14:textFill>
              </w:rPr>
              <w:t>。</w:t>
            </w:r>
          </w:p>
          <w:p w14:paraId="3A79C507">
            <w:pPr>
              <w:adjustRightInd w:val="0"/>
              <w:snapToGrid w:val="0"/>
              <w:spacing w:line="360" w:lineRule="auto"/>
              <w:ind w:firstLine="480" w:firstLineChars="200"/>
              <w:rPr>
                <w:color w:val="000000" w:themeColor="text1"/>
                <w:kern w:val="0"/>
                <w:sz w:val="24"/>
                <w14:textFill>
                  <w14:solidFill>
                    <w14:schemeClr w14:val="tx1"/>
                  </w14:solidFill>
                </w14:textFill>
              </w:rPr>
            </w:pPr>
          </w:p>
          <w:p w14:paraId="07CFA291">
            <w:pPr>
              <w:adjustRightInd w:val="0"/>
              <w:snapToGrid w:val="0"/>
              <w:spacing w:line="360" w:lineRule="auto"/>
              <w:ind w:firstLine="480" w:firstLineChars="200"/>
              <w:rPr>
                <w:color w:val="000000" w:themeColor="text1"/>
                <w:kern w:val="0"/>
                <w:sz w:val="24"/>
                <w14:textFill>
                  <w14:solidFill>
                    <w14:schemeClr w14:val="tx1"/>
                  </w14:solidFill>
                </w14:textFill>
              </w:rPr>
            </w:pPr>
          </w:p>
          <w:p w14:paraId="7B8FF3D8">
            <w:pPr>
              <w:adjustRightInd w:val="0"/>
              <w:snapToGrid w:val="0"/>
              <w:spacing w:line="360" w:lineRule="auto"/>
              <w:ind w:firstLine="480" w:firstLineChars="200"/>
              <w:rPr>
                <w:color w:val="000000" w:themeColor="text1"/>
                <w:kern w:val="0"/>
                <w:sz w:val="24"/>
                <w14:textFill>
                  <w14:solidFill>
                    <w14:schemeClr w14:val="tx1"/>
                  </w14:solidFill>
                </w14:textFill>
              </w:rPr>
            </w:pPr>
          </w:p>
          <w:p w14:paraId="07E8B0B7">
            <w:pPr>
              <w:adjustRightInd w:val="0"/>
              <w:snapToGrid w:val="0"/>
              <w:spacing w:line="360" w:lineRule="auto"/>
              <w:ind w:firstLine="480" w:firstLineChars="200"/>
              <w:rPr>
                <w:color w:val="000000" w:themeColor="text1"/>
                <w:kern w:val="0"/>
                <w:sz w:val="24"/>
                <w14:textFill>
                  <w14:solidFill>
                    <w14:schemeClr w14:val="tx1"/>
                  </w14:solidFill>
                </w14:textFill>
              </w:rPr>
            </w:pPr>
          </w:p>
        </w:tc>
      </w:tr>
      <w:tr w14:paraId="69A492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 w:hRule="atLeast"/>
          <w:jc w:val="center"/>
        </w:trPr>
        <w:tc>
          <w:tcPr>
            <w:tcW w:w="288" w:type="dxa"/>
            <w:tcMar>
              <w:left w:w="28" w:type="dxa"/>
              <w:right w:w="28" w:type="dxa"/>
            </w:tcMar>
            <w:vAlign w:val="center"/>
          </w:tcPr>
          <w:p w14:paraId="2775CA0F">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运营</w:t>
            </w:r>
          </w:p>
          <w:p w14:paraId="2842F7AA">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期环</w:t>
            </w:r>
          </w:p>
          <w:p w14:paraId="263586F5">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境影</w:t>
            </w:r>
          </w:p>
          <w:p w14:paraId="7287BC88">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响和</w:t>
            </w:r>
          </w:p>
          <w:p w14:paraId="52430E78">
            <w:pPr>
              <w:adjustRightInd w:val="0"/>
              <w:snapToGrid w:val="0"/>
              <w:jc w:val="center"/>
              <w:rPr>
                <w:bCs/>
                <w:color w:val="000000" w:themeColor="text1"/>
                <w:sz w:val="24"/>
                <w14:textFill>
                  <w14:solidFill>
                    <w14:schemeClr w14:val="tx1"/>
                  </w14:solidFill>
                </w14:textFill>
              </w:rPr>
            </w:pPr>
            <w:r>
              <w:rPr>
                <w:bCs/>
                <w:color w:val="000000" w:themeColor="text1"/>
                <w:sz w:val="24"/>
                <w14:textFill>
                  <w14:solidFill>
                    <w14:schemeClr w14:val="tx1"/>
                  </w14:solidFill>
                </w14:textFill>
              </w:rPr>
              <w:t>保护</w:t>
            </w:r>
          </w:p>
          <w:p w14:paraId="3CF21E68">
            <w:pPr>
              <w:pStyle w:val="21"/>
              <w:adjustRightInd w:val="0"/>
              <w:snapToGrid w:val="0"/>
              <w:spacing w:before="0" w:beforeAutospacing="0" w:after="0" w:afterAutospacing="0"/>
              <w:jc w:val="center"/>
              <w:rPr>
                <w:rFonts w:ascii="Times New Roman" w:hAnsi="Times New Roman"/>
                <w:bCs/>
                <w:color w:val="000000" w:themeColor="text1"/>
                <w:szCs w:val="24"/>
                <w14:textFill>
                  <w14:solidFill>
                    <w14:schemeClr w14:val="tx1"/>
                  </w14:solidFill>
                </w14:textFill>
              </w:rPr>
            </w:pPr>
            <w:r>
              <w:rPr>
                <w:rFonts w:ascii="Times New Roman" w:hAnsi="Times New Roman"/>
                <w:bCs/>
                <w:color w:val="000000" w:themeColor="text1"/>
                <w:szCs w:val="24"/>
                <w14:textFill>
                  <w14:solidFill>
                    <w14:schemeClr w14:val="tx1"/>
                  </w14:solidFill>
                </w14:textFill>
              </w:rPr>
              <w:t>措施</w:t>
            </w:r>
          </w:p>
        </w:tc>
        <w:tc>
          <w:tcPr>
            <w:tcW w:w="8693" w:type="dxa"/>
            <w:vMerge w:val="continue"/>
            <w:vAlign w:val="center"/>
          </w:tcPr>
          <w:p w14:paraId="186E202E">
            <w:pPr>
              <w:pStyle w:val="16"/>
              <w:adjustRightInd w:val="0"/>
              <w:spacing w:line="360" w:lineRule="auto"/>
              <w:rPr>
                <w:bCs/>
                <w:color w:val="000000" w:themeColor="text1"/>
                <w:sz w:val="24"/>
                <w14:textFill>
                  <w14:solidFill>
                    <w14:schemeClr w14:val="tx1"/>
                  </w14:solidFill>
                </w14:textFill>
              </w:rPr>
            </w:pPr>
          </w:p>
        </w:tc>
      </w:tr>
    </w:tbl>
    <w:p w14:paraId="53F3D52E">
      <w:pPr>
        <w:adjustRightInd w:val="0"/>
        <w:snapToGrid w:val="0"/>
        <w:spacing w:line="360" w:lineRule="auto"/>
        <w:rPr>
          <w:b/>
          <w:color w:val="000000" w:themeColor="text1"/>
          <w:kern w:val="0"/>
          <w:sz w:val="28"/>
          <w:szCs w:val="28"/>
          <w14:textFill>
            <w14:solidFill>
              <w14:schemeClr w14:val="tx1"/>
            </w14:solidFill>
          </w14:textFill>
        </w:rPr>
        <w:sectPr>
          <w:pgSz w:w="11907" w:h="16840"/>
          <w:pgMar w:top="1701" w:right="1531" w:bottom="1418" w:left="1531" w:header="851" w:footer="851" w:gutter="0"/>
          <w:cols w:space="720" w:num="1"/>
          <w:docGrid w:linePitch="312" w:charSpace="0"/>
        </w:sectPr>
      </w:pPr>
    </w:p>
    <w:p w14:paraId="48ED4279">
      <w:pPr>
        <w:pStyle w:val="21"/>
        <w:spacing w:before="120" w:beforeLines="50" w:beforeAutospacing="0" w:after="120" w:afterLines="50" w:afterAutospacing="0"/>
        <w:jc w:val="center"/>
        <w:outlineLvl w:val="0"/>
        <w:rPr>
          <w:rFonts w:ascii="Times New Roman" w:hAnsi="Times New Roman" w:eastAsia="黑体"/>
          <w:snapToGrid w:val="0"/>
          <w:color w:val="000000" w:themeColor="text1"/>
          <w:sz w:val="30"/>
          <w:szCs w:val="30"/>
          <w14:textFill>
            <w14:solidFill>
              <w14:schemeClr w14:val="tx1"/>
            </w14:solidFill>
          </w14:textFill>
        </w:rPr>
      </w:pPr>
      <w:bookmarkStart w:id="35" w:name="_Toc11957"/>
      <w:r>
        <w:rPr>
          <w:rFonts w:ascii="Times New Roman" w:hAnsi="Times New Roman" w:eastAsia="黑体"/>
          <w:snapToGrid w:val="0"/>
          <w:color w:val="000000" w:themeColor="text1"/>
          <w:sz w:val="30"/>
          <w:szCs w:val="30"/>
          <w14:textFill>
            <w14:solidFill>
              <w14:schemeClr w14:val="tx1"/>
            </w14:solidFill>
          </w14:textFill>
        </w:rPr>
        <w:t>五、</w:t>
      </w:r>
      <w:bookmarkStart w:id="36" w:name="_Hlk54167917"/>
      <w:r>
        <w:rPr>
          <w:rFonts w:ascii="Times New Roman" w:hAnsi="Times New Roman" w:eastAsia="黑体"/>
          <w:snapToGrid w:val="0"/>
          <w:color w:val="000000" w:themeColor="text1"/>
          <w:sz w:val="30"/>
          <w:szCs w:val="30"/>
          <w14:textFill>
            <w14:solidFill>
              <w14:schemeClr w14:val="tx1"/>
            </w14:solidFill>
          </w14:textFill>
        </w:rPr>
        <w:t>环境保护措施监督检查清单</w:t>
      </w:r>
      <w:bookmarkEnd w:id="35"/>
      <w:bookmarkEnd w:id="36"/>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755"/>
        <w:gridCol w:w="1755"/>
        <w:gridCol w:w="1755"/>
        <w:gridCol w:w="1757"/>
      </w:tblGrid>
      <w:tr w14:paraId="55005B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778" w:type="dxa"/>
            <w:tcBorders>
              <w:tl2br w:val="single" w:color="auto" w:sz="4" w:space="0"/>
            </w:tcBorders>
          </w:tcPr>
          <w:p w14:paraId="46C6193C">
            <w:pPr>
              <w:adjustRightInd w:val="0"/>
              <w:snapToGrid w:val="0"/>
              <w:ind w:firstLine="840"/>
              <w:rPr>
                <w:color w:val="000000" w:themeColor="text1"/>
                <w:szCs w:val="21"/>
                <w14:textFill>
                  <w14:solidFill>
                    <w14:schemeClr w14:val="tx1"/>
                  </w14:solidFill>
                </w14:textFill>
              </w:rPr>
            </w:pPr>
            <w:r>
              <w:rPr>
                <w:color w:val="000000" w:themeColor="text1"/>
                <w:szCs w:val="21"/>
                <w14:textFill>
                  <w14:solidFill>
                    <w14:schemeClr w14:val="tx1"/>
                  </w14:solidFill>
                </w14:textFill>
              </w:rPr>
              <w:t>内容</w:t>
            </w:r>
          </w:p>
          <w:p w14:paraId="38EFC814">
            <w:pPr>
              <w:adjustRightInd w:val="0"/>
              <w:snapToGrid w:val="0"/>
              <w:rPr>
                <w:color w:val="000000" w:themeColor="text1"/>
                <w:szCs w:val="21"/>
                <w14:textFill>
                  <w14:solidFill>
                    <w14:schemeClr w14:val="tx1"/>
                  </w14:solidFill>
                </w14:textFill>
              </w:rPr>
            </w:pPr>
            <w:r>
              <w:rPr>
                <w:color w:val="000000" w:themeColor="text1"/>
                <w:szCs w:val="21"/>
                <w14:textFill>
                  <w14:solidFill>
                    <w14:schemeClr w14:val="tx1"/>
                  </w14:solidFill>
                </w14:textFill>
              </w:rPr>
              <w:t>要素</w:t>
            </w:r>
          </w:p>
        </w:tc>
        <w:tc>
          <w:tcPr>
            <w:tcW w:w="1755" w:type="dxa"/>
            <w:vAlign w:val="center"/>
          </w:tcPr>
          <w:p w14:paraId="3D7AA72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排放口(编号、</w:t>
            </w:r>
          </w:p>
          <w:p w14:paraId="54505614">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名称)/污染源</w:t>
            </w:r>
          </w:p>
        </w:tc>
        <w:tc>
          <w:tcPr>
            <w:tcW w:w="1755" w:type="dxa"/>
            <w:vAlign w:val="center"/>
          </w:tcPr>
          <w:p w14:paraId="02FF8AF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污染物项目</w:t>
            </w:r>
          </w:p>
        </w:tc>
        <w:tc>
          <w:tcPr>
            <w:tcW w:w="1755" w:type="dxa"/>
            <w:vAlign w:val="center"/>
          </w:tcPr>
          <w:p w14:paraId="506F271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环境保护措施</w:t>
            </w:r>
          </w:p>
        </w:tc>
        <w:tc>
          <w:tcPr>
            <w:tcW w:w="1757" w:type="dxa"/>
            <w:vAlign w:val="center"/>
          </w:tcPr>
          <w:p w14:paraId="12F9A5D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执行标准</w:t>
            </w:r>
          </w:p>
        </w:tc>
      </w:tr>
      <w:tr w14:paraId="0A8941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778" w:type="dxa"/>
            <w:vMerge w:val="restart"/>
            <w:vAlign w:val="center"/>
          </w:tcPr>
          <w:p w14:paraId="55722DBC">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大气环境</w:t>
            </w:r>
          </w:p>
        </w:tc>
        <w:tc>
          <w:tcPr>
            <w:tcW w:w="1755" w:type="dxa"/>
            <w:vAlign w:val="center"/>
          </w:tcPr>
          <w:p w14:paraId="7E04A9D6">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无组织粉尘</w:t>
            </w:r>
          </w:p>
        </w:tc>
        <w:tc>
          <w:tcPr>
            <w:tcW w:w="1755" w:type="dxa"/>
            <w:vAlign w:val="center"/>
          </w:tcPr>
          <w:p w14:paraId="4DEF21E9">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颗粒物</w:t>
            </w:r>
          </w:p>
        </w:tc>
        <w:tc>
          <w:tcPr>
            <w:tcW w:w="1755" w:type="dxa"/>
            <w:vAlign w:val="center"/>
          </w:tcPr>
          <w:p w14:paraId="212B81B0">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厂房密闭、移动式雾炮机喷雾除尘</w:t>
            </w:r>
          </w:p>
        </w:tc>
        <w:tc>
          <w:tcPr>
            <w:tcW w:w="1757" w:type="dxa"/>
            <w:vAlign w:val="center"/>
          </w:tcPr>
          <w:p w14:paraId="7B8B6A6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《大气污染物综合排放标准》（GB16297-1996）表2无组织排放限值要求</w:t>
            </w:r>
          </w:p>
        </w:tc>
      </w:tr>
      <w:tr w14:paraId="37FEBE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1778" w:type="dxa"/>
            <w:vMerge w:val="continue"/>
            <w:vAlign w:val="center"/>
          </w:tcPr>
          <w:p w14:paraId="6113ADE0">
            <w:pPr>
              <w:adjustRightInd w:val="0"/>
              <w:snapToGrid w:val="0"/>
              <w:jc w:val="center"/>
              <w:rPr>
                <w:color w:val="000000" w:themeColor="text1"/>
                <w:szCs w:val="21"/>
                <w14:textFill>
                  <w14:solidFill>
                    <w14:schemeClr w14:val="tx1"/>
                  </w14:solidFill>
                </w14:textFill>
              </w:rPr>
            </w:pPr>
          </w:p>
        </w:tc>
        <w:tc>
          <w:tcPr>
            <w:tcW w:w="1755" w:type="dxa"/>
            <w:vAlign w:val="center"/>
          </w:tcPr>
          <w:p w14:paraId="23576A4B">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发酵异味</w:t>
            </w:r>
          </w:p>
        </w:tc>
        <w:tc>
          <w:tcPr>
            <w:tcW w:w="1755" w:type="dxa"/>
            <w:vAlign w:val="center"/>
          </w:tcPr>
          <w:p w14:paraId="01B6368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臭气浓度</w:t>
            </w:r>
          </w:p>
        </w:tc>
        <w:tc>
          <w:tcPr>
            <w:tcW w:w="1755" w:type="dxa"/>
            <w:vMerge w:val="restart"/>
            <w:vAlign w:val="center"/>
          </w:tcPr>
          <w:p w14:paraId="5537EB47">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厂房密闭、喷洒生物除臭剂、车间安装抽排风系统</w:t>
            </w:r>
          </w:p>
        </w:tc>
        <w:tc>
          <w:tcPr>
            <w:tcW w:w="1757" w:type="dxa"/>
            <w:vAlign w:val="center"/>
          </w:tcPr>
          <w:p w14:paraId="314C4EB8">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达到《恶臭污染物排放标准》(GB14554-93)</w:t>
            </w:r>
            <w:r>
              <w:rPr>
                <w:rFonts w:hint="eastAsia"/>
                <w:color w:val="000000" w:themeColor="text1"/>
                <w:szCs w:val="21"/>
                <w14:textFill>
                  <w14:solidFill>
                    <w14:schemeClr w14:val="tx1"/>
                  </w14:solidFill>
                </w14:textFill>
              </w:rPr>
              <w:t>表1中二级</w:t>
            </w:r>
            <w:r>
              <w:rPr>
                <w:color w:val="000000" w:themeColor="text1"/>
                <w:szCs w:val="21"/>
                <w14:textFill>
                  <w14:solidFill>
                    <w14:schemeClr w14:val="tx1"/>
                  </w14:solidFill>
                </w14:textFill>
              </w:rPr>
              <w:t>标准</w:t>
            </w:r>
          </w:p>
        </w:tc>
      </w:tr>
      <w:tr w14:paraId="0D61C7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1778" w:type="dxa"/>
            <w:vMerge w:val="restart"/>
            <w:vAlign w:val="center"/>
          </w:tcPr>
          <w:p w14:paraId="51B47EF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地表水环境</w:t>
            </w:r>
          </w:p>
        </w:tc>
        <w:tc>
          <w:tcPr>
            <w:tcW w:w="1755" w:type="dxa"/>
            <w:vAlign w:val="center"/>
          </w:tcPr>
          <w:p w14:paraId="32EB25A4">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生活污水</w:t>
            </w:r>
          </w:p>
        </w:tc>
        <w:tc>
          <w:tcPr>
            <w:tcW w:w="1755" w:type="dxa"/>
            <w:vAlign w:val="center"/>
          </w:tcPr>
          <w:p w14:paraId="5579F529">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COD、SS、TP、TN、氨氮</w:t>
            </w:r>
            <w:r>
              <w:rPr>
                <w:rFonts w:hint="eastAsia"/>
                <w:color w:val="000000" w:themeColor="text1"/>
                <w:szCs w:val="21"/>
                <w14:textFill>
                  <w14:solidFill>
                    <w14:schemeClr w14:val="tx1"/>
                  </w14:solidFill>
                </w14:textFill>
              </w:rPr>
              <w:t>、动植物油</w:t>
            </w:r>
          </w:p>
        </w:tc>
        <w:tc>
          <w:tcPr>
            <w:tcW w:w="1755" w:type="dxa"/>
            <w:vAlign w:val="center"/>
          </w:tcPr>
          <w:p w14:paraId="23AA947D">
            <w:pPr>
              <w:adjustRightInd w:val="0"/>
              <w:snapToGrid w:val="0"/>
              <w:jc w:val="center"/>
              <w:rPr>
                <w:bCs/>
                <w:color w:val="000000" w:themeColor="text1"/>
                <w:spacing w:val="-10"/>
                <w:szCs w:val="21"/>
                <w14:textFill>
                  <w14:solidFill>
                    <w14:schemeClr w14:val="tx1"/>
                  </w14:solidFill>
                </w14:textFill>
              </w:rPr>
            </w:pPr>
            <w:r>
              <w:rPr>
                <w:rFonts w:hint="eastAsia"/>
                <w:bCs/>
                <w:color w:val="000000" w:themeColor="text1"/>
                <w:spacing w:val="-10"/>
                <w:szCs w:val="21"/>
                <w14:textFill>
                  <w14:solidFill>
                    <w14:schemeClr w14:val="tx1"/>
                  </w14:solidFill>
                </w14:textFill>
              </w:rPr>
              <w:t>依托已建隔油池、化粪池、一体化污水处理设备处理后回用于绿化和洒水降尘</w:t>
            </w:r>
          </w:p>
        </w:tc>
        <w:tc>
          <w:tcPr>
            <w:tcW w:w="1757" w:type="dxa"/>
            <w:vAlign w:val="center"/>
          </w:tcPr>
          <w:p w14:paraId="5361DB9A">
            <w:pPr>
              <w:adjustRightInd w:val="0"/>
              <w:snapToGrid w:val="0"/>
              <w:jc w:val="center"/>
              <w:rPr>
                <w:bCs/>
                <w:color w:val="000000" w:themeColor="text1"/>
                <w:spacing w:val="-10"/>
                <w:szCs w:val="21"/>
                <w14:textFill>
                  <w14:solidFill>
                    <w14:schemeClr w14:val="tx1"/>
                  </w14:solidFill>
                </w14:textFill>
              </w:rPr>
            </w:pPr>
            <w:r>
              <w:rPr>
                <w:rFonts w:hint="eastAsia"/>
                <w:bCs/>
                <w:color w:val="000000" w:themeColor="text1"/>
                <w:spacing w:val="-10"/>
                <w:szCs w:val="21"/>
                <w14:textFill>
                  <w14:solidFill>
                    <w14:schemeClr w14:val="tx1"/>
                  </w14:solidFill>
                </w14:textFill>
              </w:rPr>
              <w:t>不外排</w:t>
            </w:r>
          </w:p>
        </w:tc>
      </w:tr>
      <w:tr w14:paraId="7614D0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1778" w:type="dxa"/>
            <w:vMerge w:val="continue"/>
            <w:vAlign w:val="center"/>
          </w:tcPr>
          <w:p w14:paraId="79EA5719">
            <w:pPr>
              <w:adjustRightInd w:val="0"/>
              <w:snapToGrid w:val="0"/>
              <w:jc w:val="center"/>
              <w:rPr>
                <w:color w:val="000000" w:themeColor="text1"/>
                <w:szCs w:val="21"/>
                <w14:textFill>
                  <w14:solidFill>
                    <w14:schemeClr w14:val="tx1"/>
                  </w14:solidFill>
                </w14:textFill>
              </w:rPr>
            </w:pPr>
          </w:p>
        </w:tc>
        <w:tc>
          <w:tcPr>
            <w:tcW w:w="1755" w:type="dxa"/>
            <w:vAlign w:val="center"/>
          </w:tcPr>
          <w:p w14:paraId="619F291F">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初期雨水</w:t>
            </w:r>
          </w:p>
        </w:tc>
        <w:tc>
          <w:tcPr>
            <w:tcW w:w="1755" w:type="dxa"/>
            <w:vAlign w:val="center"/>
          </w:tcPr>
          <w:p w14:paraId="787314A4">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SS等</w:t>
            </w:r>
          </w:p>
        </w:tc>
        <w:tc>
          <w:tcPr>
            <w:tcW w:w="1755" w:type="dxa"/>
            <w:vAlign w:val="center"/>
          </w:tcPr>
          <w:p w14:paraId="5E7CAF4D">
            <w:pPr>
              <w:adjustRightInd w:val="0"/>
              <w:snapToGrid w:val="0"/>
              <w:jc w:val="center"/>
              <w:rPr>
                <w:bCs/>
                <w:color w:val="000000" w:themeColor="text1"/>
                <w:spacing w:val="-10"/>
                <w:szCs w:val="21"/>
                <w14:textFill>
                  <w14:solidFill>
                    <w14:schemeClr w14:val="tx1"/>
                  </w14:solidFill>
                </w14:textFill>
              </w:rPr>
            </w:pPr>
            <w:r>
              <w:rPr>
                <w:rFonts w:hint="eastAsia"/>
                <w:bCs/>
                <w:color w:val="000000" w:themeColor="text1"/>
                <w:spacing w:val="-10"/>
                <w:szCs w:val="21"/>
                <w14:textFill>
                  <w14:solidFill>
                    <w14:schemeClr w14:val="tx1"/>
                  </w14:solidFill>
                </w14:textFill>
              </w:rPr>
              <w:t>经</w:t>
            </w:r>
            <w:r>
              <w:rPr>
                <w:rFonts w:hint="eastAsia" w:eastAsiaTheme="minorEastAsia"/>
                <w:bCs/>
                <w:color w:val="000000" w:themeColor="text1"/>
                <w:szCs w:val="21"/>
                <w14:textFill>
                  <w14:solidFill>
                    <w14:schemeClr w14:val="tx1"/>
                  </w14:solidFill>
                </w14:textFill>
              </w:rPr>
              <w:t>1个容积为30</w:t>
            </w:r>
            <w:r>
              <w:rPr>
                <w:rFonts w:eastAsiaTheme="minorEastAsia"/>
                <w:bCs/>
                <w:color w:val="000000" w:themeColor="text1"/>
                <w:szCs w:val="21"/>
                <w14:textFill>
                  <w14:solidFill>
                    <w14:schemeClr w14:val="tx1"/>
                  </w14:solidFill>
                </w14:textFill>
              </w:rPr>
              <w:t>m</w:t>
            </w:r>
            <w:r>
              <w:rPr>
                <w:rFonts w:eastAsiaTheme="minorEastAsia"/>
                <w:bCs/>
                <w:color w:val="000000" w:themeColor="text1"/>
                <w:szCs w:val="21"/>
                <w:vertAlign w:val="superscript"/>
                <w14:textFill>
                  <w14:solidFill>
                    <w14:schemeClr w14:val="tx1"/>
                  </w14:solidFill>
                </w14:textFill>
              </w:rPr>
              <w:t>3</w:t>
            </w:r>
            <w:r>
              <w:rPr>
                <w:rFonts w:hint="eastAsia" w:eastAsiaTheme="minorEastAsia"/>
                <w:bCs/>
                <w:color w:val="000000" w:themeColor="text1"/>
                <w:szCs w:val="21"/>
                <w14:textFill>
                  <w14:solidFill>
                    <w14:schemeClr w14:val="tx1"/>
                  </w14:solidFill>
                </w14:textFill>
              </w:rPr>
              <w:t>的</w:t>
            </w:r>
            <w:r>
              <w:rPr>
                <w:rFonts w:hint="eastAsia"/>
                <w:color w:val="000000" w:themeColor="text1"/>
                <w14:textFill>
                  <w14:solidFill>
                    <w14:schemeClr w14:val="tx1"/>
                  </w14:solidFill>
                </w14:textFill>
              </w:rPr>
              <w:t>收集池收集后回用于生产</w:t>
            </w:r>
          </w:p>
        </w:tc>
        <w:tc>
          <w:tcPr>
            <w:tcW w:w="1757" w:type="dxa"/>
            <w:vAlign w:val="center"/>
          </w:tcPr>
          <w:p w14:paraId="47587C8F">
            <w:pPr>
              <w:adjustRightInd w:val="0"/>
              <w:snapToGrid w:val="0"/>
              <w:jc w:val="center"/>
              <w:rPr>
                <w:bCs/>
                <w:color w:val="000000" w:themeColor="text1"/>
                <w:spacing w:val="-10"/>
                <w:szCs w:val="21"/>
                <w14:textFill>
                  <w14:solidFill>
                    <w14:schemeClr w14:val="tx1"/>
                  </w14:solidFill>
                </w14:textFill>
              </w:rPr>
            </w:pPr>
            <w:r>
              <w:rPr>
                <w:rFonts w:hint="eastAsia"/>
                <w:bCs/>
                <w:color w:val="000000" w:themeColor="text1"/>
                <w:spacing w:val="-10"/>
                <w:szCs w:val="21"/>
                <w14:textFill>
                  <w14:solidFill>
                    <w14:schemeClr w14:val="tx1"/>
                  </w14:solidFill>
                </w14:textFill>
              </w:rPr>
              <w:t>不外排</w:t>
            </w:r>
          </w:p>
        </w:tc>
      </w:tr>
      <w:tr w14:paraId="187B99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1778" w:type="dxa"/>
            <w:vMerge w:val="continue"/>
            <w:vAlign w:val="center"/>
          </w:tcPr>
          <w:p w14:paraId="76FEAE6F">
            <w:pPr>
              <w:adjustRightInd w:val="0"/>
              <w:snapToGrid w:val="0"/>
              <w:jc w:val="center"/>
              <w:rPr>
                <w:color w:val="000000" w:themeColor="text1"/>
                <w:szCs w:val="21"/>
                <w14:textFill>
                  <w14:solidFill>
                    <w14:schemeClr w14:val="tx1"/>
                  </w14:solidFill>
                </w14:textFill>
              </w:rPr>
            </w:pPr>
          </w:p>
        </w:tc>
        <w:tc>
          <w:tcPr>
            <w:tcW w:w="1755" w:type="dxa"/>
            <w:vAlign w:val="center"/>
          </w:tcPr>
          <w:p w14:paraId="43EFC158">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生产废水</w:t>
            </w:r>
          </w:p>
        </w:tc>
        <w:tc>
          <w:tcPr>
            <w:tcW w:w="1755" w:type="dxa"/>
            <w:vAlign w:val="center"/>
          </w:tcPr>
          <w:p w14:paraId="6AB1F036">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SS等</w:t>
            </w:r>
          </w:p>
        </w:tc>
        <w:tc>
          <w:tcPr>
            <w:tcW w:w="1755" w:type="dxa"/>
            <w:vAlign w:val="center"/>
          </w:tcPr>
          <w:p w14:paraId="282CE483">
            <w:pPr>
              <w:adjustRightInd w:val="0"/>
              <w:snapToGrid w:val="0"/>
              <w:jc w:val="center"/>
              <w:rPr>
                <w:bCs/>
                <w:color w:val="000000" w:themeColor="text1"/>
                <w:spacing w:val="-10"/>
                <w:szCs w:val="21"/>
                <w14:textFill>
                  <w14:solidFill>
                    <w14:schemeClr w14:val="tx1"/>
                  </w14:solidFill>
                </w14:textFill>
              </w:rPr>
            </w:pPr>
            <w:r>
              <w:rPr>
                <w:rFonts w:hint="eastAsia"/>
                <w:color w:val="000000" w:themeColor="text1"/>
                <w14:textFill>
                  <w14:solidFill>
                    <w14:schemeClr w14:val="tx1"/>
                  </w14:solidFill>
                </w14:textFill>
              </w:rPr>
              <w:t>经收集沟（共110m）收集至</w:t>
            </w:r>
            <w:r>
              <w:rPr>
                <w:rFonts w:hint="eastAsia" w:eastAsiaTheme="minorEastAsia"/>
                <w:bCs/>
                <w:color w:val="000000" w:themeColor="text1"/>
                <w:szCs w:val="21"/>
                <w14:textFill>
                  <w14:solidFill>
                    <w14:schemeClr w14:val="tx1"/>
                  </w14:solidFill>
                </w14:textFill>
              </w:rPr>
              <w:t>1个容积为2</w:t>
            </w:r>
            <w:r>
              <w:rPr>
                <w:rFonts w:eastAsiaTheme="minorEastAsia"/>
                <w:bCs/>
                <w:color w:val="000000" w:themeColor="text1"/>
                <w:szCs w:val="21"/>
                <w14:textFill>
                  <w14:solidFill>
                    <w14:schemeClr w14:val="tx1"/>
                  </w14:solidFill>
                </w14:textFill>
              </w:rPr>
              <w:t>m</w:t>
            </w:r>
            <w:r>
              <w:rPr>
                <w:rFonts w:eastAsiaTheme="minorEastAsia"/>
                <w:bCs/>
                <w:color w:val="000000" w:themeColor="text1"/>
                <w:szCs w:val="21"/>
                <w:vertAlign w:val="superscript"/>
                <w14:textFill>
                  <w14:solidFill>
                    <w14:schemeClr w14:val="tx1"/>
                  </w14:solidFill>
                </w14:textFill>
              </w:rPr>
              <w:t>3</w:t>
            </w:r>
            <w:r>
              <w:rPr>
                <w:rFonts w:hint="eastAsia" w:eastAsiaTheme="minorEastAsia"/>
                <w:bCs/>
                <w:color w:val="000000" w:themeColor="text1"/>
                <w:szCs w:val="21"/>
                <w14:textFill>
                  <w14:solidFill>
                    <w14:schemeClr w14:val="tx1"/>
                  </w14:solidFill>
                </w14:textFill>
              </w:rPr>
              <w:t>的</w:t>
            </w:r>
            <w:r>
              <w:rPr>
                <w:rFonts w:hint="eastAsia"/>
                <w:color w:val="000000" w:themeColor="text1"/>
                <w14:textFill>
                  <w14:solidFill>
                    <w14:schemeClr w14:val="tx1"/>
                  </w14:solidFill>
                </w14:textFill>
              </w:rPr>
              <w:t>收集池暂存后回用于发酵过程</w:t>
            </w:r>
          </w:p>
        </w:tc>
        <w:tc>
          <w:tcPr>
            <w:tcW w:w="1757" w:type="dxa"/>
            <w:vAlign w:val="center"/>
          </w:tcPr>
          <w:p w14:paraId="31AB2E24">
            <w:pPr>
              <w:adjustRightInd w:val="0"/>
              <w:snapToGrid w:val="0"/>
              <w:jc w:val="center"/>
              <w:rPr>
                <w:bCs/>
                <w:color w:val="000000" w:themeColor="text1"/>
                <w:spacing w:val="-10"/>
                <w:szCs w:val="21"/>
                <w14:textFill>
                  <w14:solidFill>
                    <w14:schemeClr w14:val="tx1"/>
                  </w14:solidFill>
                </w14:textFill>
              </w:rPr>
            </w:pPr>
            <w:r>
              <w:rPr>
                <w:rFonts w:hint="eastAsia"/>
                <w:color w:val="000000" w:themeColor="text1"/>
                <w14:textFill>
                  <w14:solidFill>
                    <w14:schemeClr w14:val="tx1"/>
                  </w14:solidFill>
                </w14:textFill>
              </w:rPr>
              <w:t>不外排</w:t>
            </w:r>
          </w:p>
        </w:tc>
      </w:tr>
      <w:tr w14:paraId="3ACEF8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778" w:type="dxa"/>
            <w:vAlign w:val="center"/>
          </w:tcPr>
          <w:p w14:paraId="324C524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声环境</w:t>
            </w:r>
          </w:p>
        </w:tc>
        <w:tc>
          <w:tcPr>
            <w:tcW w:w="1755" w:type="dxa"/>
            <w:vAlign w:val="center"/>
          </w:tcPr>
          <w:p w14:paraId="5C3ECEFF">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风机、破碎机等机械设备</w:t>
            </w:r>
          </w:p>
        </w:tc>
        <w:tc>
          <w:tcPr>
            <w:tcW w:w="1755" w:type="dxa"/>
            <w:vAlign w:val="center"/>
          </w:tcPr>
          <w:p w14:paraId="54E675BC">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噪声</w:t>
            </w:r>
          </w:p>
        </w:tc>
        <w:tc>
          <w:tcPr>
            <w:tcW w:w="1755" w:type="dxa"/>
            <w:vAlign w:val="center"/>
          </w:tcPr>
          <w:p w14:paraId="0772C3E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减震、厂房隔声</w:t>
            </w:r>
          </w:p>
        </w:tc>
        <w:tc>
          <w:tcPr>
            <w:tcW w:w="1757" w:type="dxa"/>
            <w:vAlign w:val="center"/>
          </w:tcPr>
          <w:p w14:paraId="646D111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《工业企业厂界环境噪声排放标准》（GB12348-2008）</w:t>
            </w:r>
            <w:r>
              <w:rPr>
                <w:rFonts w:hint="eastAsia"/>
                <w:color w:val="000000" w:themeColor="text1"/>
                <w:szCs w:val="21"/>
                <w14:textFill>
                  <w14:solidFill>
                    <w14:schemeClr w14:val="tx1"/>
                  </w14:solidFill>
                </w14:textFill>
              </w:rPr>
              <w:t>3</w:t>
            </w:r>
            <w:r>
              <w:rPr>
                <w:color w:val="000000" w:themeColor="text1"/>
                <w:szCs w:val="21"/>
                <w14:textFill>
                  <w14:solidFill>
                    <w14:schemeClr w14:val="tx1"/>
                  </w14:solidFill>
                </w14:textFill>
              </w:rPr>
              <w:t>类标准</w:t>
            </w:r>
          </w:p>
        </w:tc>
      </w:tr>
      <w:tr w14:paraId="299482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778" w:type="dxa"/>
            <w:vAlign w:val="center"/>
          </w:tcPr>
          <w:p w14:paraId="0B9D550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电磁辐射</w:t>
            </w:r>
          </w:p>
        </w:tc>
        <w:tc>
          <w:tcPr>
            <w:tcW w:w="1755" w:type="dxa"/>
            <w:vAlign w:val="center"/>
          </w:tcPr>
          <w:p w14:paraId="3A80C7C1">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1755" w:type="dxa"/>
            <w:vAlign w:val="center"/>
          </w:tcPr>
          <w:p w14:paraId="5EE37F88">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1755" w:type="dxa"/>
            <w:vAlign w:val="center"/>
          </w:tcPr>
          <w:p w14:paraId="614E7CC0">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c>
          <w:tcPr>
            <w:tcW w:w="1757" w:type="dxa"/>
            <w:vAlign w:val="center"/>
          </w:tcPr>
          <w:p w14:paraId="27352DBF">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7FADF6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778" w:type="dxa"/>
            <w:vMerge w:val="restart"/>
            <w:vAlign w:val="center"/>
          </w:tcPr>
          <w:p w14:paraId="1D1737F5">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固体废物</w:t>
            </w:r>
          </w:p>
        </w:tc>
        <w:tc>
          <w:tcPr>
            <w:tcW w:w="1755" w:type="dxa"/>
            <w:vMerge w:val="restart"/>
            <w:vAlign w:val="center"/>
          </w:tcPr>
          <w:p w14:paraId="253F32E2">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生产</w:t>
            </w:r>
          </w:p>
        </w:tc>
        <w:tc>
          <w:tcPr>
            <w:tcW w:w="1755" w:type="dxa"/>
            <w:vAlign w:val="center"/>
          </w:tcPr>
          <w:p w14:paraId="4C1B8437">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废包装袋</w:t>
            </w:r>
          </w:p>
        </w:tc>
        <w:tc>
          <w:tcPr>
            <w:tcW w:w="1755" w:type="dxa"/>
            <w:vAlign w:val="center"/>
          </w:tcPr>
          <w:p w14:paraId="2A46F879">
            <w:pPr>
              <w:adjustRightInd w:val="0"/>
              <w:snapToGrid w:val="0"/>
              <w:jc w:val="center"/>
              <w:rPr>
                <w:color w:val="000000" w:themeColor="text1"/>
                <w:szCs w:val="21"/>
                <w14:textFill>
                  <w14:solidFill>
                    <w14:schemeClr w14:val="tx1"/>
                  </w14:solidFill>
                </w14:textFill>
              </w:rPr>
            </w:pPr>
            <w:r>
              <w:rPr>
                <w:bCs/>
                <w:color w:val="000000" w:themeColor="text1"/>
                <w:spacing w:val="-10"/>
                <w:szCs w:val="21"/>
                <w14:textFill>
                  <w14:solidFill>
                    <w14:schemeClr w14:val="tx1"/>
                  </w14:solidFill>
                </w14:textFill>
              </w:rPr>
              <w:t>定期外售资源回收公司</w:t>
            </w:r>
          </w:p>
        </w:tc>
        <w:tc>
          <w:tcPr>
            <w:tcW w:w="1757" w:type="dxa"/>
            <w:vMerge w:val="restart"/>
            <w:vAlign w:val="center"/>
          </w:tcPr>
          <w:p w14:paraId="21C850EE">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处置率100%</w:t>
            </w:r>
          </w:p>
        </w:tc>
      </w:tr>
      <w:tr w14:paraId="40165D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778" w:type="dxa"/>
            <w:vMerge w:val="continue"/>
            <w:vAlign w:val="center"/>
          </w:tcPr>
          <w:p w14:paraId="750EAC41">
            <w:pPr>
              <w:adjustRightInd w:val="0"/>
              <w:snapToGrid w:val="0"/>
              <w:jc w:val="center"/>
              <w:rPr>
                <w:color w:val="000000" w:themeColor="text1"/>
                <w14:textFill>
                  <w14:solidFill>
                    <w14:schemeClr w14:val="tx1"/>
                  </w14:solidFill>
                </w14:textFill>
              </w:rPr>
            </w:pPr>
          </w:p>
        </w:tc>
        <w:tc>
          <w:tcPr>
            <w:tcW w:w="1755" w:type="dxa"/>
            <w:vMerge w:val="continue"/>
            <w:vAlign w:val="center"/>
          </w:tcPr>
          <w:p w14:paraId="78F60C62">
            <w:pPr>
              <w:adjustRightInd w:val="0"/>
              <w:snapToGrid w:val="0"/>
              <w:jc w:val="center"/>
              <w:rPr>
                <w:color w:val="000000" w:themeColor="text1"/>
                <w14:textFill>
                  <w14:solidFill>
                    <w14:schemeClr w14:val="tx1"/>
                  </w14:solidFill>
                </w14:textFill>
              </w:rPr>
            </w:pPr>
          </w:p>
        </w:tc>
        <w:tc>
          <w:tcPr>
            <w:tcW w:w="1755" w:type="dxa"/>
            <w:vAlign w:val="center"/>
          </w:tcPr>
          <w:p w14:paraId="692204C7">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收尘灰</w:t>
            </w:r>
          </w:p>
        </w:tc>
        <w:tc>
          <w:tcPr>
            <w:tcW w:w="1755" w:type="dxa"/>
            <w:vAlign w:val="center"/>
          </w:tcPr>
          <w:p w14:paraId="7550CD74">
            <w:pPr>
              <w:adjustRightInd w:val="0"/>
              <w:snapToGrid w:val="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统一收集后回用于生产</w:t>
            </w:r>
          </w:p>
        </w:tc>
        <w:tc>
          <w:tcPr>
            <w:tcW w:w="1757" w:type="dxa"/>
            <w:vMerge w:val="continue"/>
            <w:vAlign w:val="center"/>
          </w:tcPr>
          <w:p w14:paraId="5A3994A6">
            <w:pPr>
              <w:adjustRightInd w:val="0"/>
              <w:snapToGrid w:val="0"/>
              <w:jc w:val="center"/>
              <w:rPr>
                <w:color w:val="000000" w:themeColor="text1"/>
                <w:szCs w:val="21"/>
                <w14:textFill>
                  <w14:solidFill>
                    <w14:schemeClr w14:val="tx1"/>
                  </w14:solidFill>
                </w14:textFill>
              </w:rPr>
            </w:pPr>
          </w:p>
        </w:tc>
      </w:tr>
      <w:tr w14:paraId="386AB4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778" w:type="dxa"/>
            <w:vMerge w:val="continue"/>
            <w:vAlign w:val="center"/>
          </w:tcPr>
          <w:p w14:paraId="714CB33B">
            <w:pPr>
              <w:adjustRightInd w:val="0"/>
              <w:snapToGrid w:val="0"/>
              <w:jc w:val="center"/>
              <w:rPr>
                <w:color w:val="000000" w:themeColor="text1"/>
                <w:szCs w:val="21"/>
                <w14:textFill>
                  <w14:solidFill>
                    <w14:schemeClr w14:val="tx1"/>
                  </w14:solidFill>
                </w14:textFill>
              </w:rPr>
            </w:pPr>
          </w:p>
        </w:tc>
        <w:tc>
          <w:tcPr>
            <w:tcW w:w="1755" w:type="dxa"/>
            <w:vAlign w:val="center"/>
          </w:tcPr>
          <w:p w14:paraId="135529E1">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生活</w:t>
            </w:r>
          </w:p>
        </w:tc>
        <w:tc>
          <w:tcPr>
            <w:tcW w:w="1755" w:type="dxa"/>
            <w:vAlign w:val="center"/>
          </w:tcPr>
          <w:p w14:paraId="71384962">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生活垃圾</w:t>
            </w:r>
          </w:p>
        </w:tc>
        <w:tc>
          <w:tcPr>
            <w:tcW w:w="1755" w:type="dxa"/>
            <w:vMerge w:val="restart"/>
            <w:vAlign w:val="center"/>
          </w:tcPr>
          <w:p w14:paraId="2E366822">
            <w:pPr>
              <w:adjustRightInd w:val="0"/>
              <w:snapToGrid w:val="0"/>
              <w:jc w:val="center"/>
              <w:rPr>
                <w:color w:val="000000" w:themeColor="text1"/>
                <w:szCs w:val="21"/>
                <w14:textFill>
                  <w14:solidFill>
                    <w14:schemeClr w14:val="tx1"/>
                  </w14:solidFill>
                </w14:textFill>
              </w:rPr>
            </w:pPr>
            <w:r>
              <w:rPr>
                <w:bCs/>
                <w:color w:val="000000" w:themeColor="text1"/>
                <w:spacing w:val="-10"/>
                <w:szCs w:val="21"/>
                <w14:textFill>
                  <w14:solidFill>
                    <w14:schemeClr w14:val="tx1"/>
                  </w14:solidFill>
                </w14:textFill>
              </w:rPr>
              <w:t>定期外售资源回收公司</w:t>
            </w:r>
          </w:p>
        </w:tc>
        <w:tc>
          <w:tcPr>
            <w:tcW w:w="1757" w:type="dxa"/>
            <w:vMerge w:val="continue"/>
            <w:vAlign w:val="center"/>
          </w:tcPr>
          <w:p w14:paraId="4FC0065E">
            <w:pPr>
              <w:adjustRightInd w:val="0"/>
              <w:snapToGrid w:val="0"/>
              <w:jc w:val="center"/>
              <w:rPr>
                <w:color w:val="000000" w:themeColor="text1"/>
                <w:szCs w:val="21"/>
                <w14:textFill>
                  <w14:solidFill>
                    <w14:schemeClr w14:val="tx1"/>
                  </w14:solidFill>
                </w14:textFill>
              </w:rPr>
            </w:pPr>
          </w:p>
        </w:tc>
      </w:tr>
      <w:tr w14:paraId="15CC26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778" w:type="dxa"/>
            <w:vMerge w:val="continue"/>
            <w:vAlign w:val="center"/>
          </w:tcPr>
          <w:p w14:paraId="2F1B743F">
            <w:pPr>
              <w:adjustRightInd w:val="0"/>
              <w:snapToGrid w:val="0"/>
              <w:jc w:val="center"/>
              <w:rPr>
                <w:color w:val="000000" w:themeColor="text1"/>
                <w:szCs w:val="21"/>
                <w14:textFill>
                  <w14:solidFill>
                    <w14:schemeClr w14:val="tx1"/>
                  </w14:solidFill>
                </w14:textFill>
              </w:rPr>
            </w:pPr>
          </w:p>
        </w:tc>
        <w:tc>
          <w:tcPr>
            <w:tcW w:w="1755" w:type="dxa"/>
            <w:vAlign w:val="center"/>
          </w:tcPr>
          <w:p w14:paraId="00F9BD4D">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机修</w:t>
            </w:r>
          </w:p>
        </w:tc>
        <w:tc>
          <w:tcPr>
            <w:tcW w:w="1755" w:type="dxa"/>
            <w:vAlign w:val="center"/>
          </w:tcPr>
          <w:p w14:paraId="7EF8A21C">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废机油</w:t>
            </w:r>
          </w:p>
        </w:tc>
        <w:tc>
          <w:tcPr>
            <w:tcW w:w="1755" w:type="dxa"/>
            <w:vAlign w:val="center"/>
          </w:tcPr>
          <w:p w14:paraId="701E1550">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统一收集后暂存于危险废物暂存间，委托资质单位清运处置</w:t>
            </w:r>
          </w:p>
        </w:tc>
        <w:tc>
          <w:tcPr>
            <w:tcW w:w="1757" w:type="dxa"/>
            <w:vMerge w:val="continue"/>
            <w:vAlign w:val="center"/>
          </w:tcPr>
          <w:p w14:paraId="2434F340">
            <w:pPr>
              <w:adjustRightInd w:val="0"/>
              <w:snapToGrid w:val="0"/>
              <w:jc w:val="center"/>
              <w:rPr>
                <w:color w:val="000000" w:themeColor="text1"/>
                <w:szCs w:val="21"/>
                <w14:textFill>
                  <w14:solidFill>
                    <w14:schemeClr w14:val="tx1"/>
                  </w14:solidFill>
                </w14:textFill>
              </w:rPr>
            </w:pPr>
          </w:p>
        </w:tc>
      </w:tr>
      <w:tr w14:paraId="19A33C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778" w:type="dxa"/>
            <w:vAlign w:val="center"/>
          </w:tcPr>
          <w:p w14:paraId="0F7C8C7B">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土壤及地下水</w:t>
            </w:r>
          </w:p>
          <w:p w14:paraId="04FCF89D">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污染防治措施</w:t>
            </w:r>
          </w:p>
        </w:tc>
        <w:tc>
          <w:tcPr>
            <w:tcW w:w="7022" w:type="dxa"/>
            <w:gridSpan w:val="4"/>
            <w:vAlign w:val="center"/>
          </w:tcPr>
          <w:p w14:paraId="5F5D380A">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简易防渗：</w:t>
            </w:r>
            <w:r>
              <w:rPr>
                <w:rFonts w:hint="eastAsia" w:eastAsiaTheme="minorEastAsia"/>
                <w:color w:val="000000" w:themeColor="text1"/>
                <w14:textFill>
                  <w14:solidFill>
                    <w14:schemeClr w14:val="tx1"/>
                  </w14:solidFill>
                </w14:textFill>
              </w:rPr>
              <w:t>除重点防渗区、一般防渗区外的其他区域</w:t>
            </w:r>
            <w:r>
              <w:rPr>
                <w:rFonts w:eastAsiaTheme="minorEastAsia"/>
                <w:color w:val="000000" w:themeColor="text1"/>
                <w14:textFill>
                  <w14:solidFill>
                    <w14:schemeClr w14:val="tx1"/>
                  </w14:solidFill>
                </w14:textFill>
              </w:rPr>
              <w:t>，进行地面硬化即可。</w:t>
            </w:r>
          </w:p>
          <w:p w14:paraId="4785ADFE">
            <w:pPr>
              <w:rPr>
                <w:rFonts w:eastAsiaTheme="minorEastAsia"/>
                <w:color w:val="000000" w:themeColor="text1"/>
                <w14:textFill>
                  <w14:solidFill>
                    <w14:schemeClr w14:val="tx1"/>
                  </w14:solidFill>
                </w14:textFill>
              </w:rPr>
            </w:pPr>
            <w:r>
              <w:rPr>
                <w:rFonts w:eastAsiaTheme="minorEastAsia"/>
                <w:color w:val="000000" w:themeColor="text1"/>
                <w14:textFill>
                  <w14:solidFill>
                    <w14:schemeClr w14:val="tx1"/>
                  </w14:solidFill>
                </w14:textFill>
              </w:rPr>
              <w:t>一般防渗区：</w:t>
            </w:r>
            <w:r>
              <w:rPr>
                <w:rFonts w:hint="eastAsia" w:eastAsiaTheme="minorEastAsia"/>
                <w:color w:val="000000" w:themeColor="text1"/>
                <w14:textFill>
                  <w14:solidFill>
                    <w14:schemeClr w14:val="tx1"/>
                  </w14:solidFill>
                </w14:textFill>
              </w:rPr>
              <w:t>原料库、一般固废暂存库、初期雨水收集池、渗滤液收集池、发酵区</w:t>
            </w:r>
            <w:r>
              <w:rPr>
                <w:rFonts w:eastAsiaTheme="minorEastAsia"/>
                <w:color w:val="000000" w:themeColor="text1"/>
                <w14:textFill>
                  <w14:solidFill>
                    <w14:schemeClr w14:val="tx1"/>
                  </w14:solidFill>
                </w14:textFill>
              </w:rPr>
              <w:t>，防渗要求：渗透系数≤10</w:t>
            </w:r>
            <w:r>
              <w:rPr>
                <w:rFonts w:eastAsiaTheme="minorEastAsia"/>
                <w:color w:val="000000" w:themeColor="text1"/>
                <w:vertAlign w:val="superscript"/>
                <w14:textFill>
                  <w14:solidFill>
                    <w14:schemeClr w14:val="tx1"/>
                  </w14:solidFill>
                </w14:textFill>
              </w:rPr>
              <w:t>-7</w:t>
            </w:r>
            <w:r>
              <w:rPr>
                <w:rFonts w:eastAsiaTheme="minorEastAsia"/>
                <w:color w:val="000000" w:themeColor="text1"/>
                <w14:textFill>
                  <w14:solidFill>
                    <w14:schemeClr w14:val="tx1"/>
                  </w14:solidFill>
                </w14:textFill>
              </w:rPr>
              <w:t>cm/s，等效黏土防渗层Mb≥1.5m。施工时采用</w:t>
            </w:r>
            <w:r>
              <w:rPr>
                <w:rFonts w:hint="eastAsia" w:eastAsiaTheme="minorEastAsia"/>
                <w:color w:val="000000" w:themeColor="text1"/>
                <w14:textFill>
                  <w14:solidFill>
                    <w14:schemeClr w14:val="tx1"/>
                  </w14:solidFill>
                </w14:textFill>
              </w:rPr>
              <w:t>具有同等隔水效力的其他人工防渗衬层进行防渗</w:t>
            </w:r>
            <w:r>
              <w:rPr>
                <w:rFonts w:eastAsiaTheme="minorEastAsia"/>
                <w:color w:val="000000" w:themeColor="text1"/>
                <w14:textFill>
                  <w14:solidFill>
                    <w14:schemeClr w14:val="tx1"/>
                  </w14:solidFill>
                </w14:textFill>
              </w:rPr>
              <w:t>。</w:t>
            </w:r>
          </w:p>
          <w:p w14:paraId="09FA8AB5">
            <w:pPr>
              <w:adjustRightInd w:val="0"/>
              <w:snapToGrid w:val="0"/>
              <w:rPr>
                <w:color w:val="000000" w:themeColor="text1"/>
                <w:szCs w:val="21"/>
                <w14:textFill>
                  <w14:solidFill>
                    <w14:schemeClr w14:val="tx1"/>
                  </w14:solidFill>
                </w14:textFill>
              </w:rPr>
            </w:pPr>
            <w:r>
              <w:rPr>
                <w:rFonts w:eastAsiaTheme="minorEastAsia"/>
                <w:color w:val="000000" w:themeColor="text1"/>
                <w14:textFill>
                  <w14:solidFill>
                    <w14:schemeClr w14:val="tx1"/>
                  </w14:solidFill>
                </w14:textFill>
              </w:rPr>
              <w:t>重点防渗区：</w:t>
            </w:r>
            <w:r>
              <w:rPr>
                <w:rFonts w:hint="eastAsia" w:eastAsiaTheme="minorEastAsia"/>
                <w:color w:val="000000" w:themeColor="text1"/>
                <w14:textFill>
                  <w14:solidFill>
                    <w14:schemeClr w14:val="tx1"/>
                  </w14:solidFill>
                </w14:textFill>
              </w:rPr>
              <w:t>危废暂存库</w:t>
            </w:r>
            <w:r>
              <w:rPr>
                <w:rFonts w:eastAsiaTheme="minorEastAsia"/>
                <w:color w:val="000000" w:themeColor="text1"/>
                <w14:textFill>
                  <w14:solidFill>
                    <w14:schemeClr w14:val="tx1"/>
                  </w14:solidFill>
                </w14:textFill>
              </w:rPr>
              <w:t>，防渗要求：渗透系数≤10</w:t>
            </w:r>
            <w:r>
              <w:rPr>
                <w:rFonts w:eastAsiaTheme="minorEastAsia"/>
                <w:color w:val="000000" w:themeColor="text1"/>
                <w:vertAlign w:val="superscript"/>
                <w14:textFill>
                  <w14:solidFill>
                    <w14:schemeClr w14:val="tx1"/>
                  </w14:solidFill>
                </w14:textFill>
              </w:rPr>
              <w:t>-10</w:t>
            </w:r>
            <w:r>
              <w:rPr>
                <w:rFonts w:eastAsiaTheme="minorEastAsia"/>
                <w:color w:val="000000" w:themeColor="text1"/>
                <w14:textFill>
                  <w14:solidFill>
                    <w14:schemeClr w14:val="tx1"/>
                  </w14:solidFill>
                </w14:textFill>
              </w:rPr>
              <w:t>cm/s，等效黏土防渗层Mb≥6.0m。施工时采用</w:t>
            </w:r>
            <w:r>
              <w:rPr>
                <w:rFonts w:hint="eastAsia" w:eastAsiaTheme="minorEastAsia"/>
                <w:color w:val="000000" w:themeColor="text1"/>
                <w14:textFill>
                  <w14:solidFill>
                    <w14:schemeClr w14:val="tx1"/>
                  </w14:solidFill>
                </w14:textFill>
              </w:rPr>
              <w:t>至少2 mm 厚高密度聚乙烯膜等人工防渗材料（渗透系数不大于10</w:t>
            </w:r>
            <w:r>
              <w:rPr>
                <w:rFonts w:hint="eastAsia" w:eastAsiaTheme="minorEastAsia"/>
                <w:color w:val="000000" w:themeColor="text1"/>
                <w:vertAlign w:val="superscript"/>
                <w14:textFill>
                  <w14:solidFill>
                    <w14:schemeClr w14:val="tx1"/>
                  </w14:solidFill>
                </w14:textFill>
              </w:rPr>
              <w:t xml:space="preserve">-10 </w:t>
            </w:r>
            <w:r>
              <w:rPr>
                <w:rFonts w:hint="eastAsia" w:eastAsiaTheme="minorEastAsia"/>
                <w:color w:val="000000" w:themeColor="text1"/>
                <w14:textFill>
                  <w14:solidFill>
                    <w14:schemeClr w14:val="tx1"/>
                  </w14:solidFill>
                </w14:textFill>
              </w:rPr>
              <w:t>cm/s），或其他防渗性能等效的材料</w:t>
            </w:r>
            <w:r>
              <w:rPr>
                <w:rFonts w:eastAsiaTheme="minorEastAsia"/>
                <w:color w:val="000000" w:themeColor="text1"/>
                <w14:textFill>
                  <w14:solidFill>
                    <w14:schemeClr w14:val="tx1"/>
                  </w14:solidFill>
                </w14:textFill>
              </w:rPr>
              <w:t>。</w:t>
            </w:r>
          </w:p>
        </w:tc>
      </w:tr>
      <w:tr w14:paraId="78D0FB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778" w:type="dxa"/>
            <w:vAlign w:val="center"/>
          </w:tcPr>
          <w:p w14:paraId="15083DA3">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生态保护措施</w:t>
            </w:r>
          </w:p>
        </w:tc>
        <w:tc>
          <w:tcPr>
            <w:tcW w:w="7022" w:type="dxa"/>
            <w:gridSpan w:val="4"/>
            <w:vAlign w:val="center"/>
          </w:tcPr>
          <w:p w14:paraId="3FA051E1">
            <w:pPr>
              <w:adjustRightInd w:val="0"/>
              <w:snapToGrid w:val="0"/>
              <w:jc w:val="center"/>
              <w:rPr>
                <w:color w:val="000000" w:themeColor="text1"/>
                <w:szCs w:val="21"/>
                <w14:textFill>
                  <w14:solidFill>
                    <w14:schemeClr w14:val="tx1"/>
                  </w14:solidFill>
                </w14:textFill>
              </w:rPr>
            </w:pPr>
            <w:r>
              <w:rPr>
                <w:color w:val="000000" w:themeColor="text1"/>
                <w:szCs w:val="21"/>
                <w14:textFill>
                  <w14:solidFill>
                    <w14:schemeClr w14:val="tx1"/>
                  </w14:solidFill>
                </w14:textFill>
              </w:rPr>
              <w:t>/</w:t>
            </w:r>
          </w:p>
        </w:tc>
      </w:tr>
      <w:tr w14:paraId="30EEA0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778" w:type="dxa"/>
            <w:vAlign w:val="center"/>
          </w:tcPr>
          <w:p w14:paraId="662B4DBC">
            <w:pPr>
              <w:adjustRightInd w:val="0"/>
              <w:snapToGrid w:val="0"/>
              <w:jc w:val="center"/>
              <w:rPr>
                <w:color w:val="000000" w:themeColor="text1"/>
                <w:spacing w:val="-8"/>
                <w:szCs w:val="21"/>
                <w14:textFill>
                  <w14:solidFill>
                    <w14:schemeClr w14:val="tx1"/>
                  </w14:solidFill>
                </w14:textFill>
              </w:rPr>
            </w:pPr>
            <w:r>
              <w:rPr>
                <w:color w:val="000000" w:themeColor="text1"/>
                <w:spacing w:val="-8"/>
                <w:szCs w:val="21"/>
                <w14:textFill>
                  <w14:solidFill>
                    <w14:schemeClr w14:val="tx1"/>
                  </w14:solidFill>
                </w14:textFill>
              </w:rPr>
              <w:t>环境风险</w:t>
            </w:r>
          </w:p>
          <w:p w14:paraId="5EE9DF2C">
            <w:pPr>
              <w:adjustRightInd w:val="0"/>
              <w:snapToGrid w:val="0"/>
              <w:jc w:val="center"/>
              <w:rPr>
                <w:color w:val="000000" w:themeColor="text1"/>
                <w:spacing w:val="-8"/>
                <w:szCs w:val="21"/>
                <w14:textFill>
                  <w14:solidFill>
                    <w14:schemeClr w14:val="tx1"/>
                  </w14:solidFill>
                </w14:textFill>
              </w:rPr>
            </w:pPr>
            <w:r>
              <w:rPr>
                <w:color w:val="000000" w:themeColor="text1"/>
                <w:spacing w:val="-8"/>
                <w:szCs w:val="21"/>
                <w14:textFill>
                  <w14:solidFill>
                    <w14:schemeClr w14:val="tx1"/>
                  </w14:solidFill>
                </w14:textFill>
              </w:rPr>
              <w:t>防范措施</w:t>
            </w:r>
          </w:p>
        </w:tc>
        <w:tc>
          <w:tcPr>
            <w:tcW w:w="7022" w:type="dxa"/>
            <w:gridSpan w:val="4"/>
            <w:vAlign w:val="center"/>
          </w:tcPr>
          <w:p w14:paraId="12C00678">
            <w:pPr>
              <w:pStyle w:val="63"/>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（1）泄漏事故风险防范措施</w:t>
            </w:r>
          </w:p>
          <w:p w14:paraId="5CE26747">
            <w:pPr>
              <w:pStyle w:val="63"/>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①废矿物油收集桶发生渗漏，应及时将收集桶内的废矿物油抽到备用油桶内，防止废矿物油漫流，现场抢险组应及时清除泄漏区内可能引起火灾的物品，同时投加沙土或锯末覆盖泄漏区，将吸附后的废物收集于容器内后，按有关规定作为危险废物交由资质单位回收处置。</w:t>
            </w:r>
          </w:p>
          <w:p w14:paraId="73082317">
            <w:pPr>
              <w:pStyle w:val="63"/>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②加强废气治理设施巡查，做好废气定期监测工作，防止因故障导致的环境污染问题。           </w:t>
            </w:r>
          </w:p>
          <w:p w14:paraId="4F604748">
            <w:pPr>
              <w:pStyle w:val="63"/>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③严格按照施工质量控制标准要求施工，防止防渗膜破损；</w:t>
            </w:r>
          </w:p>
          <w:p w14:paraId="07113A0D">
            <w:pPr>
              <w:pStyle w:val="63"/>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④废机油设置单独的储存容器，并定期将废机油交由有资质单位进行处理。</w:t>
            </w:r>
          </w:p>
          <w:p w14:paraId="3C055D34">
            <w:pPr>
              <w:pStyle w:val="63"/>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⑥危险废物暂存间需满足“三防”（防渗漏、防雨淋、防流失）要求，并设置标识牌。</w:t>
            </w:r>
          </w:p>
          <w:p w14:paraId="3023C1F1">
            <w:pPr>
              <w:pStyle w:val="63"/>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6、废机油产生及处置须记录有台账，废矿物油到一定量时应及时委托有资质单位处置。</w:t>
            </w:r>
          </w:p>
          <w:p w14:paraId="0F284474">
            <w:pPr>
              <w:pStyle w:val="63"/>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（2）火灾事故风险防范措施</w:t>
            </w:r>
          </w:p>
          <w:p w14:paraId="5B502F24">
            <w:pPr>
              <w:pStyle w:val="63"/>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①按规范使用各类电器设备，避免漏电、短路、过流、过载、过热等而造成的绝缘失效或线路着火，定期检查厂房内的电源、线路，对老化电线及时更换。</w:t>
            </w:r>
          </w:p>
          <w:p w14:paraId="2F97E0AD">
            <w:pPr>
              <w:pStyle w:val="63"/>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②禁止在废机油等存放处有明火、吸烟、焊接等，危废暂存库应在显眼位置设置禁火标识。</w:t>
            </w:r>
          </w:p>
          <w:p w14:paraId="632E685A">
            <w:pPr>
              <w:pStyle w:val="63"/>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③定期对操作人员进行安全生产与安全知识培训，并制定严格的安全操作规程，切实加强生产过程中的安全控制，保证劳动安全，防止意外事故的发生。</w:t>
            </w:r>
          </w:p>
          <w:p w14:paraId="73A68AB2">
            <w:pPr>
              <w:pStyle w:val="63"/>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（3）废气处置设施防损措施</w:t>
            </w:r>
          </w:p>
          <w:p w14:paraId="728168F5">
            <w:pPr>
              <w:pStyle w:val="63"/>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①加强设备日常的维护和管理，定期对废气处置设施的各类设备进行保养、检查和维修。</w:t>
            </w:r>
          </w:p>
          <w:p w14:paraId="5559A22B">
            <w:pPr>
              <w:pStyle w:val="63"/>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②进行安全化管理来改善设备的安全性、改进工艺的安全性；完善标准及操作规程，定期进行安全检查。</w:t>
            </w:r>
          </w:p>
          <w:p w14:paraId="265E931A">
            <w:pPr>
              <w:pStyle w:val="63"/>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③进一步加强职工的岗位操作培训，提高职工的安全意识和风险防范能力，规范操作，将安全隐患降到最低。</w:t>
            </w:r>
          </w:p>
          <w:p w14:paraId="20988581">
            <w:pPr>
              <w:pStyle w:val="63"/>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（4）废水处置防治措施</w:t>
            </w:r>
          </w:p>
          <w:p w14:paraId="16766074">
            <w:pPr>
              <w:pStyle w:val="63"/>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①废水收集、储存设施进行防渗措施，定期安排专人负责收集池的管理；</w:t>
            </w:r>
          </w:p>
          <w:p w14:paraId="74A8F43D">
            <w:pPr>
              <w:pStyle w:val="63"/>
              <w:rPr>
                <w:color w:val="000000" w:themeColor="text1"/>
                <w14:textFill>
                  <w14:solidFill>
                    <w14:schemeClr w14:val="tx1"/>
                  </w14:solidFill>
                </w14:textFill>
              </w:rPr>
            </w:pPr>
            <w:r>
              <w:rPr>
                <w:color w:val="000000" w:themeColor="text1"/>
                <w:sz w:val="21"/>
                <w:szCs w:val="21"/>
                <w14:textFill>
                  <w14:solidFill>
                    <w14:schemeClr w14:val="tx1"/>
                  </w14:solidFill>
                </w14:textFill>
              </w:rPr>
              <w:t>②废水收集后及时回用于生产，禁止外排。</w:t>
            </w:r>
          </w:p>
        </w:tc>
      </w:tr>
      <w:tr w14:paraId="5A9F96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778" w:type="dxa"/>
            <w:vAlign w:val="center"/>
          </w:tcPr>
          <w:p w14:paraId="027E2C1E">
            <w:pPr>
              <w:adjustRightInd w:val="0"/>
              <w:snapToGrid w:val="0"/>
              <w:jc w:val="center"/>
              <w:rPr>
                <w:color w:val="000000" w:themeColor="text1"/>
                <w:spacing w:val="-8"/>
                <w:szCs w:val="21"/>
                <w14:textFill>
                  <w14:solidFill>
                    <w14:schemeClr w14:val="tx1"/>
                  </w14:solidFill>
                </w14:textFill>
              </w:rPr>
            </w:pPr>
            <w:r>
              <w:rPr>
                <w:color w:val="000000" w:themeColor="text1"/>
                <w:spacing w:val="-8"/>
                <w:szCs w:val="21"/>
                <w14:textFill>
                  <w14:solidFill>
                    <w14:schemeClr w14:val="tx1"/>
                  </w14:solidFill>
                </w14:textFill>
              </w:rPr>
              <w:t>其他环境</w:t>
            </w:r>
          </w:p>
          <w:p w14:paraId="434DB41F">
            <w:pPr>
              <w:adjustRightInd w:val="0"/>
              <w:snapToGrid w:val="0"/>
              <w:jc w:val="center"/>
              <w:rPr>
                <w:color w:val="000000" w:themeColor="text1"/>
                <w:spacing w:val="-8"/>
                <w:szCs w:val="21"/>
                <w14:textFill>
                  <w14:solidFill>
                    <w14:schemeClr w14:val="tx1"/>
                  </w14:solidFill>
                </w14:textFill>
              </w:rPr>
            </w:pPr>
            <w:r>
              <w:rPr>
                <w:color w:val="000000" w:themeColor="text1"/>
                <w:spacing w:val="-8"/>
                <w:szCs w:val="21"/>
                <w14:textFill>
                  <w14:solidFill>
                    <w14:schemeClr w14:val="tx1"/>
                  </w14:solidFill>
                </w14:textFill>
              </w:rPr>
              <w:t>管理要求</w:t>
            </w:r>
          </w:p>
        </w:tc>
        <w:tc>
          <w:tcPr>
            <w:tcW w:w="7022" w:type="dxa"/>
            <w:gridSpan w:val="4"/>
            <w:vAlign w:val="center"/>
          </w:tcPr>
          <w:p w14:paraId="457E0823">
            <w:pPr>
              <w:pStyle w:val="16"/>
              <w:rPr>
                <w:color w:val="000000" w:themeColor="text1"/>
                <w:kern w:val="2"/>
                <w:sz w:val="21"/>
                <w:szCs w:val="21"/>
                <w14:textFill>
                  <w14:solidFill>
                    <w14:schemeClr w14:val="tx1"/>
                  </w14:solidFill>
                </w14:textFill>
              </w:rPr>
            </w:pPr>
            <w:r>
              <w:rPr>
                <w:color w:val="000000" w:themeColor="text1"/>
                <w:kern w:val="2"/>
                <w:sz w:val="21"/>
                <w:szCs w:val="21"/>
                <w14:textFill>
                  <w14:solidFill>
                    <w14:schemeClr w14:val="tx1"/>
                  </w14:solidFill>
                </w14:textFill>
              </w:rPr>
              <w:t>1、加强生产管理和设备设施的日常维护及监控工作。</w:t>
            </w:r>
          </w:p>
          <w:p w14:paraId="6E62AE57">
            <w:pPr>
              <w:pStyle w:val="16"/>
              <w:rPr>
                <w:color w:val="000000" w:themeColor="text1"/>
                <w:kern w:val="2"/>
                <w:sz w:val="21"/>
                <w:szCs w:val="21"/>
                <w14:textFill>
                  <w14:solidFill>
                    <w14:schemeClr w14:val="tx1"/>
                  </w14:solidFill>
                </w14:textFill>
              </w:rPr>
            </w:pPr>
            <w:r>
              <w:rPr>
                <w:color w:val="000000" w:themeColor="text1"/>
                <w:kern w:val="2"/>
                <w:sz w:val="21"/>
                <w:szCs w:val="21"/>
                <w14:textFill>
                  <w14:solidFill>
                    <w14:schemeClr w14:val="tx1"/>
                  </w14:solidFill>
                </w14:textFill>
              </w:rPr>
              <w:t>2、加强环保设施的维护检修，保障环保设施的</w:t>
            </w:r>
            <w:r>
              <w:rPr>
                <w:rFonts w:hint="eastAsia"/>
                <w:color w:val="000000" w:themeColor="text1"/>
                <w:kern w:val="2"/>
                <w:sz w:val="21"/>
                <w:szCs w:val="21"/>
                <w14:textFill>
                  <w14:solidFill>
                    <w14:schemeClr w14:val="tx1"/>
                  </w14:solidFill>
                </w14:textFill>
              </w:rPr>
              <w:t>正常工作</w:t>
            </w:r>
            <w:r>
              <w:rPr>
                <w:color w:val="000000" w:themeColor="text1"/>
                <w:kern w:val="2"/>
                <w:sz w:val="21"/>
                <w:szCs w:val="21"/>
                <w14:textFill>
                  <w14:solidFill>
                    <w14:schemeClr w14:val="tx1"/>
                  </w14:solidFill>
                </w14:textFill>
              </w:rPr>
              <w:t>。</w:t>
            </w:r>
          </w:p>
          <w:p w14:paraId="12C5918B">
            <w:pPr>
              <w:pStyle w:val="16"/>
              <w:rPr>
                <w:color w:val="000000" w:themeColor="text1"/>
                <w:kern w:val="2"/>
                <w:sz w:val="21"/>
                <w:szCs w:val="21"/>
                <w14:textFill>
                  <w14:solidFill>
                    <w14:schemeClr w14:val="tx1"/>
                  </w14:solidFill>
                </w14:textFill>
              </w:rPr>
            </w:pPr>
            <w:r>
              <w:rPr>
                <w:color w:val="000000" w:themeColor="text1"/>
                <w:kern w:val="2"/>
                <w:sz w:val="21"/>
                <w:szCs w:val="21"/>
                <w14:textFill>
                  <w14:solidFill>
                    <w14:schemeClr w14:val="tx1"/>
                  </w14:solidFill>
                </w14:textFill>
              </w:rPr>
              <w:t>3、建立、健全生产环保规章制度。</w:t>
            </w:r>
          </w:p>
          <w:p w14:paraId="28753EC3">
            <w:pPr>
              <w:pStyle w:val="16"/>
              <w:rPr>
                <w:color w:val="000000" w:themeColor="text1"/>
                <w:kern w:val="2"/>
                <w:sz w:val="21"/>
                <w:szCs w:val="21"/>
                <w14:textFill>
                  <w14:solidFill>
                    <w14:schemeClr w14:val="tx1"/>
                  </w14:solidFill>
                </w14:textFill>
              </w:rPr>
            </w:pPr>
            <w:r>
              <w:rPr>
                <w:color w:val="000000" w:themeColor="text1"/>
                <w:kern w:val="2"/>
                <w:sz w:val="21"/>
                <w:szCs w:val="21"/>
                <w14:textFill>
                  <w14:solidFill>
                    <w14:schemeClr w14:val="tx1"/>
                  </w14:solidFill>
                </w14:textFill>
              </w:rPr>
              <w:t>4、严格在岗人员操作管理。</w:t>
            </w:r>
          </w:p>
          <w:p w14:paraId="6BDF5F63">
            <w:pPr>
              <w:pStyle w:val="16"/>
              <w:rPr>
                <w:color w:val="000000" w:themeColor="text1"/>
                <w:kern w:val="2"/>
                <w:sz w:val="21"/>
                <w:szCs w:val="21"/>
                <w14:textFill>
                  <w14:solidFill>
                    <w14:schemeClr w14:val="tx1"/>
                  </w14:solidFill>
                </w14:textFill>
              </w:rPr>
            </w:pPr>
          </w:p>
          <w:p w14:paraId="52F36662">
            <w:pPr>
              <w:pStyle w:val="16"/>
              <w:rPr>
                <w:color w:val="000000" w:themeColor="text1"/>
                <w:kern w:val="2"/>
                <w:sz w:val="21"/>
                <w:szCs w:val="21"/>
                <w14:textFill>
                  <w14:solidFill>
                    <w14:schemeClr w14:val="tx1"/>
                  </w14:solidFill>
                </w14:textFill>
              </w:rPr>
            </w:pPr>
          </w:p>
          <w:p w14:paraId="75F0E800">
            <w:pPr>
              <w:pStyle w:val="16"/>
              <w:rPr>
                <w:color w:val="000000" w:themeColor="text1"/>
                <w:kern w:val="2"/>
                <w:sz w:val="21"/>
                <w:szCs w:val="21"/>
                <w14:textFill>
                  <w14:solidFill>
                    <w14:schemeClr w14:val="tx1"/>
                  </w14:solidFill>
                </w14:textFill>
              </w:rPr>
            </w:pPr>
          </w:p>
          <w:p w14:paraId="62AE2FFF">
            <w:pPr>
              <w:pStyle w:val="16"/>
              <w:rPr>
                <w:color w:val="000000" w:themeColor="text1"/>
                <w:kern w:val="2"/>
                <w:sz w:val="21"/>
                <w:szCs w:val="21"/>
                <w14:textFill>
                  <w14:solidFill>
                    <w14:schemeClr w14:val="tx1"/>
                  </w14:solidFill>
                </w14:textFill>
              </w:rPr>
            </w:pPr>
          </w:p>
          <w:p w14:paraId="77EE82F9">
            <w:pPr>
              <w:pStyle w:val="16"/>
              <w:rPr>
                <w:color w:val="000000" w:themeColor="text1"/>
                <w:kern w:val="2"/>
                <w:sz w:val="21"/>
                <w:szCs w:val="21"/>
                <w14:textFill>
                  <w14:solidFill>
                    <w14:schemeClr w14:val="tx1"/>
                  </w14:solidFill>
                </w14:textFill>
              </w:rPr>
            </w:pPr>
          </w:p>
          <w:p w14:paraId="6C04B44B">
            <w:pPr>
              <w:pStyle w:val="16"/>
              <w:rPr>
                <w:color w:val="000000" w:themeColor="text1"/>
                <w:kern w:val="2"/>
                <w:sz w:val="21"/>
                <w:szCs w:val="21"/>
                <w14:textFill>
                  <w14:solidFill>
                    <w14:schemeClr w14:val="tx1"/>
                  </w14:solidFill>
                </w14:textFill>
              </w:rPr>
            </w:pPr>
          </w:p>
          <w:p w14:paraId="21B7C016">
            <w:pPr>
              <w:pStyle w:val="16"/>
              <w:rPr>
                <w:color w:val="000000" w:themeColor="text1"/>
                <w:kern w:val="2"/>
                <w:sz w:val="21"/>
                <w:szCs w:val="21"/>
                <w14:textFill>
                  <w14:solidFill>
                    <w14:schemeClr w14:val="tx1"/>
                  </w14:solidFill>
                </w14:textFill>
              </w:rPr>
            </w:pPr>
          </w:p>
          <w:p w14:paraId="2B17E9F7">
            <w:pPr>
              <w:pStyle w:val="16"/>
              <w:rPr>
                <w:rFonts w:hint="eastAsia"/>
                <w:color w:val="000000" w:themeColor="text1"/>
                <w:kern w:val="2"/>
                <w:sz w:val="21"/>
                <w:szCs w:val="21"/>
                <w14:textFill>
                  <w14:solidFill>
                    <w14:schemeClr w14:val="tx1"/>
                  </w14:solidFill>
                </w14:textFill>
              </w:rPr>
            </w:pPr>
          </w:p>
          <w:p w14:paraId="0ECF86A7">
            <w:pPr>
              <w:pStyle w:val="16"/>
              <w:rPr>
                <w:rFonts w:hint="eastAsia"/>
                <w:color w:val="000000" w:themeColor="text1"/>
                <w:kern w:val="2"/>
                <w:sz w:val="21"/>
                <w:szCs w:val="21"/>
                <w14:textFill>
                  <w14:solidFill>
                    <w14:schemeClr w14:val="tx1"/>
                  </w14:solidFill>
                </w14:textFill>
              </w:rPr>
            </w:pPr>
          </w:p>
          <w:p w14:paraId="3A8892B1">
            <w:pPr>
              <w:pStyle w:val="16"/>
              <w:rPr>
                <w:rFonts w:hint="eastAsia"/>
                <w:color w:val="000000" w:themeColor="text1"/>
                <w:kern w:val="2"/>
                <w:sz w:val="21"/>
                <w:szCs w:val="21"/>
                <w14:textFill>
                  <w14:solidFill>
                    <w14:schemeClr w14:val="tx1"/>
                  </w14:solidFill>
                </w14:textFill>
              </w:rPr>
            </w:pPr>
          </w:p>
          <w:p w14:paraId="62CEFB0E">
            <w:pPr>
              <w:pStyle w:val="16"/>
              <w:rPr>
                <w:rFonts w:hint="eastAsia"/>
                <w:color w:val="000000" w:themeColor="text1"/>
                <w:kern w:val="2"/>
                <w:sz w:val="21"/>
                <w:szCs w:val="21"/>
                <w14:textFill>
                  <w14:solidFill>
                    <w14:schemeClr w14:val="tx1"/>
                  </w14:solidFill>
                </w14:textFill>
              </w:rPr>
            </w:pPr>
          </w:p>
          <w:p w14:paraId="2CC6722F">
            <w:pPr>
              <w:pStyle w:val="16"/>
              <w:rPr>
                <w:rFonts w:hint="eastAsia"/>
                <w:color w:val="000000" w:themeColor="text1"/>
                <w:kern w:val="2"/>
                <w:sz w:val="21"/>
                <w:szCs w:val="21"/>
                <w14:textFill>
                  <w14:solidFill>
                    <w14:schemeClr w14:val="tx1"/>
                  </w14:solidFill>
                </w14:textFill>
              </w:rPr>
            </w:pPr>
          </w:p>
          <w:p w14:paraId="50B25A45">
            <w:pPr>
              <w:pStyle w:val="16"/>
              <w:rPr>
                <w:rFonts w:hint="eastAsia"/>
                <w:color w:val="000000" w:themeColor="text1"/>
                <w:kern w:val="2"/>
                <w:sz w:val="21"/>
                <w:szCs w:val="21"/>
                <w14:textFill>
                  <w14:solidFill>
                    <w14:schemeClr w14:val="tx1"/>
                  </w14:solidFill>
                </w14:textFill>
              </w:rPr>
            </w:pPr>
          </w:p>
          <w:p w14:paraId="530B78C9">
            <w:pPr>
              <w:pStyle w:val="16"/>
              <w:rPr>
                <w:rFonts w:hint="eastAsia"/>
                <w:color w:val="000000" w:themeColor="text1"/>
                <w:kern w:val="2"/>
                <w:sz w:val="21"/>
                <w:szCs w:val="21"/>
                <w14:textFill>
                  <w14:solidFill>
                    <w14:schemeClr w14:val="tx1"/>
                  </w14:solidFill>
                </w14:textFill>
              </w:rPr>
            </w:pPr>
          </w:p>
          <w:p w14:paraId="43B51F18">
            <w:pPr>
              <w:pStyle w:val="16"/>
              <w:rPr>
                <w:rFonts w:hint="eastAsia"/>
                <w:color w:val="000000" w:themeColor="text1"/>
                <w:kern w:val="2"/>
                <w:sz w:val="21"/>
                <w:szCs w:val="21"/>
                <w14:textFill>
                  <w14:solidFill>
                    <w14:schemeClr w14:val="tx1"/>
                  </w14:solidFill>
                </w14:textFill>
              </w:rPr>
            </w:pPr>
          </w:p>
          <w:p w14:paraId="48D45293">
            <w:pPr>
              <w:pStyle w:val="16"/>
              <w:rPr>
                <w:rFonts w:hint="eastAsia"/>
                <w:color w:val="000000" w:themeColor="text1"/>
                <w:kern w:val="2"/>
                <w:sz w:val="21"/>
                <w:szCs w:val="21"/>
                <w14:textFill>
                  <w14:solidFill>
                    <w14:schemeClr w14:val="tx1"/>
                  </w14:solidFill>
                </w14:textFill>
              </w:rPr>
            </w:pPr>
          </w:p>
          <w:p w14:paraId="552125B5">
            <w:pPr>
              <w:pStyle w:val="16"/>
              <w:rPr>
                <w:rFonts w:hint="eastAsia"/>
                <w:color w:val="000000" w:themeColor="text1"/>
                <w:kern w:val="2"/>
                <w:sz w:val="21"/>
                <w:szCs w:val="21"/>
                <w14:textFill>
                  <w14:solidFill>
                    <w14:schemeClr w14:val="tx1"/>
                  </w14:solidFill>
                </w14:textFill>
              </w:rPr>
            </w:pPr>
          </w:p>
          <w:p w14:paraId="39E2EAF2">
            <w:pPr>
              <w:pStyle w:val="16"/>
              <w:rPr>
                <w:rFonts w:hint="eastAsia"/>
                <w:color w:val="000000" w:themeColor="text1"/>
                <w:kern w:val="2"/>
                <w:sz w:val="21"/>
                <w:szCs w:val="21"/>
                <w14:textFill>
                  <w14:solidFill>
                    <w14:schemeClr w14:val="tx1"/>
                  </w14:solidFill>
                </w14:textFill>
              </w:rPr>
            </w:pPr>
          </w:p>
          <w:p w14:paraId="6AA5443A">
            <w:pPr>
              <w:pStyle w:val="16"/>
              <w:rPr>
                <w:rFonts w:hint="eastAsia"/>
                <w:color w:val="000000" w:themeColor="text1"/>
                <w:kern w:val="2"/>
                <w:sz w:val="21"/>
                <w:szCs w:val="21"/>
                <w14:textFill>
                  <w14:solidFill>
                    <w14:schemeClr w14:val="tx1"/>
                  </w14:solidFill>
                </w14:textFill>
              </w:rPr>
            </w:pPr>
          </w:p>
          <w:p w14:paraId="0489BFA7">
            <w:pPr>
              <w:pStyle w:val="16"/>
              <w:rPr>
                <w:rFonts w:hint="eastAsia"/>
                <w:color w:val="000000" w:themeColor="text1"/>
                <w:kern w:val="2"/>
                <w:sz w:val="21"/>
                <w:szCs w:val="21"/>
                <w14:textFill>
                  <w14:solidFill>
                    <w14:schemeClr w14:val="tx1"/>
                  </w14:solidFill>
                </w14:textFill>
              </w:rPr>
            </w:pPr>
          </w:p>
          <w:p w14:paraId="3037B8E2">
            <w:pPr>
              <w:pStyle w:val="16"/>
              <w:rPr>
                <w:rFonts w:hint="eastAsia"/>
                <w:color w:val="000000" w:themeColor="text1"/>
                <w:kern w:val="2"/>
                <w:sz w:val="21"/>
                <w:szCs w:val="21"/>
                <w14:textFill>
                  <w14:solidFill>
                    <w14:schemeClr w14:val="tx1"/>
                  </w14:solidFill>
                </w14:textFill>
              </w:rPr>
            </w:pPr>
          </w:p>
          <w:p w14:paraId="19D4233B">
            <w:pPr>
              <w:pStyle w:val="16"/>
              <w:rPr>
                <w:rFonts w:hint="eastAsia"/>
                <w:color w:val="000000" w:themeColor="text1"/>
                <w:kern w:val="2"/>
                <w:sz w:val="21"/>
                <w:szCs w:val="21"/>
                <w14:textFill>
                  <w14:solidFill>
                    <w14:schemeClr w14:val="tx1"/>
                  </w14:solidFill>
                </w14:textFill>
              </w:rPr>
            </w:pPr>
          </w:p>
          <w:p w14:paraId="2AC5B2AC">
            <w:pPr>
              <w:pStyle w:val="16"/>
              <w:rPr>
                <w:rFonts w:hint="eastAsia"/>
                <w:color w:val="000000" w:themeColor="text1"/>
                <w:kern w:val="2"/>
                <w:sz w:val="21"/>
                <w:szCs w:val="21"/>
                <w14:textFill>
                  <w14:solidFill>
                    <w14:schemeClr w14:val="tx1"/>
                  </w14:solidFill>
                </w14:textFill>
              </w:rPr>
            </w:pPr>
          </w:p>
          <w:p w14:paraId="1A8C2537">
            <w:pPr>
              <w:pStyle w:val="16"/>
              <w:rPr>
                <w:rFonts w:hint="eastAsia"/>
                <w:color w:val="000000" w:themeColor="text1"/>
                <w:kern w:val="2"/>
                <w:sz w:val="21"/>
                <w:szCs w:val="21"/>
                <w14:textFill>
                  <w14:solidFill>
                    <w14:schemeClr w14:val="tx1"/>
                  </w14:solidFill>
                </w14:textFill>
              </w:rPr>
            </w:pPr>
          </w:p>
          <w:p w14:paraId="52E1AEE7">
            <w:pPr>
              <w:pStyle w:val="16"/>
              <w:rPr>
                <w:rFonts w:hint="eastAsia"/>
                <w:color w:val="000000" w:themeColor="text1"/>
                <w:kern w:val="2"/>
                <w:sz w:val="21"/>
                <w:szCs w:val="21"/>
                <w14:textFill>
                  <w14:solidFill>
                    <w14:schemeClr w14:val="tx1"/>
                  </w14:solidFill>
                </w14:textFill>
              </w:rPr>
            </w:pPr>
          </w:p>
          <w:p w14:paraId="479523FD">
            <w:pPr>
              <w:pStyle w:val="16"/>
              <w:rPr>
                <w:rFonts w:hint="eastAsia"/>
                <w:color w:val="000000" w:themeColor="text1"/>
                <w:kern w:val="2"/>
                <w:sz w:val="21"/>
                <w:szCs w:val="21"/>
                <w14:textFill>
                  <w14:solidFill>
                    <w14:schemeClr w14:val="tx1"/>
                  </w14:solidFill>
                </w14:textFill>
              </w:rPr>
            </w:pPr>
          </w:p>
          <w:p w14:paraId="3485D561">
            <w:pPr>
              <w:pStyle w:val="16"/>
              <w:rPr>
                <w:rFonts w:hint="eastAsia"/>
                <w:color w:val="000000" w:themeColor="text1"/>
                <w:kern w:val="2"/>
                <w:sz w:val="21"/>
                <w:szCs w:val="21"/>
                <w14:textFill>
                  <w14:solidFill>
                    <w14:schemeClr w14:val="tx1"/>
                  </w14:solidFill>
                </w14:textFill>
              </w:rPr>
            </w:pPr>
          </w:p>
          <w:p w14:paraId="4AD1564D">
            <w:pPr>
              <w:pStyle w:val="16"/>
              <w:rPr>
                <w:rFonts w:hint="eastAsia"/>
                <w:color w:val="000000" w:themeColor="text1"/>
                <w:kern w:val="2"/>
                <w:sz w:val="21"/>
                <w:szCs w:val="21"/>
                <w14:textFill>
                  <w14:solidFill>
                    <w14:schemeClr w14:val="tx1"/>
                  </w14:solidFill>
                </w14:textFill>
              </w:rPr>
            </w:pPr>
          </w:p>
          <w:p w14:paraId="258FBB93">
            <w:pPr>
              <w:pStyle w:val="16"/>
              <w:rPr>
                <w:rFonts w:hint="eastAsia"/>
                <w:color w:val="000000" w:themeColor="text1"/>
                <w:kern w:val="2"/>
                <w:sz w:val="21"/>
                <w:szCs w:val="21"/>
                <w14:textFill>
                  <w14:solidFill>
                    <w14:schemeClr w14:val="tx1"/>
                  </w14:solidFill>
                </w14:textFill>
              </w:rPr>
            </w:pPr>
          </w:p>
          <w:p w14:paraId="29282A88">
            <w:pPr>
              <w:pStyle w:val="16"/>
              <w:rPr>
                <w:rFonts w:hint="eastAsia"/>
                <w:color w:val="000000" w:themeColor="text1"/>
                <w:kern w:val="2"/>
                <w:sz w:val="21"/>
                <w:szCs w:val="21"/>
                <w14:textFill>
                  <w14:solidFill>
                    <w14:schemeClr w14:val="tx1"/>
                  </w14:solidFill>
                </w14:textFill>
              </w:rPr>
            </w:pPr>
          </w:p>
          <w:p w14:paraId="22F24A0C">
            <w:pPr>
              <w:pStyle w:val="16"/>
              <w:rPr>
                <w:rFonts w:hint="eastAsia"/>
                <w:color w:val="000000" w:themeColor="text1"/>
                <w:kern w:val="2"/>
                <w:sz w:val="21"/>
                <w:szCs w:val="21"/>
                <w14:textFill>
                  <w14:solidFill>
                    <w14:schemeClr w14:val="tx1"/>
                  </w14:solidFill>
                </w14:textFill>
              </w:rPr>
            </w:pPr>
          </w:p>
          <w:p w14:paraId="66DB6161">
            <w:pPr>
              <w:pStyle w:val="16"/>
              <w:rPr>
                <w:rFonts w:hint="eastAsia"/>
                <w:color w:val="000000" w:themeColor="text1"/>
                <w:kern w:val="2"/>
                <w:sz w:val="21"/>
                <w:szCs w:val="21"/>
                <w14:textFill>
                  <w14:solidFill>
                    <w14:schemeClr w14:val="tx1"/>
                  </w14:solidFill>
                </w14:textFill>
              </w:rPr>
            </w:pPr>
          </w:p>
          <w:p w14:paraId="7EA034D1">
            <w:pPr>
              <w:pStyle w:val="16"/>
              <w:rPr>
                <w:rFonts w:hint="eastAsia"/>
                <w:color w:val="000000" w:themeColor="text1"/>
                <w:kern w:val="2"/>
                <w:sz w:val="21"/>
                <w:szCs w:val="21"/>
                <w14:textFill>
                  <w14:solidFill>
                    <w14:schemeClr w14:val="tx1"/>
                  </w14:solidFill>
                </w14:textFill>
              </w:rPr>
            </w:pPr>
          </w:p>
          <w:p w14:paraId="12A9AEFB">
            <w:pPr>
              <w:pStyle w:val="16"/>
              <w:rPr>
                <w:rFonts w:hint="eastAsia"/>
                <w:color w:val="000000" w:themeColor="text1"/>
                <w:kern w:val="2"/>
                <w:sz w:val="21"/>
                <w:szCs w:val="21"/>
                <w14:textFill>
                  <w14:solidFill>
                    <w14:schemeClr w14:val="tx1"/>
                  </w14:solidFill>
                </w14:textFill>
              </w:rPr>
            </w:pPr>
          </w:p>
          <w:p w14:paraId="0D456E69">
            <w:pPr>
              <w:pStyle w:val="16"/>
              <w:rPr>
                <w:rFonts w:hint="eastAsia"/>
                <w:color w:val="000000" w:themeColor="text1"/>
                <w:kern w:val="2"/>
                <w:sz w:val="21"/>
                <w:szCs w:val="21"/>
                <w14:textFill>
                  <w14:solidFill>
                    <w14:schemeClr w14:val="tx1"/>
                  </w14:solidFill>
                </w14:textFill>
              </w:rPr>
            </w:pPr>
          </w:p>
          <w:p w14:paraId="0ADE8DDC">
            <w:pPr>
              <w:pStyle w:val="16"/>
              <w:rPr>
                <w:rFonts w:hint="eastAsia"/>
                <w:color w:val="000000" w:themeColor="text1"/>
                <w:kern w:val="2"/>
                <w:sz w:val="21"/>
                <w:szCs w:val="21"/>
                <w14:textFill>
                  <w14:solidFill>
                    <w14:schemeClr w14:val="tx1"/>
                  </w14:solidFill>
                </w14:textFill>
              </w:rPr>
            </w:pPr>
          </w:p>
          <w:p w14:paraId="7F741386">
            <w:pPr>
              <w:pStyle w:val="16"/>
              <w:rPr>
                <w:rFonts w:hint="eastAsia"/>
                <w:color w:val="000000" w:themeColor="text1"/>
                <w:kern w:val="2"/>
                <w:sz w:val="21"/>
                <w:szCs w:val="21"/>
                <w14:textFill>
                  <w14:solidFill>
                    <w14:schemeClr w14:val="tx1"/>
                  </w14:solidFill>
                </w14:textFill>
              </w:rPr>
            </w:pPr>
          </w:p>
          <w:p w14:paraId="480FB0EA">
            <w:pPr>
              <w:pStyle w:val="16"/>
              <w:rPr>
                <w:rFonts w:hint="eastAsia"/>
                <w:color w:val="000000" w:themeColor="text1"/>
                <w:kern w:val="2"/>
                <w:sz w:val="21"/>
                <w:szCs w:val="21"/>
                <w14:textFill>
                  <w14:solidFill>
                    <w14:schemeClr w14:val="tx1"/>
                  </w14:solidFill>
                </w14:textFill>
              </w:rPr>
            </w:pPr>
          </w:p>
          <w:p w14:paraId="13DD4ECA">
            <w:pPr>
              <w:pStyle w:val="16"/>
              <w:rPr>
                <w:rFonts w:hint="eastAsia"/>
                <w:color w:val="000000" w:themeColor="text1"/>
                <w:kern w:val="2"/>
                <w:sz w:val="21"/>
                <w:szCs w:val="21"/>
                <w14:textFill>
                  <w14:solidFill>
                    <w14:schemeClr w14:val="tx1"/>
                  </w14:solidFill>
                </w14:textFill>
              </w:rPr>
            </w:pPr>
          </w:p>
          <w:p w14:paraId="33973672">
            <w:pPr>
              <w:pStyle w:val="16"/>
              <w:rPr>
                <w:color w:val="000000" w:themeColor="text1"/>
                <w:kern w:val="2"/>
                <w:sz w:val="21"/>
                <w:szCs w:val="21"/>
                <w14:textFill>
                  <w14:solidFill>
                    <w14:schemeClr w14:val="tx1"/>
                  </w14:solidFill>
                </w14:textFill>
              </w:rPr>
            </w:pPr>
          </w:p>
          <w:p w14:paraId="59857221">
            <w:pPr>
              <w:pStyle w:val="16"/>
              <w:rPr>
                <w:color w:val="000000" w:themeColor="text1"/>
                <w:kern w:val="2"/>
                <w:sz w:val="21"/>
                <w:szCs w:val="21"/>
                <w14:textFill>
                  <w14:solidFill>
                    <w14:schemeClr w14:val="tx1"/>
                  </w14:solidFill>
                </w14:textFill>
              </w:rPr>
            </w:pPr>
          </w:p>
          <w:p w14:paraId="691195B9">
            <w:pPr>
              <w:pStyle w:val="16"/>
              <w:rPr>
                <w:color w:val="000000" w:themeColor="text1"/>
                <w:kern w:val="2"/>
                <w:sz w:val="21"/>
                <w:szCs w:val="21"/>
                <w14:textFill>
                  <w14:solidFill>
                    <w14:schemeClr w14:val="tx1"/>
                  </w14:solidFill>
                </w14:textFill>
              </w:rPr>
            </w:pPr>
          </w:p>
          <w:p w14:paraId="6D1981F4">
            <w:pPr>
              <w:pStyle w:val="16"/>
              <w:rPr>
                <w:color w:val="000000" w:themeColor="text1"/>
                <w14:textFill>
                  <w14:solidFill>
                    <w14:schemeClr w14:val="tx1"/>
                  </w14:solidFill>
                </w14:textFill>
              </w:rPr>
            </w:pPr>
          </w:p>
        </w:tc>
      </w:tr>
    </w:tbl>
    <w:p w14:paraId="1B5284BB">
      <w:pPr>
        <w:pStyle w:val="21"/>
        <w:spacing w:before="120" w:beforeLines="50" w:beforeAutospacing="0" w:after="120" w:afterLines="50" w:afterAutospacing="0"/>
        <w:jc w:val="center"/>
        <w:outlineLvl w:val="0"/>
        <w:rPr>
          <w:rFonts w:ascii="Times New Roman" w:hAnsi="Times New Roman" w:eastAsia="黑体"/>
          <w:snapToGrid w:val="0"/>
          <w:color w:val="000000" w:themeColor="text1"/>
          <w:sz w:val="30"/>
          <w:szCs w:val="30"/>
          <w14:textFill>
            <w14:solidFill>
              <w14:schemeClr w14:val="tx1"/>
            </w14:solidFill>
          </w14:textFill>
        </w:rPr>
      </w:pPr>
      <w:r>
        <w:rPr>
          <w:rFonts w:ascii="Times New Roman" w:hAnsi="Times New Roman"/>
          <w:snapToGrid w:val="0"/>
          <w:color w:val="000000" w:themeColor="text1"/>
          <w14:textFill>
            <w14:solidFill>
              <w14:schemeClr w14:val="tx1"/>
            </w14:solidFill>
          </w14:textFill>
        </w:rPr>
        <w:br w:type="page"/>
      </w:r>
      <w:bookmarkStart w:id="37" w:name="_Toc17513"/>
      <w:r>
        <w:rPr>
          <w:rFonts w:ascii="Times New Roman" w:hAnsi="Times New Roman" w:eastAsia="黑体"/>
          <w:snapToGrid w:val="0"/>
          <w:color w:val="000000" w:themeColor="text1"/>
          <w:sz w:val="30"/>
          <w:szCs w:val="30"/>
          <w14:textFill>
            <w14:solidFill>
              <w14:schemeClr w14:val="tx1"/>
            </w14:solidFill>
          </w14:textFill>
        </w:rPr>
        <w:t>六、结论</w:t>
      </w:r>
      <w:bookmarkEnd w:id="37"/>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6AFEFB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tcPr>
          <w:p w14:paraId="6E18652F">
            <w:pPr>
              <w:adjustRightInd w:val="0"/>
              <w:snapToGri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本项目为</w:t>
            </w:r>
            <w:r>
              <w:rPr>
                <w:rFonts w:hint="eastAsia"/>
                <w:color w:val="000000" w:themeColor="text1"/>
                <w:sz w:val="24"/>
                <w14:textFill>
                  <w14:solidFill>
                    <w14:schemeClr w14:val="tx1"/>
                  </w14:solidFill>
                </w14:textFill>
              </w:rPr>
              <w:t>肥料制造项目</w:t>
            </w:r>
            <w:r>
              <w:rPr>
                <w:color w:val="000000" w:themeColor="text1"/>
                <w:sz w:val="24"/>
                <w14:textFill>
                  <w14:solidFill>
                    <w14:schemeClr w14:val="tx1"/>
                  </w14:solidFill>
                </w14:textFill>
              </w:rPr>
              <w:t>，工程所在区域环境质量现状均满足相应的评价标准要求，本项目建设符合国家现行产业政策，符合当地相关规划，选址合理。本工程建设具有良好的经济效益、社会效益和环境效益。项目运营期产生的污染物较少，对环境造成的影响较小，通过严格执行环保</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三同时</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制度，落实相应的污染防治措施，对周围的环境影响可以接受。从环保的角度来看，本项目的建设是可行的。</w:t>
            </w:r>
          </w:p>
          <w:p w14:paraId="04C65306">
            <w:pPr>
              <w:spacing w:line="360" w:lineRule="auto"/>
              <w:rPr>
                <w:color w:val="000000" w:themeColor="text1"/>
                <w:sz w:val="24"/>
                <w14:textFill>
                  <w14:solidFill>
                    <w14:schemeClr w14:val="tx1"/>
                  </w14:solidFill>
                </w14:textFill>
              </w:rPr>
            </w:pPr>
          </w:p>
        </w:tc>
      </w:tr>
    </w:tbl>
    <w:p w14:paraId="50BC85B7">
      <w:pPr>
        <w:rPr>
          <w:color w:val="000000" w:themeColor="text1"/>
          <w14:textFill>
            <w14:solidFill>
              <w14:schemeClr w14:val="tx1"/>
            </w14:solidFill>
          </w14:textFill>
        </w:rPr>
        <w:sectPr>
          <w:pgSz w:w="11906" w:h="16838"/>
          <w:pgMar w:top="1701" w:right="1531" w:bottom="1701" w:left="1531" w:header="851" w:footer="851" w:gutter="0"/>
          <w:cols w:space="720" w:num="1"/>
          <w:docGrid w:linePitch="312" w:charSpace="0"/>
        </w:sectPr>
      </w:pPr>
    </w:p>
    <w:p w14:paraId="74D6533B">
      <w:pPr>
        <w:pStyle w:val="21"/>
        <w:spacing w:before="120" w:beforeLines="50" w:beforeAutospacing="0" w:after="120" w:afterLines="50" w:afterAutospacing="0"/>
        <w:jc w:val="center"/>
        <w:outlineLvl w:val="0"/>
        <w:rPr>
          <w:rFonts w:ascii="Times New Roman" w:hAnsi="Times New Roman" w:eastAsia="黑体"/>
          <w:snapToGrid w:val="0"/>
          <w:color w:val="000000" w:themeColor="text1"/>
          <w:sz w:val="30"/>
          <w:szCs w:val="30"/>
          <w14:textFill>
            <w14:solidFill>
              <w14:schemeClr w14:val="tx1"/>
            </w14:solidFill>
          </w14:textFill>
        </w:rPr>
      </w:pPr>
      <w:bookmarkStart w:id="38" w:name="_Toc3395"/>
      <w:r>
        <w:rPr>
          <w:rFonts w:hint="eastAsia" w:ascii="Times New Roman" w:hAnsi="Times New Roman" w:eastAsia="黑体"/>
          <w:snapToGrid w:val="0"/>
          <w:color w:val="000000" w:themeColor="text1"/>
          <w:sz w:val="30"/>
          <w:szCs w:val="30"/>
          <w14:textFill>
            <w14:solidFill>
              <w14:schemeClr w14:val="tx1"/>
            </w14:solidFill>
          </w14:textFill>
        </w:rPr>
        <w:t xml:space="preserve">       </w:t>
      </w:r>
      <w:r>
        <w:rPr>
          <w:rFonts w:ascii="Times New Roman" w:hAnsi="Times New Roman" w:eastAsia="黑体"/>
          <w:snapToGrid w:val="0"/>
          <w:color w:val="000000" w:themeColor="text1"/>
          <w:sz w:val="30"/>
          <w:szCs w:val="30"/>
          <w14:textFill>
            <w14:solidFill>
              <w14:schemeClr w14:val="tx1"/>
            </w14:solidFill>
          </w14:textFill>
        </w:rPr>
        <w:t>建设项目污染物排放量汇总表</w:t>
      </w:r>
      <w:bookmarkEnd w:id="38"/>
      <w:r>
        <w:rPr>
          <w:rFonts w:hint="eastAsia" w:ascii="Times New Roman" w:hAnsi="Times New Roman" w:eastAsia="黑体"/>
          <w:snapToGrid w:val="0"/>
          <w:color w:val="000000" w:themeColor="text1"/>
          <w:sz w:val="30"/>
          <w:szCs w:val="30"/>
          <w14:textFill>
            <w14:solidFill>
              <w14:schemeClr w14:val="tx1"/>
            </w14:solidFill>
          </w14:textFill>
        </w:rPr>
        <w:t xml:space="preserve">     单位：t/a</w:t>
      </w:r>
    </w:p>
    <w:tbl>
      <w:tblPr>
        <w:tblStyle w:val="25"/>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761"/>
        <w:gridCol w:w="1842"/>
        <w:gridCol w:w="943"/>
      </w:tblGrid>
      <w:tr w14:paraId="11F885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tcMar>
              <w:left w:w="28" w:type="dxa"/>
              <w:right w:w="28" w:type="dxa"/>
            </w:tcMar>
            <w:vAlign w:val="center"/>
          </w:tcPr>
          <w:p w14:paraId="759B93C6">
            <w:pPr>
              <w:pStyle w:val="31"/>
              <w:spacing w:beforeLines="0" w:afterLines="0" w:line="240" w:lineRule="auto"/>
              <w:jc w:val="right"/>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项目</w:t>
            </w:r>
          </w:p>
          <w:p w14:paraId="324432D2">
            <w:pPr>
              <w:pStyle w:val="31"/>
              <w:spacing w:beforeLines="0" w:afterLines="0" w:line="240" w:lineRule="auto"/>
              <w:jc w:val="left"/>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分类</w:t>
            </w:r>
          </w:p>
        </w:tc>
        <w:tc>
          <w:tcPr>
            <w:tcW w:w="1417" w:type="dxa"/>
            <w:tcMar>
              <w:left w:w="28" w:type="dxa"/>
              <w:right w:w="28" w:type="dxa"/>
            </w:tcMar>
            <w:vAlign w:val="center"/>
          </w:tcPr>
          <w:p w14:paraId="38525F5C">
            <w:pPr>
              <w:pStyle w:val="31"/>
              <w:spacing w:beforeLines="0" w:afterLines="0" w:line="240" w:lineRule="auto"/>
              <w:ind w:firstLine="0"/>
              <w:jc w:val="both"/>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污染物名称</w:t>
            </w:r>
          </w:p>
        </w:tc>
        <w:tc>
          <w:tcPr>
            <w:tcW w:w="1701" w:type="dxa"/>
            <w:tcMar>
              <w:left w:w="28" w:type="dxa"/>
              <w:right w:w="28" w:type="dxa"/>
            </w:tcMar>
            <w:vAlign w:val="center"/>
          </w:tcPr>
          <w:p w14:paraId="09BD3E27">
            <w:pPr>
              <w:pStyle w:val="31"/>
              <w:spacing w:beforeLines="0" w:afterLines="0" w:line="240" w:lineRule="auto"/>
              <w:ind w:firstLine="0"/>
              <w:jc w:val="both"/>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现有工程排放量（固体废物产生量）</w:t>
            </w:r>
            <w:r>
              <w:rPr>
                <w:rFonts w:ascii="Times New Roman" w:eastAsia="黑体"/>
                <w:snapToGrid w:val="0"/>
                <w:color w:val="000000" w:themeColor="text1"/>
                <w:spacing w:val="-6"/>
                <w:kern w:val="21"/>
                <w:szCs w:val="21"/>
                <w14:textFill>
                  <w14:solidFill>
                    <w14:schemeClr w14:val="tx1"/>
                  </w14:solidFill>
                </w14:textFill>
              </w:rPr>
              <w:fldChar w:fldCharType="begin"/>
            </w:r>
            <w:r>
              <w:rPr>
                <w:rFonts w:ascii="Times New Roman" w:eastAsia="黑体"/>
                <w:snapToGrid w:val="0"/>
                <w:color w:val="000000" w:themeColor="text1"/>
                <w:spacing w:val="-6"/>
                <w:kern w:val="21"/>
                <w:szCs w:val="21"/>
                <w14:textFill>
                  <w14:solidFill>
                    <w14:schemeClr w14:val="tx1"/>
                  </w14:solidFill>
                </w14:textFill>
              </w:rPr>
              <w:instrText xml:space="preserve"> = 1 \* GB3 \* MERGEFORMAT </w:instrText>
            </w:r>
            <w:r>
              <w:rPr>
                <w:rFonts w:ascii="Times New Roman" w:eastAsia="黑体"/>
                <w:snapToGrid w:val="0"/>
                <w:color w:val="000000" w:themeColor="text1"/>
                <w:spacing w:val="-6"/>
                <w:kern w:val="21"/>
                <w:szCs w:val="21"/>
                <w14:textFill>
                  <w14:solidFill>
                    <w14:schemeClr w14:val="tx1"/>
                  </w14:solidFill>
                </w14:textFill>
              </w:rPr>
              <w:fldChar w:fldCharType="separate"/>
            </w:r>
            <w:r>
              <w:rPr>
                <w:rFonts w:ascii="Times New Roman" w:eastAsia="黑体"/>
                <w:color w:val="000000" w:themeColor="text1"/>
                <w:kern w:val="2"/>
                <w:szCs w:val="21"/>
                <w14:textFill>
                  <w14:solidFill>
                    <w14:schemeClr w14:val="tx1"/>
                  </w14:solidFill>
                </w14:textFill>
              </w:rPr>
              <w:t>①</w:t>
            </w:r>
            <w:r>
              <w:rPr>
                <w:rFonts w:ascii="Times New Roman" w:eastAsia="黑体"/>
                <w:snapToGrid w:val="0"/>
                <w:color w:val="000000" w:themeColor="text1"/>
                <w:spacing w:val="-6"/>
                <w:kern w:val="21"/>
                <w:szCs w:val="21"/>
                <w14:textFill>
                  <w14:solidFill>
                    <w14:schemeClr w14:val="tx1"/>
                  </w14:solidFill>
                </w14:textFill>
              </w:rPr>
              <w:fldChar w:fldCharType="end"/>
            </w:r>
          </w:p>
        </w:tc>
        <w:tc>
          <w:tcPr>
            <w:tcW w:w="1276" w:type="dxa"/>
            <w:tcMar>
              <w:left w:w="28" w:type="dxa"/>
              <w:right w:w="28" w:type="dxa"/>
            </w:tcMar>
            <w:vAlign w:val="center"/>
          </w:tcPr>
          <w:p w14:paraId="5C048014">
            <w:pPr>
              <w:pStyle w:val="31"/>
              <w:spacing w:beforeLines="0" w:afterLines="0" w:line="240" w:lineRule="auto"/>
              <w:ind w:firstLine="0"/>
              <w:jc w:val="both"/>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现有工程</w:t>
            </w:r>
          </w:p>
          <w:p w14:paraId="4BC16263">
            <w:pPr>
              <w:pStyle w:val="31"/>
              <w:spacing w:beforeLines="0" w:afterLines="0" w:line="240" w:lineRule="auto"/>
              <w:ind w:firstLine="0"/>
              <w:jc w:val="both"/>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许可排放量</w:t>
            </w:r>
          </w:p>
          <w:p w14:paraId="6966D6AF">
            <w:pPr>
              <w:pStyle w:val="31"/>
              <w:spacing w:beforeLines="0" w:afterLines="0" w:line="240" w:lineRule="auto"/>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fldChar w:fldCharType="begin"/>
            </w:r>
            <w:r>
              <w:rPr>
                <w:rFonts w:ascii="Times New Roman" w:eastAsia="黑体"/>
                <w:snapToGrid w:val="0"/>
                <w:color w:val="000000" w:themeColor="text1"/>
                <w:spacing w:val="-6"/>
                <w:kern w:val="21"/>
                <w:szCs w:val="21"/>
                <w14:textFill>
                  <w14:solidFill>
                    <w14:schemeClr w14:val="tx1"/>
                  </w14:solidFill>
                </w14:textFill>
              </w:rPr>
              <w:instrText xml:space="preserve"> = 2 \* GB3 \* MERGEFORMAT </w:instrText>
            </w:r>
            <w:r>
              <w:rPr>
                <w:rFonts w:ascii="Times New Roman" w:eastAsia="黑体"/>
                <w:snapToGrid w:val="0"/>
                <w:color w:val="000000" w:themeColor="text1"/>
                <w:spacing w:val="-6"/>
                <w:kern w:val="21"/>
                <w:szCs w:val="21"/>
                <w14:textFill>
                  <w14:solidFill>
                    <w14:schemeClr w14:val="tx1"/>
                  </w14:solidFill>
                </w14:textFill>
              </w:rPr>
              <w:fldChar w:fldCharType="separate"/>
            </w:r>
            <w:r>
              <w:rPr>
                <w:rFonts w:ascii="Times New Roman" w:eastAsia="黑体"/>
                <w:snapToGrid w:val="0"/>
                <w:color w:val="000000" w:themeColor="text1"/>
                <w:spacing w:val="-6"/>
                <w:kern w:val="21"/>
                <w:szCs w:val="21"/>
                <w14:textFill>
                  <w14:solidFill>
                    <w14:schemeClr w14:val="tx1"/>
                  </w14:solidFill>
                </w14:textFill>
              </w:rPr>
              <w:t>②</w:t>
            </w:r>
            <w:r>
              <w:rPr>
                <w:rFonts w:ascii="Times New Roman" w:eastAsia="黑体"/>
                <w:snapToGrid w:val="0"/>
                <w:color w:val="000000" w:themeColor="text1"/>
                <w:spacing w:val="-6"/>
                <w:kern w:val="21"/>
                <w:szCs w:val="21"/>
                <w14:textFill>
                  <w14:solidFill>
                    <w14:schemeClr w14:val="tx1"/>
                  </w14:solidFill>
                </w14:textFill>
              </w:rPr>
              <w:fldChar w:fldCharType="end"/>
            </w:r>
          </w:p>
        </w:tc>
        <w:tc>
          <w:tcPr>
            <w:tcW w:w="1701" w:type="dxa"/>
            <w:tcMar>
              <w:left w:w="28" w:type="dxa"/>
              <w:right w:w="28" w:type="dxa"/>
            </w:tcMar>
            <w:vAlign w:val="center"/>
          </w:tcPr>
          <w:p w14:paraId="498AC9FE">
            <w:pPr>
              <w:pStyle w:val="31"/>
              <w:spacing w:beforeLines="0" w:afterLines="0" w:line="240" w:lineRule="auto"/>
              <w:ind w:firstLine="0"/>
              <w:jc w:val="both"/>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在建工程排放量（固体废物产生量）</w:t>
            </w:r>
            <w:r>
              <w:rPr>
                <w:rFonts w:ascii="Times New Roman" w:eastAsia="黑体"/>
                <w:snapToGrid w:val="0"/>
                <w:color w:val="000000" w:themeColor="text1"/>
                <w:spacing w:val="-6"/>
                <w:kern w:val="21"/>
                <w:szCs w:val="21"/>
                <w14:textFill>
                  <w14:solidFill>
                    <w14:schemeClr w14:val="tx1"/>
                  </w14:solidFill>
                </w14:textFill>
              </w:rPr>
              <w:fldChar w:fldCharType="begin"/>
            </w:r>
            <w:r>
              <w:rPr>
                <w:rFonts w:ascii="Times New Roman" w:eastAsia="黑体"/>
                <w:snapToGrid w:val="0"/>
                <w:color w:val="000000" w:themeColor="text1"/>
                <w:spacing w:val="-6"/>
                <w:kern w:val="21"/>
                <w:szCs w:val="21"/>
                <w14:textFill>
                  <w14:solidFill>
                    <w14:schemeClr w14:val="tx1"/>
                  </w14:solidFill>
                </w14:textFill>
              </w:rPr>
              <w:instrText xml:space="preserve"> = 3 \* GB3 \* MERGEFORMAT </w:instrText>
            </w:r>
            <w:r>
              <w:rPr>
                <w:rFonts w:ascii="Times New Roman" w:eastAsia="黑体"/>
                <w:snapToGrid w:val="0"/>
                <w:color w:val="000000" w:themeColor="text1"/>
                <w:spacing w:val="-6"/>
                <w:kern w:val="21"/>
                <w:szCs w:val="21"/>
                <w14:textFill>
                  <w14:solidFill>
                    <w14:schemeClr w14:val="tx1"/>
                  </w14:solidFill>
                </w14:textFill>
              </w:rPr>
              <w:fldChar w:fldCharType="separate"/>
            </w:r>
            <w:r>
              <w:rPr>
                <w:rFonts w:ascii="Times New Roman" w:eastAsia="黑体"/>
                <w:color w:val="000000" w:themeColor="text1"/>
                <w:kern w:val="2"/>
                <w:szCs w:val="21"/>
                <w14:textFill>
                  <w14:solidFill>
                    <w14:schemeClr w14:val="tx1"/>
                  </w14:solidFill>
                </w14:textFill>
              </w:rPr>
              <w:t>③</w:t>
            </w:r>
            <w:r>
              <w:rPr>
                <w:rFonts w:ascii="Times New Roman" w:eastAsia="黑体"/>
                <w:snapToGrid w:val="0"/>
                <w:color w:val="000000" w:themeColor="text1"/>
                <w:spacing w:val="-6"/>
                <w:kern w:val="21"/>
                <w:szCs w:val="21"/>
                <w14:textFill>
                  <w14:solidFill>
                    <w14:schemeClr w14:val="tx1"/>
                  </w14:solidFill>
                </w14:textFill>
              </w:rPr>
              <w:fldChar w:fldCharType="end"/>
            </w:r>
          </w:p>
        </w:tc>
        <w:tc>
          <w:tcPr>
            <w:tcW w:w="1559" w:type="dxa"/>
            <w:tcMar>
              <w:left w:w="28" w:type="dxa"/>
              <w:right w:w="28" w:type="dxa"/>
            </w:tcMar>
            <w:vAlign w:val="center"/>
          </w:tcPr>
          <w:p w14:paraId="52A9C2C9">
            <w:pPr>
              <w:pStyle w:val="31"/>
              <w:spacing w:beforeLines="0" w:afterLines="0" w:line="240" w:lineRule="auto"/>
              <w:ind w:firstLine="0"/>
              <w:jc w:val="both"/>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本项目排放量（固体废物产生量）</w:t>
            </w:r>
            <w:r>
              <w:rPr>
                <w:rFonts w:ascii="Times New Roman" w:eastAsia="黑体"/>
                <w:snapToGrid w:val="0"/>
                <w:color w:val="000000" w:themeColor="text1"/>
                <w:spacing w:val="-6"/>
                <w:kern w:val="21"/>
                <w:szCs w:val="21"/>
                <w14:textFill>
                  <w14:solidFill>
                    <w14:schemeClr w14:val="tx1"/>
                  </w14:solidFill>
                </w14:textFill>
              </w:rPr>
              <w:fldChar w:fldCharType="begin"/>
            </w:r>
            <w:r>
              <w:rPr>
                <w:rFonts w:ascii="Times New Roman" w:eastAsia="黑体"/>
                <w:snapToGrid w:val="0"/>
                <w:color w:val="000000" w:themeColor="text1"/>
                <w:spacing w:val="-6"/>
                <w:kern w:val="21"/>
                <w:szCs w:val="21"/>
                <w14:textFill>
                  <w14:solidFill>
                    <w14:schemeClr w14:val="tx1"/>
                  </w14:solidFill>
                </w14:textFill>
              </w:rPr>
              <w:instrText xml:space="preserve"> = 4 \* GB3 \* MERGEFORMAT </w:instrText>
            </w:r>
            <w:r>
              <w:rPr>
                <w:rFonts w:ascii="Times New Roman" w:eastAsia="黑体"/>
                <w:snapToGrid w:val="0"/>
                <w:color w:val="000000" w:themeColor="text1"/>
                <w:spacing w:val="-6"/>
                <w:kern w:val="21"/>
                <w:szCs w:val="21"/>
                <w14:textFill>
                  <w14:solidFill>
                    <w14:schemeClr w14:val="tx1"/>
                  </w14:solidFill>
                </w14:textFill>
              </w:rPr>
              <w:fldChar w:fldCharType="separate"/>
            </w:r>
            <w:r>
              <w:rPr>
                <w:rFonts w:ascii="Times New Roman" w:eastAsia="黑体"/>
                <w:color w:val="000000" w:themeColor="text1"/>
                <w:kern w:val="2"/>
                <w:szCs w:val="21"/>
                <w14:textFill>
                  <w14:solidFill>
                    <w14:schemeClr w14:val="tx1"/>
                  </w14:solidFill>
                </w14:textFill>
              </w:rPr>
              <w:t>④</w:t>
            </w:r>
            <w:r>
              <w:rPr>
                <w:rFonts w:ascii="Times New Roman" w:eastAsia="黑体"/>
                <w:snapToGrid w:val="0"/>
                <w:color w:val="000000" w:themeColor="text1"/>
                <w:spacing w:val="-6"/>
                <w:kern w:val="21"/>
                <w:szCs w:val="21"/>
                <w14:textFill>
                  <w14:solidFill>
                    <w14:schemeClr w14:val="tx1"/>
                  </w14:solidFill>
                </w14:textFill>
              </w:rPr>
              <w:fldChar w:fldCharType="end"/>
            </w:r>
          </w:p>
        </w:tc>
        <w:tc>
          <w:tcPr>
            <w:tcW w:w="1761" w:type="dxa"/>
            <w:tcMar>
              <w:left w:w="28" w:type="dxa"/>
              <w:right w:w="28" w:type="dxa"/>
            </w:tcMar>
            <w:vAlign w:val="center"/>
          </w:tcPr>
          <w:p w14:paraId="5955CE4B">
            <w:pPr>
              <w:pStyle w:val="31"/>
              <w:spacing w:beforeLines="0" w:afterLines="0" w:line="240" w:lineRule="auto"/>
              <w:ind w:firstLine="0"/>
              <w:jc w:val="both"/>
              <w:rPr>
                <w:rFonts w:ascii="Times New Roman" w:eastAsia="黑体"/>
                <w:snapToGrid w:val="0"/>
                <w:color w:val="000000" w:themeColor="text1"/>
                <w:spacing w:val="-16"/>
                <w:kern w:val="21"/>
                <w:szCs w:val="21"/>
                <w14:textFill>
                  <w14:solidFill>
                    <w14:schemeClr w14:val="tx1"/>
                  </w14:solidFill>
                </w14:textFill>
              </w:rPr>
            </w:pPr>
            <w:r>
              <w:rPr>
                <w:rFonts w:ascii="Times New Roman" w:eastAsia="黑体"/>
                <w:snapToGrid w:val="0"/>
                <w:color w:val="000000" w:themeColor="text1"/>
                <w:spacing w:val="-16"/>
                <w:kern w:val="21"/>
                <w:szCs w:val="21"/>
                <w14:textFill>
                  <w14:solidFill>
                    <w14:schemeClr w14:val="tx1"/>
                  </w14:solidFill>
                </w14:textFill>
              </w:rPr>
              <w:t>以新带老削减量</w:t>
            </w:r>
          </w:p>
          <w:p w14:paraId="4C284037">
            <w:pPr>
              <w:pStyle w:val="31"/>
              <w:spacing w:beforeLines="0" w:afterLines="0" w:line="240" w:lineRule="auto"/>
              <w:ind w:firstLine="0"/>
              <w:jc w:val="both"/>
              <w:rPr>
                <w:rFonts w:ascii="Times New Roman" w:eastAsia="黑体"/>
                <w:snapToGrid w:val="0"/>
                <w:color w:val="000000" w:themeColor="text1"/>
                <w:spacing w:val="-16"/>
                <w:kern w:val="21"/>
                <w:szCs w:val="21"/>
                <w14:textFill>
                  <w14:solidFill>
                    <w14:schemeClr w14:val="tx1"/>
                  </w14:solidFill>
                </w14:textFill>
              </w:rPr>
            </w:pPr>
            <w:r>
              <w:rPr>
                <w:rFonts w:ascii="Times New Roman" w:eastAsia="黑体"/>
                <w:snapToGrid w:val="0"/>
                <w:color w:val="000000" w:themeColor="text1"/>
                <w:spacing w:val="-16"/>
                <w:kern w:val="21"/>
                <w:szCs w:val="21"/>
                <w14:textFill>
                  <w14:solidFill>
                    <w14:schemeClr w14:val="tx1"/>
                  </w14:solidFill>
                </w14:textFill>
              </w:rPr>
              <w:t>（新建项目不填）</w:t>
            </w:r>
            <w:r>
              <w:rPr>
                <w:rFonts w:ascii="Times New Roman" w:eastAsia="黑体"/>
                <w:snapToGrid w:val="0"/>
                <w:color w:val="000000" w:themeColor="text1"/>
                <w:spacing w:val="-16"/>
                <w:kern w:val="21"/>
                <w:szCs w:val="21"/>
                <w14:textFill>
                  <w14:solidFill>
                    <w14:schemeClr w14:val="tx1"/>
                  </w14:solidFill>
                </w14:textFill>
              </w:rPr>
              <w:fldChar w:fldCharType="begin"/>
            </w:r>
            <w:r>
              <w:rPr>
                <w:rFonts w:ascii="Times New Roman" w:eastAsia="黑体"/>
                <w:snapToGrid w:val="0"/>
                <w:color w:val="000000" w:themeColor="text1"/>
                <w:spacing w:val="-16"/>
                <w:kern w:val="21"/>
                <w:szCs w:val="21"/>
                <w14:textFill>
                  <w14:solidFill>
                    <w14:schemeClr w14:val="tx1"/>
                  </w14:solidFill>
                </w14:textFill>
              </w:rPr>
              <w:instrText xml:space="preserve"> = 5 \* GB3 \* MERGEFORMAT </w:instrText>
            </w:r>
            <w:r>
              <w:rPr>
                <w:rFonts w:ascii="Times New Roman" w:eastAsia="黑体"/>
                <w:snapToGrid w:val="0"/>
                <w:color w:val="000000" w:themeColor="text1"/>
                <w:spacing w:val="-16"/>
                <w:kern w:val="21"/>
                <w:szCs w:val="21"/>
                <w14:textFill>
                  <w14:solidFill>
                    <w14:schemeClr w14:val="tx1"/>
                  </w14:solidFill>
                </w14:textFill>
              </w:rPr>
              <w:fldChar w:fldCharType="separate"/>
            </w:r>
            <w:r>
              <w:rPr>
                <w:rFonts w:ascii="Times New Roman" w:eastAsia="黑体"/>
                <w:color w:val="000000" w:themeColor="text1"/>
                <w:kern w:val="2"/>
                <w:szCs w:val="21"/>
                <w14:textFill>
                  <w14:solidFill>
                    <w14:schemeClr w14:val="tx1"/>
                  </w14:solidFill>
                </w14:textFill>
              </w:rPr>
              <w:t>⑤</w:t>
            </w:r>
            <w:r>
              <w:rPr>
                <w:rFonts w:ascii="Times New Roman" w:eastAsia="黑体"/>
                <w:snapToGrid w:val="0"/>
                <w:color w:val="000000" w:themeColor="text1"/>
                <w:spacing w:val="-16"/>
                <w:kern w:val="21"/>
                <w:szCs w:val="21"/>
                <w14:textFill>
                  <w14:solidFill>
                    <w14:schemeClr w14:val="tx1"/>
                  </w14:solidFill>
                </w14:textFill>
              </w:rPr>
              <w:fldChar w:fldCharType="end"/>
            </w:r>
          </w:p>
        </w:tc>
        <w:tc>
          <w:tcPr>
            <w:tcW w:w="1842" w:type="dxa"/>
            <w:tcMar>
              <w:left w:w="28" w:type="dxa"/>
              <w:right w:w="28" w:type="dxa"/>
            </w:tcMar>
            <w:vAlign w:val="center"/>
          </w:tcPr>
          <w:p w14:paraId="3C420478">
            <w:pPr>
              <w:pStyle w:val="31"/>
              <w:spacing w:beforeLines="0" w:afterLines="0" w:line="240" w:lineRule="auto"/>
              <w:ind w:firstLine="0"/>
              <w:jc w:val="both"/>
              <w:rPr>
                <w:rFonts w:ascii="Times New Roman" w:eastAsia="黑体"/>
                <w:snapToGrid w:val="0"/>
                <w:color w:val="000000" w:themeColor="text1"/>
                <w:spacing w:val="-16"/>
                <w:kern w:val="21"/>
                <w:szCs w:val="21"/>
                <w14:textFill>
                  <w14:solidFill>
                    <w14:schemeClr w14:val="tx1"/>
                  </w14:solidFill>
                </w14:textFill>
              </w:rPr>
            </w:pPr>
            <w:r>
              <w:rPr>
                <w:rFonts w:ascii="Times New Roman" w:eastAsia="黑体"/>
                <w:snapToGrid w:val="0"/>
                <w:color w:val="000000" w:themeColor="text1"/>
                <w:spacing w:val="-16"/>
                <w:kern w:val="21"/>
                <w:szCs w:val="21"/>
                <w14:textFill>
                  <w14:solidFill>
                    <w14:schemeClr w14:val="tx1"/>
                  </w14:solidFill>
                </w14:textFill>
              </w:rPr>
              <w:t>本项目建成后全厂排放量（固体废物产生量）</w:t>
            </w:r>
            <w:r>
              <w:rPr>
                <w:rFonts w:ascii="Times New Roman" w:eastAsia="黑体"/>
                <w:snapToGrid w:val="0"/>
                <w:color w:val="000000" w:themeColor="text1"/>
                <w:spacing w:val="-16"/>
                <w:kern w:val="21"/>
                <w:szCs w:val="21"/>
                <w14:textFill>
                  <w14:solidFill>
                    <w14:schemeClr w14:val="tx1"/>
                  </w14:solidFill>
                </w14:textFill>
              </w:rPr>
              <w:fldChar w:fldCharType="begin"/>
            </w:r>
            <w:r>
              <w:rPr>
                <w:rFonts w:ascii="Times New Roman" w:eastAsia="黑体"/>
                <w:snapToGrid w:val="0"/>
                <w:color w:val="000000" w:themeColor="text1"/>
                <w:spacing w:val="-16"/>
                <w:kern w:val="21"/>
                <w:szCs w:val="21"/>
                <w14:textFill>
                  <w14:solidFill>
                    <w14:schemeClr w14:val="tx1"/>
                  </w14:solidFill>
                </w14:textFill>
              </w:rPr>
              <w:instrText xml:space="preserve"> = 6 \* GB3 \* MERGEFORMAT </w:instrText>
            </w:r>
            <w:r>
              <w:rPr>
                <w:rFonts w:ascii="Times New Roman" w:eastAsia="黑体"/>
                <w:snapToGrid w:val="0"/>
                <w:color w:val="000000" w:themeColor="text1"/>
                <w:spacing w:val="-16"/>
                <w:kern w:val="21"/>
                <w:szCs w:val="21"/>
                <w14:textFill>
                  <w14:solidFill>
                    <w14:schemeClr w14:val="tx1"/>
                  </w14:solidFill>
                </w14:textFill>
              </w:rPr>
              <w:fldChar w:fldCharType="separate"/>
            </w:r>
            <w:r>
              <w:rPr>
                <w:rFonts w:ascii="Times New Roman" w:eastAsia="黑体"/>
                <w:color w:val="000000" w:themeColor="text1"/>
                <w:kern w:val="2"/>
                <w:szCs w:val="21"/>
                <w14:textFill>
                  <w14:solidFill>
                    <w14:schemeClr w14:val="tx1"/>
                  </w14:solidFill>
                </w14:textFill>
              </w:rPr>
              <w:t>⑥</w:t>
            </w:r>
            <w:r>
              <w:rPr>
                <w:rFonts w:ascii="Times New Roman" w:eastAsia="黑体"/>
                <w:snapToGrid w:val="0"/>
                <w:color w:val="000000" w:themeColor="text1"/>
                <w:spacing w:val="-16"/>
                <w:kern w:val="21"/>
                <w:szCs w:val="21"/>
                <w14:textFill>
                  <w14:solidFill>
                    <w14:schemeClr w14:val="tx1"/>
                  </w14:solidFill>
                </w14:textFill>
              </w:rPr>
              <w:fldChar w:fldCharType="end"/>
            </w:r>
          </w:p>
        </w:tc>
        <w:tc>
          <w:tcPr>
            <w:tcW w:w="943" w:type="dxa"/>
            <w:tcMar>
              <w:left w:w="28" w:type="dxa"/>
              <w:right w:w="28" w:type="dxa"/>
            </w:tcMar>
            <w:vAlign w:val="center"/>
          </w:tcPr>
          <w:p w14:paraId="10262891">
            <w:pPr>
              <w:pStyle w:val="31"/>
              <w:spacing w:beforeLines="0" w:afterLines="0" w:line="240" w:lineRule="auto"/>
              <w:ind w:firstLine="0"/>
              <w:jc w:val="both"/>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t>变化量</w:t>
            </w:r>
          </w:p>
          <w:p w14:paraId="27FDBFC0">
            <w:pPr>
              <w:pStyle w:val="31"/>
              <w:spacing w:beforeLines="0" w:afterLines="0" w:line="240" w:lineRule="auto"/>
              <w:rPr>
                <w:rFonts w:ascii="Times New Roman" w:eastAsia="黑体"/>
                <w:snapToGrid w:val="0"/>
                <w:color w:val="000000" w:themeColor="text1"/>
                <w:spacing w:val="-6"/>
                <w:kern w:val="21"/>
                <w:szCs w:val="21"/>
                <w14:textFill>
                  <w14:solidFill>
                    <w14:schemeClr w14:val="tx1"/>
                  </w14:solidFill>
                </w14:textFill>
              </w:rPr>
            </w:pPr>
            <w:r>
              <w:rPr>
                <w:rFonts w:ascii="Times New Roman" w:eastAsia="黑体"/>
                <w:snapToGrid w:val="0"/>
                <w:color w:val="000000" w:themeColor="text1"/>
                <w:spacing w:val="-6"/>
                <w:kern w:val="21"/>
                <w:szCs w:val="21"/>
                <w14:textFill>
                  <w14:solidFill>
                    <w14:schemeClr w14:val="tx1"/>
                  </w14:solidFill>
                </w14:textFill>
              </w:rPr>
              <w:fldChar w:fldCharType="begin"/>
            </w:r>
            <w:r>
              <w:rPr>
                <w:rFonts w:ascii="Times New Roman" w:eastAsia="黑体"/>
                <w:snapToGrid w:val="0"/>
                <w:color w:val="000000" w:themeColor="text1"/>
                <w:spacing w:val="-6"/>
                <w:kern w:val="21"/>
                <w:szCs w:val="21"/>
                <w14:textFill>
                  <w14:solidFill>
                    <w14:schemeClr w14:val="tx1"/>
                  </w14:solidFill>
                </w14:textFill>
              </w:rPr>
              <w:instrText xml:space="preserve"> = 7 \* GB3 \* MERGEFORMAT </w:instrText>
            </w:r>
            <w:r>
              <w:rPr>
                <w:rFonts w:ascii="Times New Roman" w:eastAsia="黑体"/>
                <w:snapToGrid w:val="0"/>
                <w:color w:val="000000" w:themeColor="text1"/>
                <w:spacing w:val="-6"/>
                <w:kern w:val="21"/>
                <w:szCs w:val="21"/>
                <w14:textFill>
                  <w14:solidFill>
                    <w14:schemeClr w14:val="tx1"/>
                  </w14:solidFill>
                </w14:textFill>
              </w:rPr>
              <w:fldChar w:fldCharType="separate"/>
            </w:r>
            <w:r>
              <w:rPr>
                <w:rFonts w:ascii="Times New Roman" w:eastAsia="黑体"/>
                <w:color w:val="000000" w:themeColor="text1"/>
                <w:kern w:val="2"/>
                <w:szCs w:val="21"/>
                <w14:textFill>
                  <w14:solidFill>
                    <w14:schemeClr w14:val="tx1"/>
                  </w14:solidFill>
                </w14:textFill>
              </w:rPr>
              <w:t>⑦</w:t>
            </w:r>
            <w:r>
              <w:rPr>
                <w:rFonts w:ascii="Times New Roman" w:eastAsia="黑体"/>
                <w:snapToGrid w:val="0"/>
                <w:color w:val="000000" w:themeColor="text1"/>
                <w:spacing w:val="-6"/>
                <w:kern w:val="21"/>
                <w:szCs w:val="21"/>
                <w14:textFill>
                  <w14:solidFill>
                    <w14:schemeClr w14:val="tx1"/>
                  </w14:solidFill>
                </w14:textFill>
              </w:rPr>
              <w:fldChar w:fldCharType="end"/>
            </w:r>
          </w:p>
        </w:tc>
      </w:tr>
      <w:tr w14:paraId="34395A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88" w:type="dxa"/>
            <w:vAlign w:val="center"/>
          </w:tcPr>
          <w:p w14:paraId="217D0821">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ascii="Times New Roman"/>
                <w:snapToGrid w:val="0"/>
                <w:color w:val="000000" w:themeColor="text1"/>
                <w:kern w:val="21"/>
                <w:szCs w:val="21"/>
                <w14:textFill>
                  <w14:solidFill>
                    <w14:schemeClr w14:val="tx1"/>
                  </w14:solidFill>
                </w14:textFill>
              </w:rPr>
              <w:t>废气</w:t>
            </w:r>
          </w:p>
        </w:tc>
        <w:tc>
          <w:tcPr>
            <w:tcW w:w="1417" w:type="dxa"/>
            <w:vAlign w:val="center"/>
          </w:tcPr>
          <w:p w14:paraId="7D9B38EE">
            <w:pPr>
              <w:adjustRightInd w:val="0"/>
              <w:snapToGrid w:val="0"/>
              <w:jc w:val="center"/>
              <w:rPr>
                <w:snapToGrid w:val="0"/>
                <w:color w:val="000000" w:themeColor="text1"/>
                <w:kern w:val="21"/>
                <w:szCs w:val="21"/>
                <w14:textFill>
                  <w14:solidFill>
                    <w14:schemeClr w14:val="tx1"/>
                  </w14:solidFill>
                </w14:textFill>
              </w:rPr>
            </w:pPr>
            <w:r>
              <w:rPr>
                <w:rFonts w:hint="eastAsia"/>
                <w:color w:val="000000" w:themeColor="text1"/>
                <w:szCs w:val="21"/>
                <w14:textFill>
                  <w14:solidFill>
                    <w14:schemeClr w14:val="tx1"/>
                  </w14:solidFill>
                </w14:textFill>
              </w:rPr>
              <w:t>颗粒物</w:t>
            </w:r>
          </w:p>
        </w:tc>
        <w:tc>
          <w:tcPr>
            <w:tcW w:w="1701" w:type="dxa"/>
            <w:vAlign w:val="center"/>
          </w:tcPr>
          <w:p w14:paraId="1CE8FEEA">
            <w:pPr>
              <w:adjustRightInd w:val="0"/>
              <w:snapToGrid w:val="0"/>
              <w:ind w:firstLine="420" w:firstLineChars="200"/>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276" w:type="dxa"/>
            <w:vAlign w:val="center"/>
          </w:tcPr>
          <w:p w14:paraId="69D400B3">
            <w:pPr>
              <w:adjustRightInd w:val="0"/>
              <w:snapToGrid w:val="0"/>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w:t>
            </w:r>
          </w:p>
        </w:tc>
        <w:tc>
          <w:tcPr>
            <w:tcW w:w="1701" w:type="dxa"/>
            <w:vAlign w:val="center"/>
          </w:tcPr>
          <w:p w14:paraId="4ADDEFD2">
            <w:pPr>
              <w:pStyle w:val="31"/>
              <w:spacing w:beforeLines="0" w:afterLines="0" w:line="240" w:lineRule="auto"/>
              <w:jc w:val="both"/>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w:t>
            </w:r>
          </w:p>
        </w:tc>
        <w:tc>
          <w:tcPr>
            <w:tcW w:w="1559" w:type="dxa"/>
            <w:vAlign w:val="center"/>
          </w:tcPr>
          <w:p w14:paraId="0372D02F">
            <w:pPr>
              <w:pStyle w:val="31"/>
              <w:spacing w:beforeLines="0" w:afterLines="0" w:line="240" w:lineRule="auto"/>
              <w:jc w:val="both"/>
              <w:rPr>
                <w:color w:val="000000" w:themeColor="text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0.1607</w:t>
            </w:r>
          </w:p>
        </w:tc>
        <w:tc>
          <w:tcPr>
            <w:tcW w:w="1761" w:type="dxa"/>
            <w:vAlign w:val="center"/>
          </w:tcPr>
          <w:p w14:paraId="150E9A36">
            <w:pPr>
              <w:pStyle w:val="31"/>
              <w:spacing w:beforeLines="0" w:afterLines="0" w:line="240" w:lineRule="auto"/>
              <w:jc w:val="both"/>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w:t>
            </w:r>
          </w:p>
        </w:tc>
        <w:tc>
          <w:tcPr>
            <w:tcW w:w="1842" w:type="dxa"/>
            <w:vAlign w:val="center"/>
          </w:tcPr>
          <w:p w14:paraId="3049E645">
            <w:pPr>
              <w:widowControl/>
              <w:jc w:val="center"/>
              <w:textAlignment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0.1607</w:t>
            </w:r>
          </w:p>
        </w:tc>
        <w:tc>
          <w:tcPr>
            <w:tcW w:w="943" w:type="dxa"/>
            <w:vAlign w:val="center"/>
          </w:tcPr>
          <w:p w14:paraId="239F46FE">
            <w:pPr>
              <w:widowControl/>
              <w:jc w:val="center"/>
              <w:textAlignment w:val="center"/>
              <w:rPr>
                <w:snapToGrid w:val="0"/>
                <w:color w:val="000000" w:themeColor="text1"/>
                <w:kern w:val="21"/>
                <w:szCs w:val="21"/>
                <w14:textFill>
                  <w14:solidFill>
                    <w14:schemeClr w14:val="tx1"/>
                  </w14:solidFill>
                </w14:textFill>
              </w:rPr>
            </w:pPr>
            <w:r>
              <w:rPr>
                <w:rFonts w:hint="eastAsia"/>
                <w:color w:val="000000" w:themeColor="text1"/>
                <w:kern w:val="0"/>
                <w:szCs w:val="21"/>
                <w:lang w:bidi="ar"/>
                <w14:textFill>
                  <w14:solidFill>
                    <w14:schemeClr w14:val="tx1"/>
                  </w14:solidFill>
                </w14:textFill>
              </w:rPr>
              <w:t>+</w:t>
            </w:r>
            <w:r>
              <w:rPr>
                <w:rFonts w:hint="eastAsia"/>
                <w:snapToGrid w:val="0"/>
                <w:color w:val="000000" w:themeColor="text1"/>
                <w:kern w:val="21"/>
                <w:szCs w:val="21"/>
                <w14:textFill>
                  <w14:solidFill>
                    <w14:schemeClr w14:val="tx1"/>
                  </w14:solidFill>
                </w14:textFill>
              </w:rPr>
              <w:t>0.1607</w:t>
            </w:r>
          </w:p>
        </w:tc>
      </w:tr>
      <w:tr w14:paraId="0D5778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Align w:val="center"/>
          </w:tcPr>
          <w:p w14:paraId="5FACAFD7">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ascii="Times New Roman"/>
                <w:snapToGrid w:val="0"/>
                <w:color w:val="000000" w:themeColor="text1"/>
                <w:kern w:val="21"/>
                <w:szCs w:val="21"/>
                <w14:textFill>
                  <w14:solidFill>
                    <w14:schemeClr w14:val="tx1"/>
                  </w14:solidFill>
                </w14:textFill>
              </w:rPr>
              <w:t>废水</w:t>
            </w:r>
          </w:p>
        </w:tc>
        <w:tc>
          <w:tcPr>
            <w:tcW w:w="1417" w:type="dxa"/>
            <w:vAlign w:val="center"/>
          </w:tcPr>
          <w:p w14:paraId="5D50E5CD">
            <w:pPr>
              <w:pStyle w:val="31"/>
              <w:spacing w:beforeLines="0" w:afterLines="0" w:line="240" w:lineRule="auto"/>
              <w:ind w:firstLine="0"/>
              <w:jc w:val="both"/>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生活污水、生产废水</w:t>
            </w:r>
          </w:p>
        </w:tc>
        <w:tc>
          <w:tcPr>
            <w:tcW w:w="1701" w:type="dxa"/>
            <w:vAlign w:val="center"/>
          </w:tcPr>
          <w:p w14:paraId="1C83E8A0">
            <w:pPr>
              <w:pStyle w:val="31"/>
              <w:spacing w:beforeLines="0" w:afterLines="0" w:line="240" w:lineRule="auto"/>
              <w:jc w:val="both"/>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w:t>
            </w:r>
          </w:p>
        </w:tc>
        <w:tc>
          <w:tcPr>
            <w:tcW w:w="1276" w:type="dxa"/>
            <w:vAlign w:val="center"/>
          </w:tcPr>
          <w:p w14:paraId="2AF95C0D">
            <w:pPr>
              <w:pStyle w:val="31"/>
              <w:spacing w:beforeLines="0" w:afterLines="0" w:line="240" w:lineRule="auto"/>
              <w:jc w:val="both"/>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w:t>
            </w:r>
          </w:p>
        </w:tc>
        <w:tc>
          <w:tcPr>
            <w:tcW w:w="1701" w:type="dxa"/>
            <w:vAlign w:val="center"/>
          </w:tcPr>
          <w:p w14:paraId="0AE046F5">
            <w:pPr>
              <w:pStyle w:val="31"/>
              <w:spacing w:beforeLines="0" w:afterLines="0" w:line="240" w:lineRule="auto"/>
              <w:jc w:val="both"/>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w:t>
            </w:r>
          </w:p>
        </w:tc>
        <w:tc>
          <w:tcPr>
            <w:tcW w:w="1559" w:type="dxa"/>
            <w:vAlign w:val="center"/>
          </w:tcPr>
          <w:p w14:paraId="4285953D">
            <w:pPr>
              <w:pStyle w:val="31"/>
              <w:spacing w:beforeLines="0" w:afterLines="0" w:line="240" w:lineRule="auto"/>
              <w:jc w:val="both"/>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w:t>
            </w:r>
          </w:p>
        </w:tc>
        <w:tc>
          <w:tcPr>
            <w:tcW w:w="1761" w:type="dxa"/>
            <w:vAlign w:val="center"/>
          </w:tcPr>
          <w:p w14:paraId="6A2BDA39">
            <w:pPr>
              <w:pStyle w:val="31"/>
              <w:spacing w:beforeLines="0" w:afterLines="0" w:line="240" w:lineRule="auto"/>
              <w:jc w:val="both"/>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w:t>
            </w:r>
          </w:p>
        </w:tc>
        <w:tc>
          <w:tcPr>
            <w:tcW w:w="1842" w:type="dxa"/>
            <w:vAlign w:val="center"/>
          </w:tcPr>
          <w:p w14:paraId="7B3F1067">
            <w:pPr>
              <w:pStyle w:val="31"/>
              <w:spacing w:beforeLines="0" w:afterLines="0" w:line="240" w:lineRule="auto"/>
              <w:ind w:firstLine="840" w:firstLineChars="400"/>
              <w:jc w:val="both"/>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w:t>
            </w:r>
          </w:p>
        </w:tc>
        <w:tc>
          <w:tcPr>
            <w:tcW w:w="943" w:type="dxa"/>
            <w:vAlign w:val="center"/>
          </w:tcPr>
          <w:p w14:paraId="53566656">
            <w:pPr>
              <w:pStyle w:val="31"/>
              <w:spacing w:beforeLines="0" w:afterLines="0" w:line="240" w:lineRule="auto"/>
              <w:jc w:val="both"/>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w:t>
            </w:r>
          </w:p>
        </w:tc>
      </w:tr>
      <w:tr w14:paraId="6F9F9C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vAlign w:val="center"/>
          </w:tcPr>
          <w:p w14:paraId="5C8CE5CD">
            <w:pPr>
              <w:pStyle w:val="31"/>
              <w:spacing w:beforeLines="0" w:afterLines="0" w:line="240" w:lineRule="auto"/>
              <w:ind w:firstLine="0"/>
              <w:jc w:val="both"/>
              <w:rPr>
                <w:rFonts w:ascii="Times New Roman"/>
                <w:snapToGrid w:val="0"/>
                <w:color w:val="000000" w:themeColor="text1"/>
                <w:kern w:val="21"/>
                <w:szCs w:val="21"/>
                <w14:textFill>
                  <w14:solidFill>
                    <w14:schemeClr w14:val="tx1"/>
                  </w14:solidFill>
                </w14:textFill>
              </w:rPr>
            </w:pPr>
            <w:r>
              <w:rPr>
                <w:rFonts w:ascii="Times New Roman"/>
                <w:snapToGrid w:val="0"/>
                <w:color w:val="000000" w:themeColor="text1"/>
                <w:kern w:val="21"/>
                <w:szCs w:val="21"/>
                <w14:textFill>
                  <w14:solidFill>
                    <w14:schemeClr w14:val="tx1"/>
                  </w14:solidFill>
                </w14:textFill>
              </w:rPr>
              <w:t>一般工业固体废物</w:t>
            </w:r>
          </w:p>
        </w:tc>
        <w:tc>
          <w:tcPr>
            <w:tcW w:w="1417" w:type="dxa"/>
            <w:shd w:val="clear" w:color="auto" w:fill="auto"/>
            <w:vAlign w:val="center"/>
          </w:tcPr>
          <w:p w14:paraId="10A18FB2">
            <w:pPr>
              <w:adjustRightInd w:val="0"/>
              <w:snapToGrid w:val="0"/>
              <w:rPr>
                <w:color w:val="000000" w:themeColor="text1"/>
                <w:szCs w:val="21"/>
                <w14:textFill>
                  <w14:solidFill>
                    <w14:schemeClr w14:val="tx1"/>
                  </w14:solidFill>
                </w14:textFill>
              </w:rPr>
            </w:pPr>
            <w:r>
              <w:rPr>
                <w:bCs/>
                <w:color w:val="000000" w:themeColor="text1"/>
                <w:spacing w:val="-10"/>
                <w:szCs w:val="21"/>
                <w14:textFill>
                  <w14:solidFill>
                    <w14:schemeClr w14:val="tx1"/>
                  </w14:solidFill>
                </w14:textFill>
              </w:rPr>
              <w:t>废包装材料</w:t>
            </w:r>
          </w:p>
        </w:tc>
        <w:tc>
          <w:tcPr>
            <w:tcW w:w="1701" w:type="dxa"/>
            <w:shd w:val="clear" w:color="auto" w:fill="auto"/>
            <w:vAlign w:val="center"/>
          </w:tcPr>
          <w:p w14:paraId="79151B66">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w:t>
            </w:r>
          </w:p>
        </w:tc>
        <w:tc>
          <w:tcPr>
            <w:tcW w:w="1276" w:type="dxa"/>
            <w:shd w:val="clear" w:color="auto" w:fill="auto"/>
            <w:vAlign w:val="center"/>
          </w:tcPr>
          <w:p w14:paraId="2D63DA86">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w:t>
            </w:r>
          </w:p>
        </w:tc>
        <w:tc>
          <w:tcPr>
            <w:tcW w:w="1701" w:type="dxa"/>
            <w:shd w:val="clear" w:color="auto" w:fill="auto"/>
            <w:vAlign w:val="center"/>
          </w:tcPr>
          <w:p w14:paraId="029A101E">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w:t>
            </w:r>
          </w:p>
        </w:tc>
        <w:tc>
          <w:tcPr>
            <w:tcW w:w="1559" w:type="dxa"/>
            <w:shd w:val="clear" w:color="auto" w:fill="auto"/>
            <w:vAlign w:val="center"/>
          </w:tcPr>
          <w:p w14:paraId="0E1AFB79">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0.2</w:t>
            </w:r>
          </w:p>
        </w:tc>
        <w:tc>
          <w:tcPr>
            <w:tcW w:w="1761" w:type="dxa"/>
            <w:shd w:val="clear" w:color="auto" w:fill="auto"/>
            <w:vAlign w:val="center"/>
          </w:tcPr>
          <w:p w14:paraId="6E1D0CD9">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w:t>
            </w:r>
          </w:p>
        </w:tc>
        <w:tc>
          <w:tcPr>
            <w:tcW w:w="1842" w:type="dxa"/>
            <w:shd w:val="clear" w:color="auto" w:fill="auto"/>
            <w:vAlign w:val="center"/>
          </w:tcPr>
          <w:p w14:paraId="5DD67965">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0.2</w:t>
            </w:r>
          </w:p>
        </w:tc>
        <w:tc>
          <w:tcPr>
            <w:tcW w:w="943" w:type="dxa"/>
            <w:shd w:val="clear" w:color="auto" w:fill="auto"/>
            <w:vAlign w:val="center"/>
          </w:tcPr>
          <w:p w14:paraId="10D05814">
            <w:pPr>
              <w:pStyle w:val="31"/>
              <w:spacing w:beforeLines="0" w:afterLines="0" w:line="240" w:lineRule="auto"/>
              <w:ind w:firstLine="210" w:firstLineChars="100"/>
              <w:jc w:val="both"/>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+0.2</w:t>
            </w:r>
          </w:p>
        </w:tc>
      </w:tr>
      <w:tr w14:paraId="0836D9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1588" w:type="dxa"/>
            <w:vMerge w:val="continue"/>
            <w:vAlign w:val="center"/>
          </w:tcPr>
          <w:p w14:paraId="4BBA38B0">
            <w:pPr>
              <w:pStyle w:val="31"/>
              <w:spacing w:beforeLines="0" w:afterLines="0" w:line="240" w:lineRule="auto"/>
              <w:rPr>
                <w:rFonts w:ascii="Times New Roman"/>
                <w:snapToGrid w:val="0"/>
                <w:color w:val="000000" w:themeColor="text1"/>
                <w:kern w:val="21"/>
                <w:szCs w:val="21"/>
                <w14:textFill>
                  <w14:solidFill>
                    <w14:schemeClr w14:val="tx1"/>
                  </w14:solidFill>
                </w14:textFill>
              </w:rPr>
            </w:pPr>
          </w:p>
        </w:tc>
        <w:tc>
          <w:tcPr>
            <w:tcW w:w="1417" w:type="dxa"/>
            <w:vAlign w:val="center"/>
          </w:tcPr>
          <w:p w14:paraId="7A3BEDAE">
            <w:pPr>
              <w:adjustRightInd w:val="0"/>
              <w:snapToGrid w:val="0"/>
              <w:jc w:val="center"/>
              <w:rPr>
                <w:color w:val="000000" w:themeColor="text1"/>
                <w:szCs w:val="21"/>
                <w14:textFill>
                  <w14:solidFill>
                    <w14:schemeClr w14:val="tx1"/>
                  </w14:solidFill>
                </w14:textFill>
              </w:rPr>
            </w:pPr>
            <w:r>
              <w:rPr>
                <w:rFonts w:hint="eastAsia"/>
                <w:bCs/>
                <w:color w:val="000000" w:themeColor="text1"/>
                <w:spacing w:val="-10"/>
                <w:szCs w:val="21"/>
                <w14:textFill>
                  <w14:solidFill>
                    <w14:schemeClr w14:val="tx1"/>
                  </w14:solidFill>
                </w14:textFill>
              </w:rPr>
              <w:t>收尘灰</w:t>
            </w:r>
          </w:p>
        </w:tc>
        <w:tc>
          <w:tcPr>
            <w:tcW w:w="1701" w:type="dxa"/>
            <w:vAlign w:val="center"/>
          </w:tcPr>
          <w:p w14:paraId="0A19CD8F">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w:t>
            </w:r>
          </w:p>
        </w:tc>
        <w:tc>
          <w:tcPr>
            <w:tcW w:w="1276" w:type="dxa"/>
            <w:vAlign w:val="center"/>
          </w:tcPr>
          <w:p w14:paraId="4F64D44A">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w:t>
            </w:r>
          </w:p>
        </w:tc>
        <w:tc>
          <w:tcPr>
            <w:tcW w:w="1701" w:type="dxa"/>
            <w:vAlign w:val="center"/>
          </w:tcPr>
          <w:p w14:paraId="34DDA966">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w:t>
            </w:r>
          </w:p>
        </w:tc>
        <w:tc>
          <w:tcPr>
            <w:tcW w:w="1559" w:type="dxa"/>
            <w:vAlign w:val="center"/>
          </w:tcPr>
          <w:p w14:paraId="5FAC377A">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1.0663</w:t>
            </w:r>
          </w:p>
        </w:tc>
        <w:tc>
          <w:tcPr>
            <w:tcW w:w="1761" w:type="dxa"/>
            <w:vAlign w:val="center"/>
          </w:tcPr>
          <w:p w14:paraId="63B50065">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w:t>
            </w:r>
          </w:p>
        </w:tc>
        <w:tc>
          <w:tcPr>
            <w:tcW w:w="1842" w:type="dxa"/>
            <w:vAlign w:val="center"/>
          </w:tcPr>
          <w:p w14:paraId="3E3447D9">
            <w:pPr>
              <w:jc w:val="cente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1.0663</w:t>
            </w:r>
          </w:p>
        </w:tc>
        <w:tc>
          <w:tcPr>
            <w:tcW w:w="943" w:type="dxa"/>
            <w:vAlign w:val="center"/>
          </w:tcPr>
          <w:p w14:paraId="4EA17966">
            <w:pPr>
              <w:rPr>
                <w:snapToGrid w:val="0"/>
                <w:color w:val="000000" w:themeColor="text1"/>
                <w:kern w:val="21"/>
                <w:szCs w:val="21"/>
                <w14:textFill>
                  <w14:solidFill>
                    <w14:schemeClr w14:val="tx1"/>
                  </w14:solidFill>
                </w14:textFill>
              </w:rPr>
            </w:pPr>
            <w:r>
              <w:rPr>
                <w:rFonts w:hint="eastAsia"/>
                <w:snapToGrid w:val="0"/>
                <w:color w:val="000000" w:themeColor="text1"/>
                <w:kern w:val="21"/>
                <w:szCs w:val="21"/>
                <w14:textFill>
                  <w14:solidFill>
                    <w14:schemeClr w14:val="tx1"/>
                  </w14:solidFill>
                </w14:textFill>
              </w:rPr>
              <w:t>+1.0663</w:t>
            </w:r>
          </w:p>
        </w:tc>
      </w:tr>
      <w:tr w14:paraId="711028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588" w:type="dxa"/>
            <w:vAlign w:val="center"/>
          </w:tcPr>
          <w:p w14:paraId="1542B64B">
            <w:pPr>
              <w:pStyle w:val="31"/>
              <w:spacing w:beforeLines="0" w:afterLines="0" w:line="240" w:lineRule="auto"/>
              <w:jc w:val="both"/>
              <w:rPr>
                <w:rFonts w:ascii="Times New Roman"/>
                <w:snapToGrid w:val="0"/>
                <w:color w:val="000000" w:themeColor="text1"/>
                <w:kern w:val="21"/>
                <w:szCs w:val="21"/>
                <w14:textFill>
                  <w14:solidFill>
                    <w14:schemeClr w14:val="tx1"/>
                  </w14:solidFill>
                </w14:textFill>
              </w:rPr>
            </w:pPr>
            <w:r>
              <w:rPr>
                <w:rFonts w:ascii="Times New Roman"/>
                <w:snapToGrid w:val="0"/>
                <w:color w:val="000000" w:themeColor="text1"/>
                <w:kern w:val="21"/>
                <w:szCs w:val="21"/>
                <w14:textFill>
                  <w14:solidFill>
                    <w14:schemeClr w14:val="tx1"/>
                  </w14:solidFill>
                </w14:textFill>
              </w:rPr>
              <w:t>危险废物</w:t>
            </w:r>
          </w:p>
        </w:tc>
        <w:tc>
          <w:tcPr>
            <w:tcW w:w="1417" w:type="dxa"/>
            <w:vAlign w:val="center"/>
          </w:tcPr>
          <w:p w14:paraId="0736FE77">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废矿物油</w:t>
            </w:r>
          </w:p>
        </w:tc>
        <w:tc>
          <w:tcPr>
            <w:tcW w:w="1701" w:type="dxa"/>
            <w:vAlign w:val="center"/>
          </w:tcPr>
          <w:p w14:paraId="0DE859EE">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w:t>
            </w:r>
          </w:p>
        </w:tc>
        <w:tc>
          <w:tcPr>
            <w:tcW w:w="1276" w:type="dxa"/>
            <w:vAlign w:val="center"/>
          </w:tcPr>
          <w:p w14:paraId="1EA624AA">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w:t>
            </w:r>
          </w:p>
        </w:tc>
        <w:tc>
          <w:tcPr>
            <w:tcW w:w="1701" w:type="dxa"/>
            <w:vAlign w:val="center"/>
          </w:tcPr>
          <w:p w14:paraId="13518285">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w:t>
            </w:r>
          </w:p>
        </w:tc>
        <w:tc>
          <w:tcPr>
            <w:tcW w:w="1559" w:type="dxa"/>
            <w:vAlign w:val="center"/>
          </w:tcPr>
          <w:p w14:paraId="02986AF7">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0.5</w:t>
            </w:r>
          </w:p>
        </w:tc>
        <w:tc>
          <w:tcPr>
            <w:tcW w:w="1761" w:type="dxa"/>
            <w:vAlign w:val="center"/>
          </w:tcPr>
          <w:p w14:paraId="0E0D76E3">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w:t>
            </w:r>
          </w:p>
        </w:tc>
        <w:tc>
          <w:tcPr>
            <w:tcW w:w="1842" w:type="dxa"/>
            <w:vAlign w:val="center"/>
          </w:tcPr>
          <w:p w14:paraId="3D82035C">
            <w:pPr>
              <w:pStyle w:val="31"/>
              <w:spacing w:beforeLines="0" w:afterLines="0" w:line="240" w:lineRule="auto"/>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0.5</w:t>
            </w:r>
          </w:p>
        </w:tc>
        <w:tc>
          <w:tcPr>
            <w:tcW w:w="943" w:type="dxa"/>
            <w:vAlign w:val="center"/>
          </w:tcPr>
          <w:p w14:paraId="49B326CB">
            <w:pPr>
              <w:pStyle w:val="31"/>
              <w:spacing w:beforeLines="0" w:afterLines="0" w:line="240" w:lineRule="auto"/>
              <w:ind w:firstLine="0"/>
              <w:jc w:val="both"/>
              <w:rPr>
                <w:rFonts w:ascii="Times New Roman"/>
                <w:snapToGrid w:val="0"/>
                <w:color w:val="000000" w:themeColor="text1"/>
                <w:kern w:val="21"/>
                <w:szCs w:val="21"/>
                <w14:textFill>
                  <w14:solidFill>
                    <w14:schemeClr w14:val="tx1"/>
                  </w14:solidFill>
                </w14:textFill>
              </w:rPr>
            </w:pPr>
            <w:r>
              <w:rPr>
                <w:rFonts w:hint="eastAsia" w:ascii="Times New Roman"/>
                <w:snapToGrid w:val="0"/>
                <w:color w:val="000000" w:themeColor="text1"/>
                <w:kern w:val="21"/>
                <w:szCs w:val="21"/>
                <w14:textFill>
                  <w14:solidFill>
                    <w14:schemeClr w14:val="tx1"/>
                  </w14:solidFill>
                </w14:textFill>
              </w:rPr>
              <w:t>+0.5</w:t>
            </w:r>
          </w:p>
        </w:tc>
      </w:tr>
    </w:tbl>
    <w:p w14:paraId="3AA89CBF">
      <w:pPr>
        <w:pStyle w:val="63"/>
        <w:ind w:firstLine="480"/>
        <w:rPr>
          <w:rFonts w:eastAsia="黑体"/>
          <w:color w:val="000000" w:themeColor="text1"/>
          <w14:textFill>
            <w14:solidFill>
              <w14:schemeClr w14:val="tx1"/>
            </w14:solidFill>
          </w14:textFill>
        </w:rPr>
      </w:pPr>
      <w:r>
        <w:rPr>
          <w:snapToGrid w:val="0"/>
          <w:color w:val="000000" w:themeColor="text1"/>
          <w14:textFill>
            <w14:solidFill>
              <w14:schemeClr w14:val="tx1"/>
            </w14:solidFill>
          </w14:textFill>
        </w:rPr>
        <w:t>注：</w:t>
      </w:r>
      <w:r>
        <w:rPr>
          <w:snapToGrid w:val="0"/>
          <w:color w:val="000000" w:themeColor="text1"/>
          <w:spacing w:val="-16"/>
          <w14:textFill>
            <w14:solidFill>
              <w14:schemeClr w14:val="tx1"/>
            </w14:solidFill>
          </w14:textFill>
        </w:rPr>
        <w:fldChar w:fldCharType="begin"/>
      </w:r>
      <w:r>
        <w:rPr>
          <w:snapToGrid w:val="0"/>
          <w:color w:val="000000" w:themeColor="text1"/>
          <w:spacing w:val="-16"/>
          <w14:textFill>
            <w14:solidFill>
              <w14:schemeClr w14:val="tx1"/>
            </w14:solidFill>
          </w14:textFill>
        </w:rPr>
        <w:instrText xml:space="preserve"> = 6 \* GB3 \* MERGEFORMAT </w:instrText>
      </w:r>
      <w:r>
        <w:rPr>
          <w:snapToGrid w:val="0"/>
          <w:color w:val="000000" w:themeColor="text1"/>
          <w:spacing w:val="-16"/>
          <w14:textFill>
            <w14:solidFill>
              <w14:schemeClr w14:val="tx1"/>
            </w14:solidFill>
          </w14:textFill>
        </w:rPr>
        <w:fldChar w:fldCharType="separate"/>
      </w:r>
      <w:r>
        <w:rPr>
          <w:color w:val="000000" w:themeColor="text1"/>
          <w14:textFill>
            <w14:solidFill>
              <w14:schemeClr w14:val="tx1"/>
            </w14:solidFill>
          </w14:textFill>
        </w:rPr>
        <w:t>⑥</w:t>
      </w:r>
      <w:r>
        <w:rPr>
          <w:snapToGrid w:val="0"/>
          <w:color w:val="000000" w:themeColor="text1"/>
          <w:spacing w:val="-16"/>
          <w14:textFill>
            <w14:solidFill>
              <w14:schemeClr w14:val="tx1"/>
            </w14:solidFill>
          </w14:textFill>
        </w:rPr>
        <w:fldChar w:fldCharType="end"/>
      </w:r>
      <w:r>
        <w:rPr>
          <w:snapToGrid w:val="0"/>
          <w:color w:val="000000" w:themeColor="text1"/>
          <w:spacing w:val="-16"/>
          <w14:textFill>
            <w14:solidFill>
              <w14:schemeClr w14:val="tx1"/>
            </w14:solidFill>
          </w14:textFill>
        </w:rPr>
        <w:t>=</w:t>
      </w:r>
      <w:r>
        <w:rPr>
          <w:snapToGrid w:val="0"/>
          <w:color w:val="000000" w:themeColor="text1"/>
          <w14:textFill>
            <w14:solidFill>
              <w14:schemeClr w14:val="tx1"/>
            </w14:solidFill>
          </w14:textFill>
        </w:rPr>
        <w:fldChar w:fldCharType="begin"/>
      </w:r>
      <w:r>
        <w:rPr>
          <w:snapToGrid w:val="0"/>
          <w:color w:val="000000" w:themeColor="text1"/>
          <w14:textFill>
            <w14:solidFill>
              <w14:schemeClr w14:val="tx1"/>
            </w14:solidFill>
          </w14:textFill>
        </w:rPr>
        <w:instrText xml:space="preserve"> = 1 \* GB3 \* MERGEFORMAT </w:instrText>
      </w:r>
      <w:r>
        <w:rPr>
          <w:snapToGrid w:val="0"/>
          <w:color w:val="000000" w:themeColor="text1"/>
          <w14:textFill>
            <w14:solidFill>
              <w14:schemeClr w14:val="tx1"/>
            </w14:solidFill>
          </w14:textFill>
        </w:rPr>
        <w:fldChar w:fldCharType="separate"/>
      </w:r>
      <w:r>
        <w:rPr>
          <w:color w:val="000000" w:themeColor="text1"/>
          <w14:textFill>
            <w14:solidFill>
              <w14:schemeClr w14:val="tx1"/>
            </w14:solidFill>
          </w14:textFill>
        </w:rPr>
        <w:t>①</w:t>
      </w:r>
      <w:r>
        <w:rPr>
          <w:snapToGrid w:val="0"/>
          <w:color w:val="000000" w:themeColor="text1"/>
          <w14:textFill>
            <w14:solidFill>
              <w14:schemeClr w14:val="tx1"/>
            </w14:solidFill>
          </w14:textFill>
        </w:rPr>
        <w:fldChar w:fldCharType="end"/>
      </w:r>
      <w:r>
        <w:rPr>
          <w:snapToGrid w:val="0"/>
          <w:color w:val="000000" w:themeColor="text1"/>
          <w14:textFill>
            <w14:solidFill>
              <w14:schemeClr w14:val="tx1"/>
            </w14:solidFill>
          </w14:textFill>
        </w:rPr>
        <w:t>+</w:t>
      </w:r>
      <w:r>
        <w:rPr>
          <w:snapToGrid w:val="0"/>
          <w:color w:val="000000" w:themeColor="text1"/>
          <w14:textFill>
            <w14:solidFill>
              <w14:schemeClr w14:val="tx1"/>
            </w14:solidFill>
          </w14:textFill>
        </w:rPr>
        <w:fldChar w:fldCharType="begin"/>
      </w:r>
      <w:r>
        <w:rPr>
          <w:snapToGrid w:val="0"/>
          <w:color w:val="000000" w:themeColor="text1"/>
          <w14:textFill>
            <w14:solidFill>
              <w14:schemeClr w14:val="tx1"/>
            </w14:solidFill>
          </w14:textFill>
        </w:rPr>
        <w:instrText xml:space="preserve"> = 3 \* GB3 \* MERGEFORMAT </w:instrText>
      </w:r>
      <w:r>
        <w:rPr>
          <w:snapToGrid w:val="0"/>
          <w:color w:val="000000" w:themeColor="text1"/>
          <w14:textFill>
            <w14:solidFill>
              <w14:schemeClr w14:val="tx1"/>
            </w14:solidFill>
          </w14:textFill>
        </w:rPr>
        <w:fldChar w:fldCharType="separate"/>
      </w:r>
      <w:r>
        <w:rPr>
          <w:color w:val="000000" w:themeColor="text1"/>
          <w14:textFill>
            <w14:solidFill>
              <w14:schemeClr w14:val="tx1"/>
            </w14:solidFill>
          </w14:textFill>
        </w:rPr>
        <w:t>③</w:t>
      </w:r>
      <w:r>
        <w:rPr>
          <w:snapToGrid w:val="0"/>
          <w:color w:val="000000" w:themeColor="text1"/>
          <w14:textFill>
            <w14:solidFill>
              <w14:schemeClr w14:val="tx1"/>
            </w14:solidFill>
          </w14:textFill>
        </w:rPr>
        <w:fldChar w:fldCharType="end"/>
      </w:r>
      <w:r>
        <w:rPr>
          <w:snapToGrid w:val="0"/>
          <w:color w:val="000000" w:themeColor="text1"/>
          <w14:textFill>
            <w14:solidFill>
              <w14:schemeClr w14:val="tx1"/>
            </w14:solidFill>
          </w14:textFill>
        </w:rPr>
        <w:t>+</w:t>
      </w:r>
      <w:r>
        <w:rPr>
          <w:snapToGrid w:val="0"/>
          <w:color w:val="000000" w:themeColor="text1"/>
          <w14:textFill>
            <w14:solidFill>
              <w14:schemeClr w14:val="tx1"/>
            </w14:solidFill>
          </w14:textFill>
        </w:rPr>
        <w:fldChar w:fldCharType="begin"/>
      </w:r>
      <w:r>
        <w:rPr>
          <w:snapToGrid w:val="0"/>
          <w:color w:val="000000" w:themeColor="text1"/>
          <w14:textFill>
            <w14:solidFill>
              <w14:schemeClr w14:val="tx1"/>
            </w14:solidFill>
          </w14:textFill>
        </w:rPr>
        <w:instrText xml:space="preserve"> = 4 \* GB3 \* MERGEFORMAT </w:instrText>
      </w:r>
      <w:r>
        <w:rPr>
          <w:snapToGrid w:val="0"/>
          <w:color w:val="000000" w:themeColor="text1"/>
          <w14:textFill>
            <w14:solidFill>
              <w14:schemeClr w14:val="tx1"/>
            </w14:solidFill>
          </w14:textFill>
        </w:rPr>
        <w:fldChar w:fldCharType="separate"/>
      </w:r>
      <w:r>
        <w:rPr>
          <w:color w:val="000000" w:themeColor="text1"/>
          <w14:textFill>
            <w14:solidFill>
              <w14:schemeClr w14:val="tx1"/>
            </w14:solidFill>
          </w14:textFill>
        </w:rPr>
        <w:t>④</w:t>
      </w:r>
      <w:r>
        <w:rPr>
          <w:snapToGrid w:val="0"/>
          <w:color w:val="000000" w:themeColor="text1"/>
          <w14:textFill>
            <w14:solidFill>
              <w14:schemeClr w14:val="tx1"/>
            </w14:solidFill>
          </w14:textFill>
        </w:rPr>
        <w:fldChar w:fldCharType="end"/>
      </w:r>
      <w:r>
        <w:rPr>
          <w:snapToGrid w:val="0"/>
          <w:color w:val="000000" w:themeColor="text1"/>
          <w14:textFill>
            <w14:solidFill>
              <w14:schemeClr w14:val="tx1"/>
            </w14:solidFill>
          </w14:textFill>
        </w:rPr>
        <w:t>-</w:t>
      </w:r>
      <w:r>
        <w:rPr>
          <w:snapToGrid w:val="0"/>
          <w:color w:val="000000" w:themeColor="text1"/>
          <w:spacing w:val="-16"/>
          <w14:textFill>
            <w14:solidFill>
              <w14:schemeClr w14:val="tx1"/>
            </w14:solidFill>
          </w14:textFill>
        </w:rPr>
        <w:fldChar w:fldCharType="begin"/>
      </w:r>
      <w:r>
        <w:rPr>
          <w:snapToGrid w:val="0"/>
          <w:color w:val="000000" w:themeColor="text1"/>
          <w:spacing w:val="-16"/>
          <w14:textFill>
            <w14:solidFill>
              <w14:schemeClr w14:val="tx1"/>
            </w14:solidFill>
          </w14:textFill>
        </w:rPr>
        <w:instrText xml:space="preserve"> = 5 \* GB3 \* MERGEFORMAT </w:instrText>
      </w:r>
      <w:r>
        <w:rPr>
          <w:snapToGrid w:val="0"/>
          <w:color w:val="000000" w:themeColor="text1"/>
          <w:spacing w:val="-16"/>
          <w14:textFill>
            <w14:solidFill>
              <w14:schemeClr w14:val="tx1"/>
            </w14:solidFill>
          </w14:textFill>
        </w:rPr>
        <w:fldChar w:fldCharType="separate"/>
      </w:r>
      <w:r>
        <w:rPr>
          <w:color w:val="000000" w:themeColor="text1"/>
          <w14:textFill>
            <w14:solidFill>
              <w14:schemeClr w14:val="tx1"/>
            </w14:solidFill>
          </w14:textFill>
        </w:rPr>
        <w:t>⑤</w:t>
      </w:r>
      <w:r>
        <w:rPr>
          <w:snapToGrid w:val="0"/>
          <w:color w:val="000000" w:themeColor="text1"/>
          <w:spacing w:val="-16"/>
          <w14:textFill>
            <w14:solidFill>
              <w14:schemeClr w14:val="tx1"/>
            </w14:solidFill>
          </w14:textFill>
        </w:rPr>
        <w:fldChar w:fldCharType="end"/>
      </w:r>
      <w:r>
        <w:rPr>
          <w:snapToGrid w:val="0"/>
          <w:color w:val="000000" w:themeColor="text1"/>
          <w:spacing w:val="-16"/>
          <w14:textFill>
            <w14:solidFill>
              <w14:schemeClr w14:val="tx1"/>
            </w14:solidFill>
          </w14:textFill>
        </w:rPr>
        <w:t>；</w:t>
      </w:r>
      <w:r>
        <w:rPr>
          <w:snapToGrid w:val="0"/>
          <w:color w:val="000000" w:themeColor="text1"/>
          <w14:textFill>
            <w14:solidFill>
              <w14:schemeClr w14:val="tx1"/>
            </w14:solidFill>
          </w14:textFill>
        </w:rPr>
        <w:fldChar w:fldCharType="begin"/>
      </w:r>
      <w:r>
        <w:rPr>
          <w:snapToGrid w:val="0"/>
          <w:color w:val="000000" w:themeColor="text1"/>
          <w14:textFill>
            <w14:solidFill>
              <w14:schemeClr w14:val="tx1"/>
            </w14:solidFill>
          </w14:textFill>
        </w:rPr>
        <w:instrText xml:space="preserve"> = 7 \* GB3 \* MERGEFORMAT </w:instrText>
      </w:r>
      <w:r>
        <w:rPr>
          <w:snapToGrid w:val="0"/>
          <w:color w:val="000000" w:themeColor="text1"/>
          <w14:textFill>
            <w14:solidFill>
              <w14:schemeClr w14:val="tx1"/>
            </w14:solidFill>
          </w14:textFill>
        </w:rPr>
        <w:fldChar w:fldCharType="separate"/>
      </w:r>
      <w:r>
        <w:rPr>
          <w:color w:val="000000" w:themeColor="text1"/>
          <w14:textFill>
            <w14:solidFill>
              <w14:schemeClr w14:val="tx1"/>
            </w14:solidFill>
          </w14:textFill>
        </w:rPr>
        <w:t>⑦</w:t>
      </w:r>
      <w:r>
        <w:rPr>
          <w:snapToGrid w:val="0"/>
          <w:color w:val="000000" w:themeColor="text1"/>
          <w14:textFill>
            <w14:solidFill>
              <w14:schemeClr w14:val="tx1"/>
            </w14:solidFill>
          </w14:textFill>
        </w:rPr>
        <w:fldChar w:fldCharType="end"/>
      </w:r>
      <w:r>
        <w:rPr>
          <w:snapToGrid w:val="0"/>
          <w:color w:val="000000" w:themeColor="text1"/>
          <w14:textFill>
            <w14:solidFill>
              <w14:schemeClr w14:val="tx1"/>
            </w14:solidFill>
          </w14:textFill>
        </w:rPr>
        <w:t>=</w:t>
      </w:r>
      <w:r>
        <w:rPr>
          <w:snapToGrid w:val="0"/>
          <w:color w:val="000000" w:themeColor="text1"/>
          <w:spacing w:val="-16"/>
          <w14:textFill>
            <w14:solidFill>
              <w14:schemeClr w14:val="tx1"/>
            </w14:solidFill>
          </w14:textFill>
        </w:rPr>
        <w:fldChar w:fldCharType="begin"/>
      </w:r>
      <w:r>
        <w:rPr>
          <w:snapToGrid w:val="0"/>
          <w:color w:val="000000" w:themeColor="text1"/>
          <w:spacing w:val="-16"/>
          <w14:textFill>
            <w14:solidFill>
              <w14:schemeClr w14:val="tx1"/>
            </w14:solidFill>
          </w14:textFill>
        </w:rPr>
        <w:instrText xml:space="preserve"> = 6 \* GB3 \* MERGEFORMAT </w:instrText>
      </w:r>
      <w:r>
        <w:rPr>
          <w:snapToGrid w:val="0"/>
          <w:color w:val="000000" w:themeColor="text1"/>
          <w:spacing w:val="-16"/>
          <w14:textFill>
            <w14:solidFill>
              <w14:schemeClr w14:val="tx1"/>
            </w14:solidFill>
          </w14:textFill>
        </w:rPr>
        <w:fldChar w:fldCharType="separate"/>
      </w:r>
      <w:r>
        <w:rPr>
          <w:color w:val="000000" w:themeColor="text1"/>
          <w14:textFill>
            <w14:solidFill>
              <w14:schemeClr w14:val="tx1"/>
            </w14:solidFill>
          </w14:textFill>
        </w:rPr>
        <w:t>⑥</w:t>
      </w:r>
      <w:r>
        <w:rPr>
          <w:snapToGrid w:val="0"/>
          <w:color w:val="000000" w:themeColor="text1"/>
          <w:spacing w:val="-16"/>
          <w14:textFill>
            <w14:solidFill>
              <w14:schemeClr w14:val="tx1"/>
            </w14:solidFill>
          </w14:textFill>
        </w:rPr>
        <w:fldChar w:fldCharType="end"/>
      </w:r>
      <w:r>
        <w:rPr>
          <w:snapToGrid w:val="0"/>
          <w:color w:val="000000" w:themeColor="text1"/>
          <w:spacing w:val="-16"/>
          <w14:textFill>
            <w14:solidFill>
              <w14:schemeClr w14:val="tx1"/>
            </w14:solidFill>
          </w14:textFill>
        </w:rPr>
        <w:t>-</w:t>
      </w:r>
      <w:r>
        <w:rPr>
          <w:snapToGrid w:val="0"/>
          <w:color w:val="000000" w:themeColor="text1"/>
          <w14:textFill>
            <w14:solidFill>
              <w14:schemeClr w14:val="tx1"/>
            </w14:solidFill>
          </w14:textFill>
        </w:rPr>
        <w:fldChar w:fldCharType="begin"/>
      </w:r>
      <w:r>
        <w:rPr>
          <w:snapToGrid w:val="0"/>
          <w:color w:val="000000" w:themeColor="text1"/>
          <w14:textFill>
            <w14:solidFill>
              <w14:schemeClr w14:val="tx1"/>
            </w14:solidFill>
          </w14:textFill>
        </w:rPr>
        <w:instrText xml:space="preserve"> = 1 \* GB3 \* MERGEFORMAT </w:instrText>
      </w:r>
      <w:r>
        <w:rPr>
          <w:snapToGrid w:val="0"/>
          <w:color w:val="000000" w:themeColor="text1"/>
          <w14:textFill>
            <w14:solidFill>
              <w14:schemeClr w14:val="tx1"/>
            </w14:solidFill>
          </w14:textFill>
        </w:rPr>
        <w:fldChar w:fldCharType="separate"/>
      </w:r>
      <w:r>
        <w:rPr>
          <w:color w:val="000000" w:themeColor="text1"/>
          <w14:textFill>
            <w14:solidFill>
              <w14:schemeClr w14:val="tx1"/>
            </w14:solidFill>
          </w14:textFill>
        </w:rPr>
        <w:t>①</w:t>
      </w:r>
      <w:r>
        <w:rPr>
          <w:snapToGrid w:val="0"/>
          <w:color w:val="000000" w:themeColor="text1"/>
          <w14:textFill>
            <w14:solidFill>
              <w14:schemeClr w14:val="tx1"/>
            </w14:solidFill>
          </w14:textFill>
        </w:rPr>
        <w:fldChar w:fldCharType="end"/>
      </w:r>
    </w:p>
    <w:sectPr>
      <w:headerReference r:id="rId6" w:type="default"/>
      <w:footerReference r:id="rId7" w:type="default"/>
      <w:pgSz w:w="16838" w:h="11906" w:orient="landscape"/>
      <w:pgMar w:top="1531" w:right="1701" w:bottom="1531" w:left="1701" w:header="851" w:footer="85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FE94C0F-4039-4122-A5C3-74CAD0FDBDD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2" w:fontKey="{A1F22F1D-9D74-489E-9597-19A3EB8C4944}"/>
  </w:font>
  <w:font w:name="ˎ̥">
    <w:altName w:val="Times New Roman"/>
    <w:panose1 w:val="00000000000000000000"/>
    <w:charset w:val="00"/>
    <w:family w:val="roman"/>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embedRegular r:id="rId3" w:fontKey="{0A18F545-64A9-4E5F-98ED-2AE5510D617E}"/>
  </w:font>
  <w:font w:name="仿宋_GB2312">
    <w:panose1 w:val="02010609030101010101"/>
    <w:charset w:val="86"/>
    <w:family w:val="modern"/>
    <w:pitch w:val="default"/>
    <w:sig w:usb0="00000001" w:usb1="080E0000" w:usb2="00000000" w:usb3="00000000" w:csb0="00040000" w:csb1="00000000"/>
    <w:embedRegular r:id="rId4" w:fontKey="{DD6DD2EC-3B4E-477B-A8F0-A9F46EAC97B0}"/>
  </w:font>
  <w:font w:name="方正小标宋_GBK">
    <w:panose1 w:val="02000000000000000000"/>
    <w:charset w:val="86"/>
    <w:family w:val="script"/>
    <w:pitch w:val="default"/>
    <w:sig w:usb0="A00002BF" w:usb1="38CF7CFA" w:usb2="00082016" w:usb3="00000000" w:csb0="00040001" w:csb1="00000000"/>
    <w:embedRegular r:id="rId5" w:fontKey="{E9EBE32F-71BE-49BC-9AFE-15CA25F6FAA2}"/>
  </w:font>
  <w:font w:name="华文仿宋">
    <w:altName w:val="仿宋"/>
    <w:panose1 w:val="02010600040101010101"/>
    <w:charset w:val="86"/>
    <w:family w:val="auto"/>
    <w:pitch w:val="default"/>
    <w:sig w:usb0="00000000" w:usb1="00000000" w:usb2="00000010" w:usb3="00000000" w:csb0="0004009F" w:csb1="00000000"/>
    <w:embedRegular r:id="rId6" w:fontKey="{FC5358D4-6D2D-484A-AB33-0841CD853468}"/>
  </w:font>
  <w:font w:name="Wingdings 2">
    <w:panose1 w:val="05020102010507070707"/>
    <w:charset w:val="02"/>
    <w:family w:val="roman"/>
    <w:pitch w:val="default"/>
    <w:sig w:usb0="00000000" w:usb1="00000000" w:usb2="00000000" w:usb3="00000000" w:csb0="80000000" w:csb1="00000000"/>
    <w:embedRegular r:id="rId7" w:fontKey="{C230BC4D-54B1-4AF6-857C-35F7509FE8AD}"/>
  </w:font>
  <w:font w:name="Segoe UI">
    <w:panose1 w:val="020B0502040204020203"/>
    <w:charset w:val="00"/>
    <w:family w:val="swiss"/>
    <w:pitch w:val="default"/>
    <w:sig w:usb0="E4002EFF" w:usb1="C000E47F" w:usb2="00000009" w:usb3="00000000" w:csb0="200001FF" w:csb1="00000000"/>
    <w:embedRegular r:id="rId8" w:fontKey="{74B253F9-DFAA-4EC5-A5D2-F9ABD6AAE904}"/>
  </w:font>
  <w:font w:name="TimesNewRoman">
    <w:altName w:val="宋体"/>
    <w:panose1 w:val="00000000000000000000"/>
    <w:charset w:val="86"/>
    <w:family w:val="auto"/>
    <w:pitch w:val="default"/>
    <w:sig w:usb0="00000000" w:usb1="00000000" w:usb2="00000000" w:usb3="00000000" w:csb0="00040000" w:csb1="00000000"/>
    <w:embedRegular r:id="rId9" w:fontKey="{F0A1A1C0-B939-447D-8038-4BDED535773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CC3EC">
    <w:pPr>
      <w:pStyle w:val="1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53931">
    <w:pPr>
      <w:pStyle w:val="16"/>
      <w:framePr w:wrap="around" w:vAnchor="text" w:hAnchor="margin" w:xAlign="outside" w:y="1"/>
      <w:rPr>
        <w:rStyle w:val="28"/>
        <w:rFonts w:ascii="宋体" w:hAnsi="宋体"/>
        <w:sz w:val="28"/>
        <w:szCs w:val="28"/>
      </w:rPr>
    </w:pPr>
    <w:r>
      <w:rPr>
        <w:rStyle w:val="28"/>
        <w:rFonts w:hint="eastAsia" w:ascii="宋体" w:hAnsi="宋体"/>
        <w:sz w:val="28"/>
        <w:szCs w:val="28"/>
      </w:rPr>
      <w:t>—</w:t>
    </w:r>
    <w:r>
      <w:rPr>
        <w:rStyle w:val="28"/>
        <w:rFonts w:hint="eastAsia" w:ascii="宋体" w:hAnsi="宋体"/>
        <w:sz w:val="20"/>
      </w:rPr>
      <w:t xml:space="preserve">  </w:t>
    </w:r>
    <w:r>
      <w:rPr>
        <w:rFonts w:ascii="宋体" w:hAnsi="宋体"/>
        <w:sz w:val="20"/>
      </w:rPr>
      <w:fldChar w:fldCharType="begin"/>
    </w:r>
    <w:r>
      <w:rPr>
        <w:rStyle w:val="28"/>
        <w:rFonts w:ascii="宋体" w:hAnsi="宋体"/>
        <w:sz w:val="20"/>
      </w:rPr>
      <w:instrText xml:space="preserve">PAGE  </w:instrText>
    </w:r>
    <w:r>
      <w:rPr>
        <w:rFonts w:ascii="宋体" w:hAnsi="宋体"/>
        <w:sz w:val="20"/>
      </w:rPr>
      <w:fldChar w:fldCharType="separate"/>
    </w:r>
    <w:r>
      <w:rPr>
        <w:rStyle w:val="28"/>
        <w:rFonts w:ascii="宋体" w:hAnsi="宋体"/>
        <w:sz w:val="20"/>
      </w:rPr>
      <w:t>2</w:t>
    </w:r>
    <w:r>
      <w:rPr>
        <w:rFonts w:ascii="宋体" w:hAnsi="宋体"/>
        <w:sz w:val="20"/>
      </w:rPr>
      <w:fldChar w:fldCharType="end"/>
    </w:r>
    <w:r>
      <w:rPr>
        <w:rStyle w:val="28"/>
        <w:rFonts w:hint="eastAsia" w:ascii="宋体" w:hAnsi="宋体"/>
        <w:sz w:val="20"/>
      </w:rPr>
      <w:t xml:space="preserve">  </w:t>
    </w:r>
    <w:r>
      <w:rPr>
        <w:rStyle w:val="28"/>
        <w:rFonts w:hint="eastAsia" w:ascii="宋体" w:hAnsi="宋体"/>
        <w:sz w:val="28"/>
        <w:szCs w:val="28"/>
      </w:rPr>
      <w:t>—</w:t>
    </w:r>
  </w:p>
  <w:p w14:paraId="08D5B5EF">
    <w:pPr>
      <w:pStyle w:val="16"/>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F2085">
    <w:pPr>
      <w:pStyle w:val="16"/>
      <w:framePr w:wrap="around" w:vAnchor="text" w:hAnchor="margin" w:xAlign="outside" w:y="1"/>
      <w:rPr>
        <w:rStyle w:val="28"/>
        <w:rFonts w:ascii="宋体" w:hAnsi="宋体"/>
        <w:sz w:val="28"/>
        <w:szCs w:val="28"/>
      </w:rPr>
    </w:pPr>
    <w:r>
      <w:rPr>
        <w:rStyle w:val="28"/>
        <w:rFonts w:hint="eastAsia" w:ascii="宋体" w:hAnsi="宋体"/>
        <w:sz w:val="28"/>
        <w:szCs w:val="28"/>
      </w:rPr>
      <w:t>—</w:t>
    </w:r>
    <w:r>
      <w:rPr>
        <w:rStyle w:val="28"/>
        <w:rFonts w:hint="eastAsia" w:ascii="宋体" w:hAnsi="宋体"/>
        <w:sz w:val="20"/>
      </w:rPr>
      <w:t xml:space="preserve">  </w:t>
    </w:r>
    <w:r>
      <w:rPr>
        <w:rFonts w:ascii="宋体" w:hAnsi="宋体"/>
        <w:sz w:val="26"/>
        <w:szCs w:val="26"/>
      </w:rPr>
      <w:fldChar w:fldCharType="begin"/>
    </w:r>
    <w:r>
      <w:rPr>
        <w:rStyle w:val="28"/>
        <w:rFonts w:ascii="宋体" w:hAnsi="宋体"/>
        <w:sz w:val="26"/>
        <w:szCs w:val="26"/>
      </w:rPr>
      <w:instrText xml:space="preserve">PAGE  </w:instrText>
    </w:r>
    <w:r>
      <w:rPr>
        <w:rFonts w:ascii="宋体" w:hAnsi="宋体"/>
        <w:sz w:val="26"/>
        <w:szCs w:val="26"/>
      </w:rPr>
      <w:fldChar w:fldCharType="separate"/>
    </w:r>
    <w:r>
      <w:rPr>
        <w:rStyle w:val="28"/>
        <w:rFonts w:ascii="宋体" w:hAnsi="宋体"/>
        <w:sz w:val="26"/>
        <w:szCs w:val="26"/>
      </w:rPr>
      <w:t>92</w:t>
    </w:r>
    <w:r>
      <w:rPr>
        <w:rFonts w:ascii="宋体" w:hAnsi="宋体"/>
        <w:sz w:val="26"/>
        <w:szCs w:val="26"/>
      </w:rPr>
      <w:fldChar w:fldCharType="end"/>
    </w:r>
    <w:r>
      <w:rPr>
        <w:rStyle w:val="28"/>
        <w:rFonts w:hint="eastAsia" w:ascii="宋体" w:hAnsi="宋体"/>
        <w:sz w:val="20"/>
      </w:rPr>
      <w:t xml:space="preserve">  </w:t>
    </w:r>
    <w:r>
      <w:rPr>
        <w:rStyle w:val="28"/>
        <w:rFonts w:hint="eastAsia" w:ascii="宋体" w:hAnsi="宋体"/>
        <w:sz w:val="28"/>
        <w:szCs w:val="28"/>
      </w:rPr>
      <w:t>—</w:t>
    </w:r>
  </w:p>
  <w:p w14:paraId="1911CFBC">
    <w:pPr>
      <w:pStyle w:val="16"/>
      <w:ind w:right="360" w:firstLine="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0F837">
    <w:pPr>
      <w:pStyle w:val="2"/>
      <w:rPr>
        <w:i/>
        <w:iCs/>
        <w:sz w:val="16"/>
        <w:szCs w:val="18"/>
      </w:rPr>
    </w:pPr>
    <w:r>
      <w:rPr>
        <w:rFonts w:hint="eastAsia" w:ascii="宋体" w:hAnsi="宋体" w:cs="宋体"/>
        <w:i/>
        <w:iCs/>
        <w:sz w:val="22"/>
        <w:szCs w:val="22"/>
      </w:rPr>
      <w:t>青思生物科技（寻甸）有限责任公司低变质褐煤、磷矿石浮选尾矿综合利用项目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88457">
    <w:pPr>
      <w:pStyle w:val="2"/>
      <w:rPr>
        <w:i/>
        <w:iCs/>
        <w:sz w:val="16"/>
        <w:szCs w:val="18"/>
      </w:rPr>
    </w:pPr>
    <w:r>
      <w:rPr>
        <w:rFonts w:hint="eastAsia" w:ascii="宋体" w:hAnsi="宋体" w:cs="宋体"/>
        <w:i/>
        <w:iCs/>
        <w:sz w:val="22"/>
        <w:szCs w:val="22"/>
      </w:rPr>
      <w:t>青思生物科技（寻甸）有限责任公司低变质褐煤、磷矿石浮选尾矿综合利用项目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4FBB84"/>
    <w:multiLevelType w:val="singleLevel"/>
    <w:tmpl w:val="944FBB84"/>
    <w:lvl w:ilvl="0" w:tentative="0">
      <w:start w:val="1"/>
      <w:numFmt w:val="chineseCounting"/>
      <w:suff w:val="nothing"/>
      <w:lvlText w:val="%1、"/>
      <w:lvlJc w:val="left"/>
      <w:rPr>
        <w:rFonts w:hint="eastAsia"/>
      </w:rPr>
    </w:lvl>
  </w:abstractNum>
  <w:abstractNum w:abstractNumId="1">
    <w:nsid w:val="EFDD7502"/>
    <w:multiLevelType w:val="singleLevel"/>
    <w:tmpl w:val="EFDD7502"/>
    <w:lvl w:ilvl="0" w:tentative="0">
      <w:start w:val="1"/>
      <w:numFmt w:val="upperLetter"/>
      <w:suff w:val="nothing"/>
      <w:lvlText w:val="%1、"/>
      <w:lvlJc w:val="left"/>
    </w:lvl>
  </w:abstractNum>
  <w:abstractNum w:abstractNumId="2">
    <w:nsid w:val="576CEBC4"/>
    <w:multiLevelType w:val="singleLevel"/>
    <w:tmpl w:val="576CEBC4"/>
    <w:lvl w:ilvl="0" w:tentative="0">
      <w:start w:val="1"/>
      <w:numFmt w:val="decimal"/>
      <w:suff w:val="nothing"/>
      <w:lvlText w:val="%1、"/>
      <w:lvlJc w:val="left"/>
    </w:lvl>
  </w:abstractNum>
  <w:abstractNum w:abstractNumId="3">
    <w:nsid w:val="670799FE"/>
    <w:multiLevelType w:val="singleLevel"/>
    <w:tmpl w:val="670799FE"/>
    <w:lvl w:ilvl="0" w:tentative="0">
      <w:start w:val="2"/>
      <w:numFmt w:val="decimal"/>
      <w:suff w:val="nothing"/>
      <w:lvlText w:val="%1、"/>
      <w:lvlJc w:val="left"/>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doNotHyphenateCaps/>
  <w:drawingGridVerticalSpacing w:val="156"/>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4NTE0YzgwYmE1OWQzYTk0YWU1ODEzMzU0NTJlNTkifQ=="/>
  </w:docVars>
  <w:rsids>
    <w:rsidRoot w:val="00A14947"/>
    <w:rsid w:val="000052C0"/>
    <w:rsid w:val="000060B3"/>
    <w:rsid w:val="0004364B"/>
    <w:rsid w:val="00061B1F"/>
    <w:rsid w:val="000733C4"/>
    <w:rsid w:val="00074783"/>
    <w:rsid w:val="00076ED0"/>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0122A"/>
    <w:rsid w:val="00131F42"/>
    <w:rsid w:val="001357F1"/>
    <w:rsid w:val="00135D27"/>
    <w:rsid w:val="00136457"/>
    <w:rsid w:val="00140FA8"/>
    <w:rsid w:val="00142FEB"/>
    <w:rsid w:val="00143A2D"/>
    <w:rsid w:val="00145A41"/>
    <w:rsid w:val="00151675"/>
    <w:rsid w:val="00157435"/>
    <w:rsid w:val="0017504D"/>
    <w:rsid w:val="0017671A"/>
    <w:rsid w:val="00177422"/>
    <w:rsid w:val="0018276D"/>
    <w:rsid w:val="00184590"/>
    <w:rsid w:val="001870D1"/>
    <w:rsid w:val="0018781E"/>
    <w:rsid w:val="0019262D"/>
    <w:rsid w:val="001A1B35"/>
    <w:rsid w:val="001A48A2"/>
    <w:rsid w:val="001A6F61"/>
    <w:rsid w:val="001B72B8"/>
    <w:rsid w:val="001C69B3"/>
    <w:rsid w:val="001C7814"/>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248B"/>
    <w:rsid w:val="003B420D"/>
    <w:rsid w:val="003C6C16"/>
    <w:rsid w:val="003D794D"/>
    <w:rsid w:val="003E3058"/>
    <w:rsid w:val="003E4244"/>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569"/>
    <w:rsid w:val="004A3823"/>
    <w:rsid w:val="004E6946"/>
    <w:rsid w:val="004F18F6"/>
    <w:rsid w:val="004F1AD8"/>
    <w:rsid w:val="004F7BE9"/>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3807"/>
    <w:rsid w:val="00617CC3"/>
    <w:rsid w:val="0063182E"/>
    <w:rsid w:val="006377A6"/>
    <w:rsid w:val="00637A3D"/>
    <w:rsid w:val="006411EF"/>
    <w:rsid w:val="00665BAD"/>
    <w:rsid w:val="0067092F"/>
    <w:rsid w:val="006748B8"/>
    <w:rsid w:val="006775C3"/>
    <w:rsid w:val="0069290A"/>
    <w:rsid w:val="00696833"/>
    <w:rsid w:val="0069775A"/>
    <w:rsid w:val="00697813"/>
    <w:rsid w:val="006A3EE8"/>
    <w:rsid w:val="006A72BF"/>
    <w:rsid w:val="006B03F2"/>
    <w:rsid w:val="006B37DC"/>
    <w:rsid w:val="006B4F68"/>
    <w:rsid w:val="006C0592"/>
    <w:rsid w:val="006C272E"/>
    <w:rsid w:val="006C5479"/>
    <w:rsid w:val="006D13B5"/>
    <w:rsid w:val="006E12FF"/>
    <w:rsid w:val="006E365E"/>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37479"/>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67B"/>
    <w:rsid w:val="009C7DD5"/>
    <w:rsid w:val="009E227D"/>
    <w:rsid w:val="009E5019"/>
    <w:rsid w:val="009F2317"/>
    <w:rsid w:val="00A04F1B"/>
    <w:rsid w:val="00A0501B"/>
    <w:rsid w:val="00A14947"/>
    <w:rsid w:val="00A312E3"/>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C7D90"/>
    <w:rsid w:val="00AD055E"/>
    <w:rsid w:val="00AD47A7"/>
    <w:rsid w:val="00AE3075"/>
    <w:rsid w:val="00AF0CBF"/>
    <w:rsid w:val="00AF257F"/>
    <w:rsid w:val="00AF33CF"/>
    <w:rsid w:val="00AF4D50"/>
    <w:rsid w:val="00AF606B"/>
    <w:rsid w:val="00AF6179"/>
    <w:rsid w:val="00B1295A"/>
    <w:rsid w:val="00B20A45"/>
    <w:rsid w:val="00B22C5C"/>
    <w:rsid w:val="00B24F30"/>
    <w:rsid w:val="00B31ABF"/>
    <w:rsid w:val="00B31D2A"/>
    <w:rsid w:val="00B33BE3"/>
    <w:rsid w:val="00B46E90"/>
    <w:rsid w:val="00B53B5D"/>
    <w:rsid w:val="00B55A4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1AFD"/>
    <w:rsid w:val="00C82232"/>
    <w:rsid w:val="00C82913"/>
    <w:rsid w:val="00C84172"/>
    <w:rsid w:val="00C972B1"/>
    <w:rsid w:val="00CA2CCE"/>
    <w:rsid w:val="00CA43FD"/>
    <w:rsid w:val="00CA7EF8"/>
    <w:rsid w:val="00CB14E8"/>
    <w:rsid w:val="00CC489B"/>
    <w:rsid w:val="00CD2BCD"/>
    <w:rsid w:val="00CD3A4C"/>
    <w:rsid w:val="00CD5543"/>
    <w:rsid w:val="00CE10E9"/>
    <w:rsid w:val="00CE2910"/>
    <w:rsid w:val="00CE5393"/>
    <w:rsid w:val="00CF36BE"/>
    <w:rsid w:val="00CF6000"/>
    <w:rsid w:val="00D003F3"/>
    <w:rsid w:val="00D0364F"/>
    <w:rsid w:val="00D06834"/>
    <w:rsid w:val="00D308ED"/>
    <w:rsid w:val="00D36D86"/>
    <w:rsid w:val="00D428AA"/>
    <w:rsid w:val="00D50A34"/>
    <w:rsid w:val="00D53EFA"/>
    <w:rsid w:val="00D5638F"/>
    <w:rsid w:val="00D94A7C"/>
    <w:rsid w:val="00D95896"/>
    <w:rsid w:val="00DB2983"/>
    <w:rsid w:val="00DC1257"/>
    <w:rsid w:val="00DC3DC0"/>
    <w:rsid w:val="00DC5B2B"/>
    <w:rsid w:val="00DD318D"/>
    <w:rsid w:val="00DD4899"/>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93B0C"/>
    <w:rsid w:val="00EB5255"/>
    <w:rsid w:val="00EB5C47"/>
    <w:rsid w:val="00ED0639"/>
    <w:rsid w:val="00EE090D"/>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2515C4"/>
    <w:rsid w:val="01290F7E"/>
    <w:rsid w:val="014A2DD9"/>
    <w:rsid w:val="015D1E09"/>
    <w:rsid w:val="01890503"/>
    <w:rsid w:val="018E39C1"/>
    <w:rsid w:val="019B45FB"/>
    <w:rsid w:val="01A32934"/>
    <w:rsid w:val="01DF0C91"/>
    <w:rsid w:val="01EB3C87"/>
    <w:rsid w:val="021C29C7"/>
    <w:rsid w:val="022B0E5C"/>
    <w:rsid w:val="022B3727"/>
    <w:rsid w:val="02327480"/>
    <w:rsid w:val="023C0D74"/>
    <w:rsid w:val="02581525"/>
    <w:rsid w:val="02697903"/>
    <w:rsid w:val="02787934"/>
    <w:rsid w:val="02976587"/>
    <w:rsid w:val="02A23B34"/>
    <w:rsid w:val="02AE51B8"/>
    <w:rsid w:val="02C91AF7"/>
    <w:rsid w:val="02EC3DBB"/>
    <w:rsid w:val="02F96569"/>
    <w:rsid w:val="02FF3845"/>
    <w:rsid w:val="030F42DA"/>
    <w:rsid w:val="0317343D"/>
    <w:rsid w:val="034D6BB0"/>
    <w:rsid w:val="036505AD"/>
    <w:rsid w:val="038668A6"/>
    <w:rsid w:val="03B622D6"/>
    <w:rsid w:val="03EA7B21"/>
    <w:rsid w:val="03EE3B84"/>
    <w:rsid w:val="040E282F"/>
    <w:rsid w:val="042D47E5"/>
    <w:rsid w:val="04345913"/>
    <w:rsid w:val="044208FA"/>
    <w:rsid w:val="045B0E6A"/>
    <w:rsid w:val="046F2F6F"/>
    <w:rsid w:val="0479394D"/>
    <w:rsid w:val="048E122E"/>
    <w:rsid w:val="04976320"/>
    <w:rsid w:val="049B4BDA"/>
    <w:rsid w:val="04C36759"/>
    <w:rsid w:val="04D9632B"/>
    <w:rsid w:val="04DD3F64"/>
    <w:rsid w:val="04FB19A9"/>
    <w:rsid w:val="04FE4501"/>
    <w:rsid w:val="05094D59"/>
    <w:rsid w:val="05180CDC"/>
    <w:rsid w:val="051E0804"/>
    <w:rsid w:val="05216A04"/>
    <w:rsid w:val="05223BF7"/>
    <w:rsid w:val="05426CB3"/>
    <w:rsid w:val="054933A7"/>
    <w:rsid w:val="054A15F9"/>
    <w:rsid w:val="05942373"/>
    <w:rsid w:val="05B42F17"/>
    <w:rsid w:val="05C141CF"/>
    <w:rsid w:val="05C92212"/>
    <w:rsid w:val="05E076A3"/>
    <w:rsid w:val="05F24570"/>
    <w:rsid w:val="05F2590E"/>
    <w:rsid w:val="05F83EAE"/>
    <w:rsid w:val="0609263B"/>
    <w:rsid w:val="060D7AD6"/>
    <w:rsid w:val="062F4C70"/>
    <w:rsid w:val="06385214"/>
    <w:rsid w:val="063E2DC2"/>
    <w:rsid w:val="063E7D85"/>
    <w:rsid w:val="064306C1"/>
    <w:rsid w:val="06576C15"/>
    <w:rsid w:val="06663D06"/>
    <w:rsid w:val="066B047D"/>
    <w:rsid w:val="068C04FB"/>
    <w:rsid w:val="0694735D"/>
    <w:rsid w:val="069F51C9"/>
    <w:rsid w:val="06A32343"/>
    <w:rsid w:val="06B15555"/>
    <w:rsid w:val="06DD2B50"/>
    <w:rsid w:val="06E5034F"/>
    <w:rsid w:val="06FF4665"/>
    <w:rsid w:val="070A2B19"/>
    <w:rsid w:val="072145DC"/>
    <w:rsid w:val="07293586"/>
    <w:rsid w:val="07295285"/>
    <w:rsid w:val="07360252"/>
    <w:rsid w:val="07464042"/>
    <w:rsid w:val="074B3407"/>
    <w:rsid w:val="07636392"/>
    <w:rsid w:val="07770C56"/>
    <w:rsid w:val="07826A1A"/>
    <w:rsid w:val="07AB189B"/>
    <w:rsid w:val="07BB5C88"/>
    <w:rsid w:val="07CB5B92"/>
    <w:rsid w:val="07CC0708"/>
    <w:rsid w:val="07D478A0"/>
    <w:rsid w:val="07D62EFE"/>
    <w:rsid w:val="07DC772B"/>
    <w:rsid w:val="07E5385B"/>
    <w:rsid w:val="07FC3D0E"/>
    <w:rsid w:val="081859DF"/>
    <w:rsid w:val="081A09FC"/>
    <w:rsid w:val="08262A58"/>
    <w:rsid w:val="08387E2F"/>
    <w:rsid w:val="08411A92"/>
    <w:rsid w:val="08461BF8"/>
    <w:rsid w:val="08491BC0"/>
    <w:rsid w:val="085B0674"/>
    <w:rsid w:val="08671954"/>
    <w:rsid w:val="088D1BEC"/>
    <w:rsid w:val="0891753F"/>
    <w:rsid w:val="08C74640"/>
    <w:rsid w:val="08D02924"/>
    <w:rsid w:val="08D631A4"/>
    <w:rsid w:val="08DD1C62"/>
    <w:rsid w:val="08E54B90"/>
    <w:rsid w:val="08E73603"/>
    <w:rsid w:val="08E92EA7"/>
    <w:rsid w:val="08FF26FB"/>
    <w:rsid w:val="09092DE7"/>
    <w:rsid w:val="091C14FF"/>
    <w:rsid w:val="092217DD"/>
    <w:rsid w:val="09287EA3"/>
    <w:rsid w:val="093A7294"/>
    <w:rsid w:val="09402398"/>
    <w:rsid w:val="09510A7C"/>
    <w:rsid w:val="096F32E2"/>
    <w:rsid w:val="097924AD"/>
    <w:rsid w:val="09864488"/>
    <w:rsid w:val="09917178"/>
    <w:rsid w:val="099D3131"/>
    <w:rsid w:val="099F5C8C"/>
    <w:rsid w:val="09C82C1A"/>
    <w:rsid w:val="09DE0275"/>
    <w:rsid w:val="09FE51BF"/>
    <w:rsid w:val="0A263993"/>
    <w:rsid w:val="0A2D3AC2"/>
    <w:rsid w:val="0A2F5262"/>
    <w:rsid w:val="0A362895"/>
    <w:rsid w:val="0A43180B"/>
    <w:rsid w:val="0A502CC6"/>
    <w:rsid w:val="0A654B67"/>
    <w:rsid w:val="0A8A1AF2"/>
    <w:rsid w:val="0A9E5F43"/>
    <w:rsid w:val="0AA755DF"/>
    <w:rsid w:val="0AB07198"/>
    <w:rsid w:val="0AB129D4"/>
    <w:rsid w:val="0ACD66EA"/>
    <w:rsid w:val="0AE026B5"/>
    <w:rsid w:val="0AE87AF2"/>
    <w:rsid w:val="0AFE0548"/>
    <w:rsid w:val="0B0A5387"/>
    <w:rsid w:val="0B120D44"/>
    <w:rsid w:val="0B283692"/>
    <w:rsid w:val="0B362065"/>
    <w:rsid w:val="0B460AB5"/>
    <w:rsid w:val="0B584344"/>
    <w:rsid w:val="0B6E665B"/>
    <w:rsid w:val="0B7D662E"/>
    <w:rsid w:val="0BC2459A"/>
    <w:rsid w:val="0BD27BF6"/>
    <w:rsid w:val="0BDD317F"/>
    <w:rsid w:val="0BF6461C"/>
    <w:rsid w:val="0C207745"/>
    <w:rsid w:val="0C39355C"/>
    <w:rsid w:val="0C3B3C7D"/>
    <w:rsid w:val="0C3C2D82"/>
    <w:rsid w:val="0C5B5EEC"/>
    <w:rsid w:val="0C7A3C79"/>
    <w:rsid w:val="0C9F66CF"/>
    <w:rsid w:val="0CAB2EAE"/>
    <w:rsid w:val="0CBF428C"/>
    <w:rsid w:val="0CCB40DF"/>
    <w:rsid w:val="0CCE0D62"/>
    <w:rsid w:val="0CE90435"/>
    <w:rsid w:val="0CEF1F9D"/>
    <w:rsid w:val="0CFD6EC8"/>
    <w:rsid w:val="0D0251B4"/>
    <w:rsid w:val="0D356FE7"/>
    <w:rsid w:val="0D595B4D"/>
    <w:rsid w:val="0D621C7D"/>
    <w:rsid w:val="0D6E51A3"/>
    <w:rsid w:val="0D881D7B"/>
    <w:rsid w:val="0D9B3CA7"/>
    <w:rsid w:val="0DA16476"/>
    <w:rsid w:val="0DC95A63"/>
    <w:rsid w:val="0DD04666"/>
    <w:rsid w:val="0DD979BE"/>
    <w:rsid w:val="0DEF15C5"/>
    <w:rsid w:val="0DF420B6"/>
    <w:rsid w:val="0E06383A"/>
    <w:rsid w:val="0E1605F8"/>
    <w:rsid w:val="0E166555"/>
    <w:rsid w:val="0E3C35A9"/>
    <w:rsid w:val="0E73034D"/>
    <w:rsid w:val="0E7505D3"/>
    <w:rsid w:val="0E8E6843"/>
    <w:rsid w:val="0E9A3BA9"/>
    <w:rsid w:val="0E9B79D4"/>
    <w:rsid w:val="0EA13322"/>
    <w:rsid w:val="0EAF6EBA"/>
    <w:rsid w:val="0ED47DA7"/>
    <w:rsid w:val="0ED86B80"/>
    <w:rsid w:val="0F133786"/>
    <w:rsid w:val="0F13775A"/>
    <w:rsid w:val="0F181E0A"/>
    <w:rsid w:val="0F20161D"/>
    <w:rsid w:val="0F20425A"/>
    <w:rsid w:val="0F334EAC"/>
    <w:rsid w:val="0F5F45FE"/>
    <w:rsid w:val="0F9A112B"/>
    <w:rsid w:val="0FA20284"/>
    <w:rsid w:val="0FC00EF0"/>
    <w:rsid w:val="0FC7596C"/>
    <w:rsid w:val="0FCA218D"/>
    <w:rsid w:val="0FE108F9"/>
    <w:rsid w:val="0FE5386F"/>
    <w:rsid w:val="0FEC3A5C"/>
    <w:rsid w:val="10120F66"/>
    <w:rsid w:val="10190546"/>
    <w:rsid w:val="1020605D"/>
    <w:rsid w:val="1028716B"/>
    <w:rsid w:val="102F2668"/>
    <w:rsid w:val="10421A6C"/>
    <w:rsid w:val="106D2F64"/>
    <w:rsid w:val="107774B9"/>
    <w:rsid w:val="107B0828"/>
    <w:rsid w:val="107D1E9F"/>
    <w:rsid w:val="10944790"/>
    <w:rsid w:val="10970A1F"/>
    <w:rsid w:val="10B63710"/>
    <w:rsid w:val="10F10820"/>
    <w:rsid w:val="10F60887"/>
    <w:rsid w:val="11190825"/>
    <w:rsid w:val="111C2F7A"/>
    <w:rsid w:val="113E028B"/>
    <w:rsid w:val="113E5D8A"/>
    <w:rsid w:val="115832F0"/>
    <w:rsid w:val="115F00C4"/>
    <w:rsid w:val="11665CA1"/>
    <w:rsid w:val="11677ADA"/>
    <w:rsid w:val="116A324B"/>
    <w:rsid w:val="116B577F"/>
    <w:rsid w:val="118A0FD0"/>
    <w:rsid w:val="1195145F"/>
    <w:rsid w:val="11A353F6"/>
    <w:rsid w:val="11A402E3"/>
    <w:rsid w:val="11AC062A"/>
    <w:rsid w:val="11C90F52"/>
    <w:rsid w:val="11EF0D4B"/>
    <w:rsid w:val="11F12C8D"/>
    <w:rsid w:val="12086AC4"/>
    <w:rsid w:val="12163D18"/>
    <w:rsid w:val="121775BF"/>
    <w:rsid w:val="121F77FF"/>
    <w:rsid w:val="122E2F74"/>
    <w:rsid w:val="126068B1"/>
    <w:rsid w:val="128B5315"/>
    <w:rsid w:val="128B7A46"/>
    <w:rsid w:val="12A537DE"/>
    <w:rsid w:val="12BA161D"/>
    <w:rsid w:val="12CC49AC"/>
    <w:rsid w:val="12D469A6"/>
    <w:rsid w:val="12D8084D"/>
    <w:rsid w:val="12E06F9F"/>
    <w:rsid w:val="13130C3B"/>
    <w:rsid w:val="134E49AB"/>
    <w:rsid w:val="137350BE"/>
    <w:rsid w:val="13790B80"/>
    <w:rsid w:val="13951726"/>
    <w:rsid w:val="13995240"/>
    <w:rsid w:val="13AC347F"/>
    <w:rsid w:val="13AC7923"/>
    <w:rsid w:val="13BA3DEE"/>
    <w:rsid w:val="13CA1788"/>
    <w:rsid w:val="13D15712"/>
    <w:rsid w:val="13DA2F6E"/>
    <w:rsid w:val="13E1210D"/>
    <w:rsid w:val="13FD3CDB"/>
    <w:rsid w:val="13FD697A"/>
    <w:rsid w:val="14280093"/>
    <w:rsid w:val="14357918"/>
    <w:rsid w:val="14396509"/>
    <w:rsid w:val="14414BA5"/>
    <w:rsid w:val="144D4C62"/>
    <w:rsid w:val="14631677"/>
    <w:rsid w:val="146F7241"/>
    <w:rsid w:val="14792DD7"/>
    <w:rsid w:val="14854F7E"/>
    <w:rsid w:val="14A51039"/>
    <w:rsid w:val="14A867BA"/>
    <w:rsid w:val="14C94848"/>
    <w:rsid w:val="14D81C1E"/>
    <w:rsid w:val="14DC074F"/>
    <w:rsid w:val="14DD2C3C"/>
    <w:rsid w:val="15097AE7"/>
    <w:rsid w:val="150F1F18"/>
    <w:rsid w:val="151439D2"/>
    <w:rsid w:val="15151889"/>
    <w:rsid w:val="151B3655"/>
    <w:rsid w:val="15443A4D"/>
    <w:rsid w:val="154C4BB1"/>
    <w:rsid w:val="15776326"/>
    <w:rsid w:val="15920A0E"/>
    <w:rsid w:val="159D39C7"/>
    <w:rsid w:val="15B81CBE"/>
    <w:rsid w:val="15D53161"/>
    <w:rsid w:val="15D67B01"/>
    <w:rsid w:val="15DC1B90"/>
    <w:rsid w:val="15DD5B72"/>
    <w:rsid w:val="15E332A0"/>
    <w:rsid w:val="15E52C78"/>
    <w:rsid w:val="15E90C44"/>
    <w:rsid w:val="15F124E3"/>
    <w:rsid w:val="15F66A3F"/>
    <w:rsid w:val="15FF3D3A"/>
    <w:rsid w:val="16087E1D"/>
    <w:rsid w:val="160B4AC6"/>
    <w:rsid w:val="160D7B05"/>
    <w:rsid w:val="16272B54"/>
    <w:rsid w:val="163905BA"/>
    <w:rsid w:val="16750DE8"/>
    <w:rsid w:val="16CD20C7"/>
    <w:rsid w:val="16D17FE5"/>
    <w:rsid w:val="16EF1333"/>
    <w:rsid w:val="16F337F3"/>
    <w:rsid w:val="16FF708F"/>
    <w:rsid w:val="1720040C"/>
    <w:rsid w:val="17242FFC"/>
    <w:rsid w:val="1740285C"/>
    <w:rsid w:val="174C7590"/>
    <w:rsid w:val="175E6215"/>
    <w:rsid w:val="17614581"/>
    <w:rsid w:val="176D0D40"/>
    <w:rsid w:val="17701D14"/>
    <w:rsid w:val="17735226"/>
    <w:rsid w:val="178E6A97"/>
    <w:rsid w:val="179364D9"/>
    <w:rsid w:val="17AC4DC3"/>
    <w:rsid w:val="17B9616B"/>
    <w:rsid w:val="17BB2A51"/>
    <w:rsid w:val="17D55CB9"/>
    <w:rsid w:val="181E6D0B"/>
    <w:rsid w:val="185332E7"/>
    <w:rsid w:val="18567E5D"/>
    <w:rsid w:val="18695DE3"/>
    <w:rsid w:val="188E3583"/>
    <w:rsid w:val="189F624C"/>
    <w:rsid w:val="18AF5EEB"/>
    <w:rsid w:val="18B0357C"/>
    <w:rsid w:val="18B92BC4"/>
    <w:rsid w:val="18F0644B"/>
    <w:rsid w:val="19242765"/>
    <w:rsid w:val="192602D3"/>
    <w:rsid w:val="19297A6D"/>
    <w:rsid w:val="193703AB"/>
    <w:rsid w:val="193D28CC"/>
    <w:rsid w:val="193F220C"/>
    <w:rsid w:val="19401B63"/>
    <w:rsid w:val="19592746"/>
    <w:rsid w:val="195A56E8"/>
    <w:rsid w:val="19602223"/>
    <w:rsid w:val="19617AB6"/>
    <w:rsid w:val="19874772"/>
    <w:rsid w:val="199602BD"/>
    <w:rsid w:val="19B51DC3"/>
    <w:rsid w:val="19C239FC"/>
    <w:rsid w:val="19C64FA6"/>
    <w:rsid w:val="19CF4114"/>
    <w:rsid w:val="19EE3559"/>
    <w:rsid w:val="1A077B54"/>
    <w:rsid w:val="1A1C66C0"/>
    <w:rsid w:val="1A276CAA"/>
    <w:rsid w:val="1A42393B"/>
    <w:rsid w:val="1A45144E"/>
    <w:rsid w:val="1A591713"/>
    <w:rsid w:val="1A6E6711"/>
    <w:rsid w:val="1A7F369B"/>
    <w:rsid w:val="1AA02DF6"/>
    <w:rsid w:val="1AAD45DE"/>
    <w:rsid w:val="1AB56AD7"/>
    <w:rsid w:val="1AB84DFF"/>
    <w:rsid w:val="1AD51BFD"/>
    <w:rsid w:val="1AE049AC"/>
    <w:rsid w:val="1AE413E4"/>
    <w:rsid w:val="1AEF6E14"/>
    <w:rsid w:val="1AF2243F"/>
    <w:rsid w:val="1AFC2F3E"/>
    <w:rsid w:val="1B046F80"/>
    <w:rsid w:val="1B070BC2"/>
    <w:rsid w:val="1B11756E"/>
    <w:rsid w:val="1B1A2D80"/>
    <w:rsid w:val="1B1D363A"/>
    <w:rsid w:val="1B2674C4"/>
    <w:rsid w:val="1B282FAA"/>
    <w:rsid w:val="1B3267B5"/>
    <w:rsid w:val="1B34605E"/>
    <w:rsid w:val="1B3962B1"/>
    <w:rsid w:val="1B3B7BEA"/>
    <w:rsid w:val="1B40161D"/>
    <w:rsid w:val="1B4148A5"/>
    <w:rsid w:val="1B441859"/>
    <w:rsid w:val="1B5C1C57"/>
    <w:rsid w:val="1B5F6AEC"/>
    <w:rsid w:val="1B6606B1"/>
    <w:rsid w:val="1B8A1521"/>
    <w:rsid w:val="1B903686"/>
    <w:rsid w:val="1B9B1714"/>
    <w:rsid w:val="1B9B1B6D"/>
    <w:rsid w:val="1BA95CEE"/>
    <w:rsid w:val="1BBB4DC1"/>
    <w:rsid w:val="1BBE01F3"/>
    <w:rsid w:val="1BCD48DA"/>
    <w:rsid w:val="1BD25E4D"/>
    <w:rsid w:val="1C117F00"/>
    <w:rsid w:val="1C5E7925"/>
    <w:rsid w:val="1C636685"/>
    <w:rsid w:val="1C6E05A8"/>
    <w:rsid w:val="1C7328B4"/>
    <w:rsid w:val="1C850D11"/>
    <w:rsid w:val="1C954930"/>
    <w:rsid w:val="1C981DB6"/>
    <w:rsid w:val="1CE01DFE"/>
    <w:rsid w:val="1CEB2B47"/>
    <w:rsid w:val="1CF52E97"/>
    <w:rsid w:val="1CF702F6"/>
    <w:rsid w:val="1CFD070F"/>
    <w:rsid w:val="1D3F7112"/>
    <w:rsid w:val="1D4B7F34"/>
    <w:rsid w:val="1D5F6196"/>
    <w:rsid w:val="1D6132A5"/>
    <w:rsid w:val="1D6B6484"/>
    <w:rsid w:val="1D8A6A42"/>
    <w:rsid w:val="1D8D60CF"/>
    <w:rsid w:val="1D8E56D5"/>
    <w:rsid w:val="1D9C6312"/>
    <w:rsid w:val="1D9D29F7"/>
    <w:rsid w:val="1DA04055"/>
    <w:rsid w:val="1DA72EB9"/>
    <w:rsid w:val="1DB54336"/>
    <w:rsid w:val="1DB91C37"/>
    <w:rsid w:val="1DCA28B8"/>
    <w:rsid w:val="1DD97567"/>
    <w:rsid w:val="1DFE0AAF"/>
    <w:rsid w:val="1DFE4AC7"/>
    <w:rsid w:val="1E027AA5"/>
    <w:rsid w:val="1E0E3278"/>
    <w:rsid w:val="1E206F43"/>
    <w:rsid w:val="1E26755E"/>
    <w:rsid w:val="1E3F40BD"/>
    <w:rsid w:val="1E7A43DA"/>
    <w:rsid w:val="1E7D5353"/>
    <w:rsid w:val="1E7F7F7D"/>
    <w:rsid w:val="1E830C89"/>
    <w:rsid w:val="1EAE27A1"/>
    <w:rsid w:val="1EB1373C"/>
    <w:rsid w:val="1ECC70CB"/>
    <w:rsid w:val="1EDC1BAB"/>
    <w:rsid w:val="1EDF4B53"/>
    <w:rsid w:val="1F115D39"/>
    <w:rsid w:val="1F122D30"/>
    <w:rsid w:val="1F1B3C66"/>
    <w:rsid w:val="1F1B4FE9"/>
    <w:rsid w:val="1F435636"/>
    <w:rsid w:val="1F473EBE"/>
    <w:rsid w:val="1F5C4F99"/>
    <w:rsid w:val="1F74053B"/>
    <w:rsid w:val="1F7B6C28"/>
    <w:rsid w:val="1F906BCA"/>
    <w:rsid w:val="1F927440"/>
    <w:rsid w:val="1F9C1EDE"/>
    <w:rsid w:val="1F9F033C"/>
    <w:rsid w:val="1FAC6057"/>
    <w:rsid w:val="1FCF3C07"/>
    <w:rsid w:val="1FD0170B"/>
    <w:rsid w:val="1FD23948"/>
    <w:rsid w:val="1FE7539E"/>
    <w:rsid w:val="1FFE32B4"/>
    <w:rsid w:val="202361CA"/>
    <w:rsid w:val="202364BE"/>
    <w:rsid w:val="202579E6"/>
    <w:rsid w:val="20337402"/>
    <w:rsid w:val="204A73E8"/>
    <w:rsid w:val="20535708"/>
    <w:rsid w:val="20671BE0"/>
    <w:rsid w:val="20720618"/>
    <w:rsid w:val="20765541"/>
    <w:rsid w:val="20942F89"/>
    <w:rsid w:val="20963CB8"/>
    <w:rsid w:val="20A81A1B"/>
    <w:rsid w:val="20B07FB6"/>
    <w:rsid w:val="20B646FB"/>
    <w:rsid w:val="20F92DC2"/>
    <w:rsid w:val="2112429D"/>
    <w:rsid w:val="211E2840"/>
    <w:rsid w:val="21236F43"/>
    <w:rsid w:val="213B74B1"/>
    <w:rsid w:val="213F171D"/>
    <w:rsid w:val="213F64AF"/>
    <w:rsid w:val="214E3DC8"/>
    <w:rsid w:val="215A2310"/>
    <w:rsid w:val="215B5E1E"/>
    <w:rsid w:val="21646E52"/>
    <w:rsid w:val="216812A3"/>
    <w:rsid w:val="21785C30"/>
    <w:rsid w:val="217F5708"/>
    <w:rsid w:val="218A281B"/>
    <w:rsid w:val="219E708B"/>
    <w:rsid w:val="21A77AE0"/>
    <w:rsid w:val="21B87493"/>
    <w:rsid w:val="21D00C81"/>
    <w:rsid w:val="21D544E9"/>
    <w:rsid w:val="21DE318A"/>
    <w:rsid w:val="21EA18A9"/>
    <w:rsid w:val="21EF5B80"/>
    <w:rsid w:val="21F91F85"/>
    <w:rsid w:val="21FC0048"/>
    <w:rsid w:val="2221772E"/>
    <w:rsid w:val="222F34E7"/>
    <w:rsid w:val="224648EA"/>
    <w:rsid w:val="22470AB5"/>
    <w:rsid w:val="22482214"/>
    <w:rsid w:val="225351C3"/>
    <w:rsid w:val="22576990"/>
    <w:rsid w:val="227C6712"/>
    <w:rsid w:val="22837AA1"/>
    <w:rsid w:val="229A2724"/>
    <w:rsid w:val="22A50FB0"/>
    <w:rsid w:val="22AF0896"/>
    <w:rsid w:val="22BB531B"/>
    <w:rsid w:val="22BB548D"/>
    <w:rsid w:val="22C62C86"/>
    <w:rsid w:val="22D91657"/>
    <w:rsid w:val="22F47480"/>
    <w:rsid w:val="22F71355"/>
    <w:rsid w:val="230052E5"/>
    <w:rsid w:val="230E45C9"/>
    <w:rsid w:val="232351A9"/>
    <w:rsid w:val="234B4A63"/>
    <w:rsid w:val="23672E3D"/>
    <w:rsid w:val="236A0040"/>
    <w:rsid w:val="23733CDF"/>
    <w:rsid w:val="237869AF"/>
    <w:rsid w:val="237E3D85"/>
    <w:rsid w:val="23830DCF"/>
    <w:rsid w:val="23A336AC"/>
    <w:rsid w:val="23BD283E"/>
    <w:rsid w:val="23DB14FB"/>
    <w:rsid w:val="23DE1C48"/>
    <w:rsid w:val="23E64CC2"/>
    <w:rsid w:val="23EF14AC"/>
    <w:rsid w:val="240210CD"/>
    <w:rsid w:val="24062738"/>
    <w:rsid w:val="240E0EB3"/>
    <w:rsid w:val="24264B88"/>
    <w:rsid w:val="243A7631"/>
    <w:rsid w:val="24691E79"/>
    <w:rsid w:val="24697FC3"/>
    <w:rsid w:val="246A1004"/>
    <w:rsid w:val="24885E4D"/>
    <w:rsid w:val="248A5E6C"/>
    <w:rsid w:val="248F6125"/>
    <w:rsid w:val="24A02C63"/>
    <w:rsid w:val="24A9730A"/>
    <w:rsid w:val="24AC460F"/>
    <w:rsid w:val="24B855AB"/>
    <w:rsid w:val="24BF09F7"/>
    <w:rsid w:val="24D27727"/>
    <w:rsid w:val="24D42836"/>
    <w:rsid w:val="24DE5462"/>
    <w:rsid w:val="24E82B84"/>
    <w:rsid w:val="24F1163A"/>
    <w:rsid w:val="24FD6F93"/>
    <w:rsid w:val="252D4F97"/>
    <w:rsid w:val="252D53FE"/>
    <w:rsid w:val="25480598"/>
    <w:rsid w:val="25847246"/>
    <w:rsid w:val="25891872"/>
    <w:rsid w:val="258B5D47"/>
    <w:rsid w:val="25B87AE8"/>
    <w:rsid w:val="25BE7EB3"/>
    <w:rsid w:val="25C94C6F"/>
    <w:rsid w:val="25CD79B1"/>
    <w:rsid w:val="25D107B8"/>
    <w:rsid w:val="25DC5D6A"/>
    <w:rsid w:val="25DF1492"/>
    <w:rsid w:val="25E91F62"/>
    <w:rsid w:val="25EC2D81"/>
    <w:rsid w:val="25F018F1"/>
    <w:rsid w:val="25F33BB4"/>
    <w:rsid w:val="25F57825"/>
    <w:rsid w:val="25FD0578"/>
    <w:rsid w:val="26177480"/>
    <w:rsid w:val="261F2D0F"/>
    <w:rsid w:val="262B0B67"/>
    <w:rsid w:val="263733E1"/>
    <w:rsid w:val="263E177B"/>
    <w:rsid w:val="26445799"/>
    <w:rsid w:val="266955F1"/>
    <w:rsid w:val="26753A69"/>
    <w:rsid w:val="26823BF8"/>
    <w:rsid w:val="26885300"/>
    <w:rsid w:val="268D0EEE"/>
    <w:rsid w:val="268F15A4"/>
    <w:rsid w:val="268F3578"/>
    <w:rsid w:val="26943F86"/>
    <w:rsid w:val="26C67898"/>
    <w:rsid w:val="26D51168"/>
    <w:rsid w:val="26EE62D0"/>
    <w:rsid w:val="270B76ED"/>
    <w:rsid w:val="270E38A9"/>
    <w:rsid w:val="271B38CB"/>
    <w:rsid w:val="27272F26"/>
    <w:rsid w:val="27287F77"/>
    <w:rsid w:val="272A498F"/>
    <w:rsid w:val="273E78D7"/>
    <w:rsid w:val="275859A0"/>
    <w:rsid w:val="277057A2"/>
    <w:rsid w:val="27A00A0E"/>
    <w:rsid w:val="27A30C20"/>
    <w:rsid w:val="27AE28E5"/>
    <w:rsid w:val="27AE3812"/>
    <w:rsid w:val="27B3551A"/>
    <w:rsid w:val="27BB388B"/>
    <w:rsid w:val="27C015FF"/>
    <w:rsid w:val="27C27C0B"/>
    <w:rsid w:val="27CE5D1D"/>
    <w:rsid w:val="27DA4607"/>
    <w:rsid w:val="27DC4140"/>
    <w:rsid w:val="28117E8C"/>
    <w:rsid w:val="282C4737"/>
    <w:rsid w:val="285D47B6"/>
    <w:rsid w:val="28633973"/>
    <w:rsid w:val="289F4A0F"/>
    <w:rsid w:val="28A6619F"/>
    <w:rsid w:val="28BE5377"/>
    <w:rsid w:val="28EF0462"/>
    <w:rsid w:val="28FC05AD"/>
    <w:rsid w:val="28FD0187"/>
    <w:rsid w:val="29206EB8"/>
    <w:rsid w:val="29231ED1"/>
    <w:rsid w:val="29341AF5"/>
    <w:rsid w:val="294C6E3F"/>
    <w:rsid w:val="29565B6D"/>
    <w:rsid w:val="29595666"/>
    <w:rsid w:val="295F6920"/>
    <w:rsid w:val="29852351"/>
    <w:rsid w:val="29874881"/>
    <w:rsid w:val="29954C89"/>
    <w:rsid w:val="29A13322"/>
    <w:rsid w:val="29AF4316"/>
    <w:rsid w:val="29CB6FBF"/>
    <w:rsid w:val="29D47CEC"/>
    <w:rsid w:val="29D67FDF"/>
    <w:rsid w:val="29E325E0"/>
    <w:rsid w:val="29E60EAE"/>
    <w:rsid w:val="29E9194F"/>
    <w:rsid w:val="29FD39F5"/>
    <w:rsid w:val="2A015E42"/>
    <w:rsid w:val="2A1F1FB7"/>
    <w:rsid w:val="2A412979"/>
    <w:rsid w:val="2A4159DE"/>
    <w:rsid w:val="2A452503"/>
    <w:rsid w:val="2A6D3510"/>
    <w:rsid w:val="2A765DE2"/>
    <w:rsid w:val="2A924D25"/>
    <w:rsid w:val="2A9631CE"/>
    <w:rsid w:val="2AA62992"/>
    <w:rsid w:val="2AB1562B"/>
    <w:rsid w:val="2AC65675"/>
    <w:rsid w:val="2AC7033C"/>
    <w:rsid w:val="2ACB6DF0"/>
    <w:rsid w:val="2B01648A"/>
    <w:rsid w:val="2B052BDB"/>
    <w:rsid w:val="2B1D36CB"/>
    <w:rsid w:val="2B253A88"/>
    <w:rsid w:val="2B2952A3"/>
    <w:rsid w:val="2B4F6E31"/>
    <w:rsid w:val="2B514D66"/>
    <w:rsid w:val="2BA936A8"/>
    <w:rsid w:val="2BA94677"/>
    <w:rsid w:val="2BC43604"/>
    <w:rsid w:val="2BCC24B9"/>
    <w:rsid w:val="2BCD11CE"/>
    <w:rsid w:val="2BEC4909"/>
    <w:rsid w:val="2BFE70AC"/>
    <w:rsid w:val="2C025EDA"/>
    <w:rsid w:val="2C2E3173"/>
    <w:rsid w:val="2C315A5A"/>
    <w:rsid w:val="2C385DA0"/>
    <w:rsid w:val="2C403070"/>
    <w:rsid w:val="2C4B1C25"/>
    <w:rsid w:val="2C775C21"/>
    <w:rsid w:val="2C810FF1"/>
    <w:rsid w:val="2C87340F"/>
    <w:rsid w:val="2CA70830"/>
    <w:rsid w:val="2CAC34C3"/>
    <w:rsid w:val="2CB76337"/>
    <w:rsid w:val="2CC633AC"/>
    <w:rsid w:val="2CE44E71"/>
    <w:rsid w:val="2D0068BE"/>
    <w:rsid w:val="2D19172E"/>
    <w:rsid w:val="2D1D1F5E"/>
    <w:rsid w:val="2D257946"/>
    <w:rsid w:val="2D2942C0"/>
    <w:rsid w:val="2D312055"/>
    <w:rsid w:val="2D391DD0"/>
    <w:rsid w:val="2D443896"/>
    <w:rsid w:val="2D4A53CB"/>
    <w:rsid w:val="2D5F7AEE"/>
    <w:rsid w:val="2D710576"/>
    <w:rsid w:val="2D71156A"/>
    <w:rsid w:val="2D9976EE"/>
    <w:rsid w:val="2D9E56F5"/>
    <w:rsid w:val="2DA0260E"/>
    <w:rsid w:val="2DB41456"/>
    <w:rsid w:val="2DBF225A"/>
    <w:rsid w:val="2DCA5054"/>
    <w:rsid w:val="2DCF6290"/>
    <w:rsid w:val="2DE50D88"/>
    <w:rsid w:val="2DEB755D"/>
    <w:rsid w:val="2DEF61A8"/>
    <w:rsid w:val="2E121B87"/>
    <w:rsid w:val="2E3E2AA8"/>
    <w:rsid w:val="2E50333B"/>
    <w:rsid w:val="2E634859"/>
    <w:rsid w:val="2E667F96"/>
    <w:rsid w:val="2E6E6CBB"/>
    <w:rsid w:val="2E725787"/>
    <w:rsid w:val="2E740F8A"/>
    <w:rsid w:val="2E786928"/>
    <w:rsid w:val="2E8226AB"/>
    <w:rsid w:val="2E94741A"/>
    <w:rsid w:val="2E95545F"/>
    <w:rsid w:val="2EAB4607"/>
    <w:rsid w:val="2EC06EDA"/>
    <w:rsid w:val="2EE569A6"/>
    <w:rsid w:val="2F01350B"/>
    <w:rsid w:val="2F0E4B96"/>
    <w:rsid w:val="2F1170B3"/>
    <w:rsid w:val="2F210375"/>
    <w:rsid w:val="2F2B74F6"/>
    <w:rsid w:val="2F3E7229"/>
    <w:rsid w:val="2F46655E"/>
    <w:rsid w:val="2F4D1B62"/>
    <w:rsid w:val="2F61412B"/>
    <w:rsid w:val="2F974B8C"/>
    <w:rsid w:val="2FA2713A"/>
    <w:rsid w:val="2FC260AC"/>
    <w:rsid w:val="2FC4723C"/>
    <w:rsid w:val="2FD065E6"/>
    <w:rsid w:val="2FD252A8"/>
    <w:rsid w:val="2FD96870"/>
    <w:rsid w:val="2FED0C23"/>
    <w:rsid w:val="30053C88"/>
    <w:rsid w:val="301237D2"/>
    <w:rsid w:val="301D194C"/>
    <w:rsid w:val="30204B81"/>
    <w:rsid w:val="30320C95"/>
    <w:rsid w:val="30397816"/>
    <w:rsid w:val="304F67BA"/>
    <w:rsid w:val="30580BC9"/>
    <w:rsid w:val="305D1EAE"/>
    <w:rsid w:val="30757738"/>
    <w:rsid w:val="307C14FC"/>
    <w:rsid w:val="30901F80"/>
    <w:rsid w:val="30EB6378"/>
    <w:rsid w:val="30F027A5"/>
    <w:rsid w:val="30F71865"/>
    <w:rsid w:val="311E2ED7"/>
    <w:rsid w:val="31457432"/>
    <w:rsid w:val="31501496"/>
    <w:rsid w:val="315619EE"/>
    <w:rsid w:val="315C449C"/>
    <w:rsid w:val="31875A98"/>
    <w:rsid w:val="31885988"/>
    <w:rsid w:val="3192385D"/>
    <w:rsid w:val="31995A24"/>
    <w:rsid w:val="319C37C4"/>
    <w:rsid w:val="31A438EB"/>
    <w:rsid w:val="31B82709"/>
    <w:rsid w:val="31CA15DD"/>
    <w:rsid w:val="31D05482"/>
    <w:rsid w:val="31D138A5"/>
    <w:rsid w:val="31EB56C8"/>
    <w:rsid w:val="32105D24"/>
    <w:rsid w:val="321B7CF6"/>
    <w:rsid w:val="32256938"/>
    <w:rsid w:val="32383558"/>
    <w:rsid w:val="323B2146"/>
    <w:rsid w:val="32400B34"/>
    <w:rsid w:val="32452FC5"/>
    <w:rsid w:val="325B156D"/>
    <w:rsid w:val="32674B1F"/>
    <w:rsid w:val="329459AC"/>
    <w:rsid w:val="329E6876"/>
    <w:rsid w:val="32A61050"/>
    <w:rsid w:val="32A73338"/>
    <w:rsid w:val="32AE42C4"/>
    <w:rsid w:val="32B85394"/>
    <w:rsid w:val="32C728C5"/>
    <w:rsid w:val="32CE5CE8"/>
    <w:rsid w:val="32CF2675"/>
    <w:rsid w:val="32DB1233"/>
    <w:rsid w:val="32DF634E"/>
    <w:rsid w:val="32E90CAD"/>
    <w:rsid w:val="330110F1"/>
    <w:rsid w:val="330A0802"/>
    <w:rsid w:val="330D3AE3"/>
    <w:rsid w:val="332E5807"/>
    <w:rsid w:val="333015F2"/>
    <w:rsid w:val="33400A60"/>
    <w:rsid w:val="334B6320"/>
    <w:rsid w:val="334F40FB"/>
    <w:rsid w:val="33544A5F"/>
    <w:rsid w:val="33611D60"/>
    <w:rsid w:val="336E7998"/>
    <w:rsid w:val="33792F26"/>
    <w:rsid w:val="33813B89"/>
    <w:rsid w:val="33996CF5"/>
    <w:rsid w:val="33B23C1B"/>
    <w:rsid w:val="33C41711"/>
    <w:rsid w:val="33CC355C"/>
    <w:rsid w:val="33D30B0B"/>
    <w:rsid w:val="33D934D4"/>
    <w:rsid w:val="33E07D3E"/>
    <w:rsid w:val="33F22CD8"/>
    <w:rsid w:val="33F3569D"/>
    <w:rsid w:val="33FE2F6A"/>
    <w:rsid w:val="340E07E5"/>
    <w:rsid w:val="34142C4F"/>
    <w:rsid w:val="341629DC"/>
    <w:rsid w:val="34235BF7"/>
    <w:rsid w:val="34237336"/>
    <w:rsid w:val="343F2AEA"/>
    <w:rsid w:val="344352E2"/>
    <w:rsid w:val="344E5FF7"/>
    <w:rsid w:val="345830A1"/>
    <w:rsid w:val="3459754C"/>
    <w:rsid w:val="346017EC"/>
    <w:rsid w:val="347C25AD"/>
    <w:rsid w:val="348A460F"/>
    <w:rsid w:val="348E3948"/>
    <w:rsid w:val="349D3A41"/>
    <w:rsid w:val="34A76F2B"/>
    <w:rsid w:val="34E74F88"/>
    <w:rsid w:val="34E94971"/>
    <w:rsid w:val="34FB5BBD"/>
    <w:rsid w:val="3509652C"/>
    <w:rsid w:val="351044D7"/>
    <w:rsid w:val="35243C51"/>
    <w:rsid w:val="352E5B46"/>
    <w:rsid w:val="353C06AF"/>
    <w:rsid w:val="354075FD"/>
    <w:rsid w:val="354B1692"/>
    <w:rsid w:val="35531555"/>
    <w:rsid w:val="355500FE"/>
    <w:rsid w:val="355645A5"/>
    <w:rsid w:val="355754E9"/>
    <w:rsid w:val="356555DD"/>
    <w:rsid w:val="356B5681"/>
    <w:rsid w:val="35803742"/>
    <w:rsid w:val="358C5FA8"/>
    <w:rsid w:val="35947F42"/>
    <w:rsid w:val="35A434EC"/>
    <w:rsid w:val="35A67433"/>
    <w:rsid w:val="35B03F67"/>
    <w:rsid w:val="35BE7316"/>
    <w:rsid w:val="35C15DF1"/>
    <w:rsid w:val="35CB6416"/>
    <w:rsid w:val="35E05830"/>
    <w:rsid w:val="35E90449"/>
    <w:rsid w:val="36074A7F"/>
    <w:rsid w:val="361853CF"/>
    <w:rsid w:val="364C138E"/>
    <w:rsid w:val="36794FEB"/>
    <w:rsid w:val="368A3F1E"/>
    <w:rsid w:val="36923549"/>
    <w:rsid w:val="369C399F"/>
    <w:rsid w:val="36B454CA"/>
    <w:rsid w:val="36B75FBF"/>
    <w:rsid w:val="36B776B7"/>
    <w:rsid w:val="36BA5D2F"/>
    <w:rsid w:val="36BD0C45"/>
    <w:rsid w:val="36D61F0B"/>
    <w:rsid w:val="36E20DE2"/>
    <w:rsid w:val="372F4858"/>
    <w:rsid w:val="37476E97"/>
    <w:rsid w:val="37513661"/>
    <w:rsid w:val="376218B2"/>
    <w:rsid w:val="37632E45"/>
    <w:rsid w:val="376712E7"/>
    <w:rsid w:val="3782320E"/>
    <w:rsid w:val="37883347"/>
    <w:rsid w:val="378D1CF2"/>
    <w:rsid w:val="379C647C"/>
    <w:rsid w:val="37C524F6"/>
    <w:rsid w:val="37CE1367"/>
    <w:rsid w:val="37D16A9A"/>
    <w:rsid w:val="37E00298"/>
    <w:rsid w:val="38211DDE"/>
    <w:rsid w:val="382B1748"/>
    <w:rsid w:val="38443B7D"/>
    <w:rsid w:val="3883421A"/>
    <w:rsid w:val="389600D6"/>
    <w:rsid w:val="38A0216A"/>
    <w:rsid w:val="38B302F9"/>
    <w:rsid w:val="38C02F72"/>
    <w:rsid w:val="38CC289A"/>
    <w:rsid w:val="38D023C8"/>
    <w:rsid w:val="38D155B2"/>
    <w:rsid w:val="38E13C04"/>
    <w:rsid w:val="38F12CD3"/>
    <w:rsid w:val="38F848ED"/>
    <w:rsid w:val="38F94775"/>
    <w:rsid w:val="39227BBC"/>
    <w:rsid w:val="392971ED"/>
    <w:rsid w:val="39325651"/>
    <w:rsid w:val="393A2A38"/>
    <w:rsid w:val="39743AD8"/>
    <w:rsid w:val="39822C77"/>
    <w:rsid w:val="39B431F9"/>
    <w:rsid w:val="39BC67A9"/>
    <w:rsid w:val="39E62997"/>
    <w:rsid w:val="3A0908EA"/>
    <w:rsid w:val="3A126201"/>
    <w:rsid w:val="3A291832"/>
    <w:rsid w:val="3A641AFE"/>
    <w:rsid w:val="3A76599E"/>
    <w:rsid w:val="3A872856"/>
    <w:rsid w:val="3A964A3B"/>
    <w:rsid w:val="3B273268"/>
    <w:rsid w:val="3B295232"/>
    <w:rsid w:val="3B29601D"/>
    <w:rsid w:val="3B2A16DA"/>
    <w:rsid w:val="3B2B3745"/>
    <w:rsid w:val="3B3763D1"/>
    <w:rsid w:val="3B4007CD"/>
    <w:rsid w:val="3B516536"/>
    <w:rsid w:val="3B565316"/>
    <w:rsid w:val="3B653D90"/>
    <w:rsid w:val="3B79521D"/>
    <w:rsid w:val="3B79712A"/>
    <w:rsid w:val="3B8608CD"/>
    <w:rsid w:val="3BAE5737"/>
    <w:rsid w:val="3BB83CBF"/>
    <w:rsid w:val="3BBB15D4"/>
    <w:rsid w:val="3BC534B7"/>
    <w:rsid w:val="3BE4061B"/>
    <w:rsid w:val="3BE7142E"/>
    <w:rsid w:val="3BF27D19"/>
    <w:rsid w:val="3BFA71D9"/>
    <w:rsid w:val="3BFC2094"/>
    <w:rsid w:val="3C081AE2"/>
    <w:rsid w:val="3C0B23ED"/>
    <w:rsid w:val="3C0D0228"/>
    <w:rsid w:val="3C170B59"/>
    <w:rsid w:val="3C187054"/>
    <w:rsid w:val="3C205C39"/>
    <w:rsid w:val="3C215A02"/>
    <w:rsid w:val="3C2D2B00"/>
    <w:rsid w:val="3C2F6E1E"/>
    <w:rsid w:val="3C3C2BAB"/>
    <w:rsid w:val="3C3D0619"/>
    <w:rsid w:val="3C47755D"/>
    <w:rsid w:val="3C4E0F21"/>
    <w:rsid w:val="3C4F64BA"/>
    <w:rsid w:val="3C707B3E"/>
    <w:rsid w:val="3C87698F"/>
    <w:rsid w:val="3CA74F18"/>
    <w:rsid w:val="3CBB13ED"/>
    <w:rsid w:val="3CC824DE"/>
    <w:rsid w:val="3CDA245A"/>
    <w:rsid w:val="3CE733F6"/>
    <w:rsid w:val="3CF44A66"/>
    <w:rsid w:val="3CF65E3F"/>
    <w:rsid w:val="3CFF57AF"/>
    <w:rsid w:val="3D05582A"/>
    <w:rsid w:val="3D1141CF"/>
    <w:rsid w:val="3D1E06B7"/>
    <w:rsid w:val="3D396550"/>
    <w:rsid w:val="3D641B18"/>
    <w:rsid w:val="3D845559"/>
    <w:rsid w:val="3D87238C"/>
    <w:rsid w:val="3D970F85"/>
    <w:rsid w:val="3D9D3CB5"/>
    <w:rsid w:val="3DAF26AF"/>
    <w:rsid w:val="3DAF340E"/>
    <w:rsid w:val="3DCE66C8"/>
    <w:rsid w:val="3DF3171A"/>
    <w:rsid w:val="3E012033"/>
    <w:rsid w:val="3E0A0666"/>
    <w:rsid w:val="3E0A46E7"/>
    <w:rsid w:val="3E1D0952"/>
    <w:rsid w:val="3E397ECC"/>
    <w:rsid w:val="3E5E70F0"/>
    <w:rsid w:val="3E8E46EA"/>
    <w:rsid w:val="3EAE5A4E"/>
    <w:rsid w:val="3EC07A4F"/>
    <w:rsid w:val="3EC84D62"/>
    <w:rsid w:val="3ECB6600"/>
    <w:rsid w:val="3EDA0523"/>
    <w:rsid w:val="3EEF1B7B"/>
    <w:rsid w:val="3F024ECF"/>
    <w:rsid w:val="3F043D71"/>
    <w:rsid w:val="3F3348D1"/>
    <w:rsid w:val="3F3E3EC3"/>
    <w:rsid w:val="3F7D5838"/>
    <w:rsid w:val="3F7D5AB5"/>
    <w:rsid w:val="3F9A3E00"/>
    <w:rsid w:val="3FA255B3"/>
    <w:rsid w:val="3FA62446"/>
    <w:rsid w:val="3FAE3448"/>
    <w:rsid w:val="3FB41253"/>
    <w:rsid w:val="3FC26CB0"/>
    <w:rsid w:val="3FC7326B"/>
    <w:rsid w:val="3FEE6A4A"/>
    <w:rsid w:val="3FEF631E"/>
    <w:rsid w:val="3FF00402"/>
    <w:rsid w:val="40095632"/>
    <w:rsid w:val="400B60D3"/>
    <w:rsid w:val="400B75FC"/>
    <w:rsid w:val="40300733"/>
    <w:rsid w:val="405525A5"/>
    <w:rsid w:val="405A21CB"/>
    <w:rsid w:val="406311E6"/>
    <w:rsid w:val="407A6407"/>
    <w:rsid w:val="408F756D"/>
    <w:rsid w:val="4093729D"/>
    <w:rsid w:val="409D5534"/>
    <w:rsid w:val="40C83858"/>
    <w:rsid w:val="40D43853"/>
    <w:rsid w:val="40DF4951"/>
    <w:rsid w:val="4101202D"/>
    <w:rsid w:val="413E130B"/>
    <w:rsid w:val="41554AA2"/>
    <w:rsid w:val="41597EF3"/>
    <w:rsid w:val="416200AB"/>
    <w:rsid w:val="41686B17"/>
    <w:rsid w:val="41766F30"/>
    <w:rsid w:val="417B60BB"/>
    <w:rsid w:val="417D4802"/>
    <w:rsid w:val="41802114"/>
    <w:rsid w:val="419D749A"/>
    <w:rsid w:val="41A02373"/>
    <w:rsid w:val="41F45E6E"/>
    <w:rsid w:val="41FF7151"/>
    <w:rsid w:val="4200449D"/>
    <w:rsid w:val="42140B73"/>
    <w:rsid w:val="422734C8"/>
    <w:rsid w:val="423A3BCC"/>
    <w:rsid w:val="423D5A66"/>
    <w:rsid w:val="423E1206"/>
    <w:rsid w:val="424E57D2"/>
    <w:rsid w:val="42975FA8"/>
    <w:rsid w:val="42A166E3"/>
    <w:rsid w:val="42A5008C"/>
    <w:rsid w:val="42B26C49"/>
    <w:rsid w:val="42C848F8"/>
    <w:rsid w:val="42CA5CEC"/>
    <w:rsid w:val="42D34960"/>
    <w:rsid w:val="42E432A4"/>
    <w:rsid w:val="4313582C"/>
    <w:rsid w:val="431E13F4"/>
    <w:rsid w:val="43282777"/>
    <w:rsid w:val="432B2A1F"/>
    <w:rsid w:val="43327179"/>
    <w:rsid w:val="43331166"/>
    <w:rsid w:val="43357DF9"/>
    <w:rsid w:val="433A6FE6"/>
    <w:rsid w:val="43406545"/>
    <w:rsid w:val="43452E25"/>
    <w:rsid w:val="43480868"/>
    <w:rsid w:val="4350713C"/>
    <w:rsid w:val="4365788E"/>
    <w:rsid w:val="436653E0"/>
    <w:rsid w:val="43880F63"/>
    <w:rsid w:val="438E7199"/>
    <w:rsid w:val="43947AAD"/>
    <w:rsid w:val="43A57452"/>
    <w:rsid w:val="43BB350B"/>
    <w:rsid w:val="43BB5638"/>
    <w:rsid w:val="43C4431A"/>
    <w:rsid w:val="43D27098"/>
    <w:rsid w:val="43E33470"/>
    <w:rsid w:val="44006D4C"/>
    <w:rsid w:val="44044A8E"/>
    <w:rsid w:val="44072CB3"/>
    <w:rsid w:val="441427F7"/>
    <w:rsid w:val="44530A42"/>
    <w:rsid w:val="445E6443"/>
    <w:rsid w:val="446948F1"/>
    <w:rsid w:val="449A2C44"/>
    <w:rsid w:val="449D1765"/>
    <w:rsid w:val="44B951CC"/>
    <w:rsid w:val="44CD14E0"/>
    <w:rsid w:val="44F20B0B"/>
    <w:rsid w:val="450869F0"/>
    <w:rsid w:val="450D7972"/>
    <w:rsid w:val="4514485C"/>
    <w:rsid w:val="451A208F"/>
    <w:rsid w:val="452E5F4C"/>
    <w:rsid w:val="4550160D"/>
    <w:rsid w:val="45612018"/>
    <w:rsid w:val="45684BA8"/>
    <w:rsid w:val="456F5D38"/>
    <w:rsid w:val="456F5F4E"/>
    <w:rsid w:val="457167D6"/>
    <w:rsid w:val="4582325D"/>
    <w:rsid w:val="458946E9"/>
    <w:rsid w:val="45942055"/>
    <w:rsid w:val="459C3B8E"/>
    <w:rsid w:val="459F05AA"/>
    <w:rsid w:val="45A47C0E"/>
    <w:rsid w:val="45AB36C7"/>
    <w:rsid w:val="45BA69B5"/>
    <w:rsid w:val="45BB5620"/>
    <w:rsid w:val="45E261FE"/>
    <w:rsid w:val="45F94332"/>
    <w:rsid w:val="461A7BFC"/>
    <w:rsid w:val="4634464A"/>
    <w:rsid w:val="464A0752"/>
    <w:rsid w:val="46577FD6"/>
    <w:rsid w:val="466A1202"/>
    <w:rsid w:val="466F1003"/>
    <w:rsid w:val="4677442E"/>
    <w:rsid w:val="46835CC9"/>
    <w:rsid w:val="468468AE"/>
    <w:rsid w:val="46926B8D"/>
    <w:rsid w:val="46A9191C"/>
    <w:rsid w:val="46B67B95"/>
    <w:rsid w:val="46C71579"/>
    <w:rsid w:val="46D955A7"/>
    <w:rsid w:val="46DF4172"/>
    <w:rsid w:val="46DF533E"/>
    <w:rsid w:val="46FF49D8"/>
    <w:rsid w:val="47133957"/>
    <w:rsid w:val="473B0518"/>
    <w:rsid w:val="473F7B8B"/>
    <w:rsid w:val="474E7DCE"/>
    <w:rsid w:val="475B48E7"/>
    <w:rsid w:val="4760647F"/>
    <w:rsid w:val="47607213"/>
    <w:rsid w:val="476B0980"/>
    <w:rsid w:val="478718BE"/>
    <w:rsid w:val="47993083"/>
    <w:rsid w:val="47A03A27"/>
    <w:rsid w:val="47A07E0C"/>
    <w:rsid w:val="47AB5220"/>
    <w:rsid w:val="47B06546"/>
    <w:rsid w:val="47C031D6"/>
    <w:rsid w:val="47CA5BC4"/>
    <w:rsid w:val="47E63F04"/>
    <w:rsid w:val="47E67EB6"/>
    <w:rsid w:val="47F53346"/>
    <w:rsid w:val="48296AC9"/>
    <w:rsid w:val="482B0424"/>
    <w:rsid w:val="48356382"/>
    <w:rsid w:val="48360F8E"/>
    <w:rsid w:val="48396CD0"/>
    <w:rsid w:val="484F02A2"/>
    <w:rsid w:val="486A6E89"/>
    <w:rsid w:val="486B1A7A"/>
    <w:rsid w:val="486E0657"/>
    <w:rsid w:val="4870272E"/>
    <w:rsid w:val="487F029F"/>
    <w:rsid w:val="487F0B87"/>
    <w:rsid w:val="488D6822"/>
    <w:rsid w:val="488E258E"/>
    <w:rsid w:val="48904B42"/>
    <w:rsid w:val="48C46D85"/>
    <w:rsid w:val="48CC5568"/>
    <w:rsid w:val="48D120B2"/>
    <w:rsid w:val="48DE50D2"/>
    <w:rsid w:val="48E040E0"/>
    <w:rsid w:val="48F51201"/>
    <w:rsid w:val="49240759"/>
    <w:rsid w:val="49517EC4"/>
    <w:rsid w:val="495824D6"/>
    <w:rsid w:val="496C36EB"/>
    <w:rsid w:val="49846041"/>
    <w:rsid w:val="4988305D"/>
    <w:rsid w:val="49A10689"/>
    <w:rsid w:val="49AE23A4"/>
    <w:rsid w:val="49CA6DC7"/>
    <w:rsid w:val="49DC7715"/>
    <w:rsid w:val="4A023139"/>
    <w:rsid w:val="4A0C0F4F"/>
    <w:rsid w:val="4A12581A"/>
    <w:rsid w:val="4A2319E6"/>
    <w:rsid w:val="4A407EA2"/>
    <w:rsid w:val="4A5A3051"/>
    <w:rsid w:val="4A7B576F"/>
    <w:rsid w:val="4A8F26EE"/>
    <w:rsid w:val="4AC526CD"/>
    <w:rsid w:val="4ACC3E2B"/>
    <w:rsid w:val="4AE051E1"/>
    <w:rsid w:val="4AF561A9"/>
    <w:rsid w:val="4B013AD5"/>
    <w:rsid w:val="4B031470"/>
    <w:rsid w:val="4B187071"/>
    <w:rsid w:val="4B3D02F5"/>
    <w:rsid w:val="4B4A6F08"/>
    <w:rsid w:val="4B531036"/>
    <w:rsid w:val="4B6F4BE6"/>
    <w:rsid w:val="4B7E7677"/>
    <w:rsid w:val="4B801DE3"/>
    <w:rsid w:val="4B874E28"/>
    <w:rsid w:val="4B906C07"/>
    <w:rsid w:val="4BAB0483"/>
    <w:rsid w:val="4BB05EFB"/>
    <w:rsid w:val="4BE256E4"/>
    <w:rsid w:val="4BE33DD6"/>
    <w:rsid w:val="4BEF1B80"/>
    <w:rsid w:val="4C0A26AF"/>
    <w:rsid w:val="4C2116FA"/>
    <w:rsid w:val="4C3103EA"/>
    <w:rsid w:val="4C4A0649"/>
    <w:rsid w:val="4C51283A"/>
    <w:rsid w:val="4C527136"/>
    <w:rsid w:val="4C5440D8"/>
    <w:rsid w:val="4C6010CF"/>
    <w:rsid w:val="4C6836E0"/>
    <w:rsid w:val="4C717CE1"/>
    <w:rsid w:val="4C7A4ADB"/>
    <w:rsid w:val="4C7E5ECA"/>
    <w:rsid w:val="4C804ECE"/>
    <w:rsid w:val="4C871DB8"/>
    <w:rsid w:val="4C876AA5"/>
    <w:rsid w:val="4CBF59F6"/>
    <w:rsid w:val="4CE22EC5"/>
    <w:rsid w:val="4D0E00FB"/>
    <w:rsid w:val="4D176606"/>
    <w:rsid w:val="4D587BF8"/>
    <w:rsid w:val="4D6B3488"/>
    <w:rsid w:val="4D6D5452"/>
    <w:rsid w:val="4D700CBE"/>
    <w:rsid w:val="4D862070"/>
    <w:rsid w:val="4DA44BEC"/>
    <w:rsid w:val="4DB26C39"/>
    <w:rsid w:val="4DB83EEA"/>
    <w:rsid w:val="4DCB253D"/>
    <w:rsid w:val="4DEC4FB0"/>
    <w:rsid w:val="4DF341BD"/>
    <w:rsid w:val="4DFF1AA1"/>
    <w:rsid w:val="4E075D8A"/>
    <w:rsid w:val="4E15008E"/>
    <w:rsid w:val="4E2F6BAB"/>
    <w:rsid w:val="4E387A35"/>
    <w:rsid w:val="4E5A6BB8"/>
    <w:rsid w:val="4E6B689E"/>
    <w:rsid w:val="4EB67114"/>
    <w:rsid w:val="4EC00FAD"/>
    <w:rsid w:val="4EDA67A4"/>
    <w:rsid w:val="4EDC536C"/>
    <w:rsid w:val="4EEC2B7B"/>
    <w:rsid w:val="4F077720"/>
    <w:rsid w:val="4F0C5A26"/>
    <w:rsid w:val="4F3D70A6"/>
    <w:rsid w:val="4F557DA1"/>
    <w:rsid w:val="4F5A1355"/>
    <w:rsid w:val="4F7564B3"/>
    <w:rsid w:val="4F7B2534"/>
    <w:rsid w:val="4F8502ED"/>
    <w:rsid w:val="4F8974CA"/>
    <w:rsid w:val="4F8E5B53"/>
    <w:rsid w:val="4F933FCE"/>
    <w:rsid w:val="4F9843DC"/>
    <w:rsid w:val="4FA113E3"/>
    <w:rsid w:val="4FA709C3"/>
    <w:rsid w:val="4FBA3848"/>
    <w:rsid w:val="4FC365B9"/>
    <w:rsid w:val="4FC62A8C"/>
    <w:rsid w:val="4FCB2904"/>
    <w:rsid w:val="4FD07250"/>
    <w:rsid w:val="4FE20F0D"/>
    <w:rsid w:val="4FE51552"/>
    <w:rsid w:val="4FEF1918"/>
    <w:rsid w:val="50146059"/>
    <w:rsid w:val="503419BD"/>
    <w:rsid w:val="504306EC"/>
    <w:rsid w:val="50504C4B"/>
    <w:rsid w:val="50592EAC"/>
    <w:rsid w:val="50593A6B"/>
    <w:rsid w:val="505A3E9E"/>
    <w:rsid w:val="509C272A"/>
    <w:rsid w:val="509C6E7C"/>
    <w:rsid w:val="509F49DC"/>
    <w:rsid w:val="50A75D18"/>
    <w:rsid w:val="50A92A66"/>
    <w:rsid w:val="50BE4216"/>
    <w:rsid w:val="50C85B0B"/>
    <w:rsid w:val="50D91B36"/>
    <w:rsid w:val="50DB4230"/>
    <w:rsid w:val="50E35A2B"/>
    <w:rsid w:val="50ED082B"/>
    <w:rsid w:val="50F638CE"/>
    <w:rsid w:val="5107796B"/>
    <w:rsid w:val="511547D8"/>
    <w:rsid w:val="51595CED"/>
    <w:rsid w:val="5162104E"/>
    <w:rsid w:val="5164091A"/>
    <w:rsid w:val="518E20C8"/>
    <w:rsid w:val="51906DBF"/>
    <w:rsid w:val="519F5147"/>
    <w:rsid w:val="51A62061"/>
    <w:rsid w:val="51AB4FBC"/>
    <w:rsid w:val="51C55CE2"/>
    <w:rsid w:val="51CA1EC8"/>
    <w:rsid w:val="51D830B6"/>
    <w:rsid w:val="51F04FD0"/>
    <w:rsid w:val="521B326C"/>
    <w:rsid w:val="521C11F4"/>
    <w:rsid w:val="522134A5"/>
    <w:rsid w:val="523227C6"/>
    <w:rsid w:val="52386E61"/>
    <w:rsid w:val="524F083F"/>
    <w:rsid w:val="52565A02"/>
    <w:rsid w:val="529C40E3"/>
    <w:rsid w:val="529D25E5"/>
    <w:rsid w:val="52A37D53"/>
    <w:rsid w:val="52AB2578"/>
    <w:rsid w:val="52B14033"/>
    <w:rsid w:val="52C95B8D"/>
    <w:rsid w:val="52D53394"/>
    <w:rsid w:val="52D7511B"/>
    <w:rsid w:val="52DE483E"/>
    <w:rsid w:val="52E15F9A"/>
    <w:rsid w:val="52E87329"/>
    <w:rsid w:val="52F10B4A"/>
    <w:rsid w:val="52F47489"/>
    <w:rsid w:val="52FD7B75"/>
    <w:rsid w:val="530A2432"/>
    <w:rsid w:val="530A2EB3"/>
    <w:rsid w:val="530D302A"/>
    <w:rsid w:val="530F1D81"/>
    <w:rsid w:val="531429AF"/>
    <w:rsid w:val="533B7DA0"/>
    <w:rsid w:val="53491651"/>
    <w:rsid w:val="53577CA6"/>
    <w:rsid w:val="535A6CF1"/>
    <w:rsid w:val="535D34FF"/>
    <w:rsid w:val="53982AFD"/>
    <w:rsid w:val="53A039CC"/>
    <w:rsid w:val="53A1505A"/>
    <w:rsid w:val="53A5752C"/>
    <w:rsid w:val="53B8069B"/>
    <w:rsid w:val="53C0565B"/>
    <w:rsid w:val="53CC77B0"/>
    <w:rsid w:val="53CD5E00"/>
    <w:rsid w:val="53D71C1C"/>
    <w:rsid w:val="53F600E6"/>
    <w:rsid w:val="53F8004C"/>
    <w:rsid w:val="54060074"/>
    <w:rsid w:val="54063E08"/>
    <w:rsid w:val="543437E8"/>
    <w:rsid w:val="54362EC9"/>
    <w:rsid w:val="544D66EF"/>
    <w:rsid w:val="54564529"/>
    <w:rsid w:val="547638D8"/>
    <w:rsid w:val="54A049D5"/>
    <w:rsid w:val="54AF6350"/>
    <w:rsid w:val="54C3004D"/>
    <w:rsid w:val="54CA641E"/>
    <w:rsid w:val="54D51B2F"/>
    <w:rsid w:val="54EE4AC0"/>
    <w:rsid w:val="54F73313"/>
    <w:rsid w:val="54F80955"/>
    <w:rsid w:val="55014BE6"/>
    <w:rsid w:val="553B59DD"/>
    <w:rsid w:val="553E3500"/>
    <w:rsid w:val="555170A7"/>
    <w:rsid w:val="55771982"/>
    <w:rsid w:val="5587536D"/>
    <w:rsid w:val="558A3F38"/>
    <w:rsid w:val="55927591"/>
    <w:rsid w:val="55967510"/>
    <w:rsid w:val="559717AA"/>
    <w:rsid w:val="559A429B"/>
    <w:rsid w:val="559B174B"/>
    <w:rsid w:val="559E2206"/>
    <w:rsid w:val="55B4733C"/>
    <w:rsid w:val="55B82404"/>
    <w:rsid w:val="55CE0CF4"/>
    <w:rsid w:val="55EF2C92"/>
    <w:rsid w:val="55FF6E63"/>
    <w:rsid w:val="560E1E33"/>
    <w:rsid w:val="56182CD4"/>
    <w:rsid w:val="562B40FC"/>
    <w:rsid w:val="564A447B"/>
    <w:rsid w:val="565F3DA6"/>
    <w:rsid w:val="56620B9F"/>
    <w:rsid w:val="56726E70"/>
    <w:rsid w:val="567C3DED"/>
    <w:rsid w:val="567F3970"/>
    <w:rsid w:val="568852D0"/>
    <w:rsid w:val="56B0015D"/>
    <w:rsid w:val="56B22A9C"/>
    <w:rsid w:val="56C062D2"/>
    <w:rsid w:val="56F339D2"/>
    <w:rsid w:val="570C79C8"/>
    <w:rsid w:val="571701DC"/>
    <w:rsid w:val="571F0A6C"/>
    <w:rsid w:val="572178F8"/>
    <w:rsid w:val="57525266"/>
    <w:rsid w:val="577538D2"/>
    <w:rsid w:val="57757D1E"/>
    <w:rsid w:val="578467C0"/>
    <w:rsid w:val="5798087C"/>
    <w:rsid w:val="579C5447"/>
    <w:rsid w:val="57A30BD1"/>
    <w:rsid w:val="57AC26C4"/>
    <w:rsid w:val="57AD4175"/>
    <w:rsid w:val="57B72A76"/>
    <w:rsid w:val="57B819BF"/>
    <w:rsid w:val="57BC7B9F"/>
    <w:rsid w:val="57C3426C"/>
    <w:rsid w:val="57CE1F93"/>
    <w:rsid w:val="57D1482F"/>
    <w:rsid w:val="57DB2065"/>
    <w:rsid w:val="57DD3ED9"/>
    <w:rsid w:val="57E02CC4"/>
    <w:rsid w:val="57E200A3"/>
    <w:rsid w:val="57F30ECA"/>
    <w:rsid w:val="58017256"/>
    <w:rsid w:val="58062172"/>
    <w:rsid w:val="581B0D4D"/>
    <w:rsid w:val="58225587"/>
    <w:rsid w:val="58275B27"/>
    <w:rsid w:val="58455CFE"/>
    <w:rsid w:val="58734CD5"/>
    <w:rsid w:val="587F6193"/>
    <w:rsid w:val="588743D1"/>
    <w:rsid w:val="5887701A"/>
    <w:rsid w:val="58930412"/>
    <w:rsid w:val="5895585D"/>
    <w:rsid w:val="58CD28ED"/>
    <w:rsid w:val="58D81BED"/>
    <w:rsid w:val="58FA7CF7"/>
    <w:rsid w:val="590F7B43"/>
    <w:rsid w:val="59127D64"/>
    <w:rsid w:val="591730A9"/>
    <w:rsid w:val="591C1ADA"/>
    <w:rsid w:val="591E3AA4"/>
    <w:rsid w:val="594677CD"/>
    <w:rsid w:val="594B1686"/>
    <w:rsid w:val="59735457"/>
    <w:rsid w:val="598401DA"/>
    <w:rsid w:val="59920B6B"/>
    <w:rsid w:val="59BB59E8"/>
    <w:rsid w:val="59C0439F"/>
    <w:rsid w:val="59C75354"/>
    <w:rsid w:val="59D62324"/>
    <w:rsid w:val="59E170F9"/>
    <w:rsid w:val="59EE637C"/>
    <w:rsid w:val="5A0A227A"/>
    <w:rsid w:val="5A110DE1"/>
    <w:rsid w:val="5A1966F4"/>
    <w:rsid w:val="5A1A0B70"/>
    <w:rsid w:val="5A1C050F"/>
    <w:rsid w:val="5A1D1FC5"/>
    <w:rsid w:val="5A221372"/>
    <w:rsid w:val="5A22173D"/>
    <w:rsid w:val="5A3D7F5A"/>
    <w:rsid w:val="5A4475F9"/>
    <w:rsid w:val="5A461F0B"/>
    <w:rsid w:val="5A496F58"/>
    <w:rsid w:val="5A4B6B1B"/>
    <w:rsid w:val="5A66623F"/>
    <w:rsid w:val="5A737E20"/>
    <w:rsid w:val="5A756A7A"/>
    <w:rsid w:val="5A7871E4"/>
    <w:rsid w:val="5A790048"/>
    <w:rsid w:val="5A7C03B9"/>
    <w:rsid w:val="5AA622BF"/>
    <w:rsid w:val="5AB20948"/>
    <w:rsid w:val="5ABE2233"/>
    <w:rsid w:val="5ABE45A2"/>
    <w:rsid w:val="5AE42ACB"/>
    <w:rsid w:val="5AEA63E6"/>
    <w:rsid w:val="5AF440A0"/>
    <w:rsid w:val="5B0757D2"/>
    <w:rsid w:val="5B0A214F"/>
    <w:rsid w:val="5B0F12D5"/>
    <w:rsid w:val="5B277277"/>
    <w:rsid w:val="5B370E4D"/>
    <w:rsid w:val="5B412FF2"/>
    <w:rsid w:val="5B4D241F"/>
    <w:rsid w:val="5B647768"/>
    <w:rsid w:val="5B653E6E"/>
    <w:rsid w:val="5B73323E"/>
    <w:rsid w:val="5B8F114A"/>
    <w:rsid w:val="5BA73CE0"/>
    <w:rsid w:val="5BB029AE"/>
    <w:rsid w:val="5BC5047D"/>
    <w:rsid w:val="5BC618D0"/>
    <w:rsid w:val="5BDF5D95"/>
    <w:rsid w:val="5BED775E"/>
    <w:rsid w:val="5BFE7528"/>
    <w:rsid w:val="5C02145B"/>
    <w:rsid w:val="5C0954DC"/>
    <w:rsid w:val="5C0C67D8"/>
    <w:rsid w:val="5C367546"/>
    <w:rsid w:val="5C4307BC"/>
    <w:rsid w:val="5C4E068B"/>
    <w:rsid w:val="5C502796"/>
    <w:rsid w:val="5C733149"/>
    <w:rsid w:val="5C7958AD"/>
    <w:rsid w:val="5C8339A4"/>
    <w:rsid w:val="5C8F6A67"/>
    <w:rsid w:val="5C9664F6"/>
    <w:rsid w:val="5C9A3D38"/>
    <w:rsid w:val="5CA96C01"/>
    <w:rsid w:val="5CC26747"/>
    <w:rsid w:val="5CF8285E"/>
    <w:rsid w:val="5D092AA9"/>
    <w:rsid w:val="5D1846FF"/>
    <w:rsid w:val="5D2153F3"/>
    <w:rsid w:val="5D2A36B4"/>
    <w:rsid w:val="5D311D3C"/>
    <w:rsid w:val="5D37598E"/>
    <w:rsid w:val="5D4E114C"/>
    <w:rsid w:val="5D4E448F"/>
    <w:rsid w:val="5D564F56"/>
    <w:rsid w:val="5D8F7C82"/>
    <w:rsid w:val="5D916C44"/>
    <w:rsid w:val="5DA55197"/>
    <w:rsid w:val="5DB669A1"/>
    <w:rsid w:val="5DCB54F2"/>
    <w:rsid w:val="5DCE3820"/>
    <w:rsid w:val="5DD402E3"/>
    <w:rsid w:val="5DD53F0D"/>
    <w:rsid w:val="5DE74DAC"/>
    <w:rsid w:val="5DF253B0"/>
    <w:rsid w:val="5DF42BDC"/>
    <w:rsid w:val="5E2467F1"/>
    <w:rsid w:val="5E2750AE"/>
    <w:rsid w:val="5E2B4715"/>
    <w:rsid w:val="5E5B27D9"/>
    <w:rsid w:val="5E912F6A"/>
    <w:rsid w:val="5E9479CE"/>
    <w:rsid w:val="5EC95F75"/>
    <w:rsid w:val="5ED32616"/>
    <w:rsid w:val="5F0130FC"/>
    <w:rsid w:val="5F062D3D"/>
    <w:rsid w:val="5F1A2B43"/>
    <w:rsid w:val="5F27754A"/>
    <w:rsid w:val="5F2D0A0C"/>
    <w:rsid w:val="5F300AFB"/>
    <w:rsid w:val="5F34748C"/>
    <w:rsid w:val="5F48018D"/>
    <w:rsid w:val="5F5E109E"/>
    <w:rsid w:val="5F733AB2"/>
    <w:rsid w:val="5F74567B"/>
    <w:rsid w:val="5F873E09"/>
    <w:rsid w:val="5F8E1258"/>
    <w:rsid w:val="5F9156AE"/>
    <w:rsid w:val="5F99743D"/>
    <w:rsid w:val="5FB837BB"/>
    <w:rsid w:val="5FBC33ED"/>
    <w:rsid w:val="5FC02589"/>
    <w:rsid w:val="5FC65AAC"/>
    <w:rsid w:val="6015392F"/>
    <w:rsid w:val="601856F1"/>
    <w:rsid w:val="602B2C87"/>
    <w:rsid w:val="604751DF"/>
    <w:rsid w:val="606D79AC"/>
    <w:rsid w:val="60711B58"/>
    <w:rsid w:val="607D5069"/>
    <w:rsid w:val="60BC38AA"/>
    <w:rsid w:val="60BD048E"/>
    <w:rsid w:val="60CC405A"/>
    <w:rsid w:val="60D776F6"/>
    <w:rsid w:val="60D8644E"/>
    <w:rsid w:val="60FF6C77"/>
    <w:rsid w:val="61076AB2"/>
    <w:rsid w:val="61280133"/>
    <w:rsid w:val="61280557"/>
    <w:rsid w:val="612E4AA0"/>
    <w:rsid w:val="61391E6D"/>
    <w:rsid w:val="6166050D"/>
    <w:rsid w:val="617E77D6"/>
    <w:rsid w:val="618E7EFD"/>
    <w:rsid w:val="61AA2452"/>
    <w:rsid w:val="61B84097"/>
    <w:rsid w:val="61BF1B9C"/>
    <w:rsid w:val="61BF73B1"/>
    <w:rsid w:val="61DA7660"/>
    <w:rsid w:val="61E215D8"/>
    <w:rsid w:val="61E810F3"/>
    <w:rsid w:val="62141ABE"/>
    <w:rsid w:val="62145910"/>
    <w:rsid w:val="621B3775"/>
    <w:rsid w:val="621E6123"/>
    <w:rsid w:val="622D4D58"/>
    <w:rsid w:val="62364782"/>
    <w:rsid w:val="6237160F"/>
    <w:rsid w:val="623D44B3"/>
    <w:rsid w:val="625850F6"/>
    <w:rsid w:val="625A2C21"/>
    <w:rsid w:val="625B18C5"/>
    <w:rsid w:val="625D0ADF"/>
    <w:rsid w:val="627C33A4"/>
    <w:rsid w:val="627E7362"/>
    <w:rsid w:val="628A5119"/>
    <w:rsid w:val="629B63E4"/>
    <w:rsid w:val="62A927DB"/>
    <w:rsid w:val="62B92A90"/>
    <w:rsid w:val="62C2571F"/>
    <w:rsid w:val="62EE15D3"/>
    <w:rsid w:val="630737FB"/>
    <w:rsid w:val="63103A3D"/>
    <w:rsid w:val="63176370"/>
    <w:rsid w:val="631F2915"/>
    <w:rsid w:val="6328201C"/>
    <w:rsid w:val="632E00A7"/>
    <w:rsid w:val="63503DF9"/>
    <w:rsid w:val="635A392B"/>
    <w:rsid w:val="6367429A"/>
    <w:rsid w:val="6394356A"/>
    <w:rsid w:val="63951DB1"/>
    <w:rsid w:val="63B90E00"/>
    <w:rsid w:val="63C61B2C"/>
    <w:rsid w:val="63C739A3"/>
    <w:rsid w:val="63D40BE9"/>
    <w:rsid w:val="63E458EA"/>
    <w:rsid w:val="63EB4ECB"/>
    <w:rsid w:val="63F21002"/>
    <w:rsid w:val="63F51D29"/>
    <w:rsid w:val="63F52F21"/>
    <w:rsid w:val="63F93A70"/>
    <w:rsid w:val="63FB4BE9"/>
    <w:rsid w:val="63FF1F03"/>
    <w:rsid w:val="64065861"/>
    <w:rsid w:val="64102431"/>
    <w:rsid w:val="641053E9"/>
    <w:rsid w:val="64174C8A"/>
    <w:rsid w:val="642A59F3"/>
    <w:rsid w:val="64326656"/>
    <w:rsid w:val="64407E9B"/>
    <w:rsid w:val="6468651B"/>
    <w:rsid w:val="64962440"/>
    <w:rsid w:val="649E4C52"/>
    <w:rsid w:val="64A31301"/>
    <w:rsid w:val="64A5243A"/>
    <w:rsid w:val="64A86918"/>
    <w:rsid w:val="64AC31D6"/>
    <w:rsid w:val="64C55F1F"/>
    <w:rsid w:val="64C6383A"/>
    <w:rsid w:val="64EB5B2D"/>
    <w:rsid w:val="64F531DE"/>
    <w:rsid w:val="65131590"/>
    <w:rsid w:val="65157AC8"/>
    <w:rsid w:val="651B3D8D"/>
    <w:rsid w:val="65243CC6"/>
    <w:rsid w:val="6528356F"/>
    <w:rsid w:val="652C16E9"/>
    <w:rsid w:val="652F7394"/>
    <w:rsid w:val="6535464F"/>
    <w:rsid w:val="65366619"/>
    <w:rsid w:val="65373578"/>
    <w:rsid w:val="65393A14"/>
    <w:rsid w:val="65596C97"/>
    <w:rsid w:val="65605444"/>
    <w:rsid w:val="657A6B6C"/>
    <w:rsid w:val="658C3EAF"/>
    <w:rsid w:val="65A803D5"/>
    <w:rsid w:val="65AC12A1"/>
    <w:rsid w:val="65D023D2"/>
    <w:rsid w:val="65D218E8"/>
    <w:rsid w:val="65D32BCB"/>
    <w:rsid w:val="66391D47"/>
    <w:rsid w:val="663B6384"/>
    <w:rsid w:val="664D46E2"/>
    <w:rsid w:val="66524BC1"/>
    <w:rsid w:val="666A657B"/>
    <w:rsid w:val="66837FCA"/>
    <w:rsid w:val="669B2BD8"/>
    <w:rsid w:val="66BB18A7"/>
    <w:rsid w:val="66C60743"/>
    <w:rsid w:val="66D9098C"/>
    <w:rsid w:val="66DB6DE2"/>
    <w:rsid w:val="670F0ED0"/>
    <w:rsid w:val="6717161C"/>
    <w:rsid w:val="671D35ED"/>
    <w:rsid w:val="671F124A"/>
    <w:rsid w:val="672C1A82"/>
    <w:rsid w:val="674520EC"/>
    <w:rsid w:val="674612FF"/>
    <w:rsid w:val="67515045"/>
    <w:rsid w:val="6751773B"/>
    <w:rsid w:val="67530DBD"/>
    <w:rsid w:val="675D1C3B"/>
    <w:rsid w:val="677A33C6"/>
    <w:rsid w:val="677D24C8"/>
    <w:rsid w:val="67B65325"/>
    <w:rsid w:val="67BB172E"/>
    <w:rsid w:val="67C43A69"/>
    <w:rsid w:val="67EA5E61"/>
    <w:rsid w:val="67F057AC"/>
    <w:rsid w:val="67FD1AF9"/>
    <w:rsid w:val="68022A4B"/>
    <w:rsid w:val="68091F4D"/>
    <w:rsid w:val="68122215"/>
    <w:rsid w:val="681742FE"/>
    <w:rsid w:val="681A5D7E"/>
    <w:rsid w:val="681F6961"/>
    <w:rsid w:val="68273FF7"/>
    <w:rsid w:val="6846634D"/>
    <w:rsid w:val="684E5A28"/>
    <w:rsid w:val="6855268F"/>
    <w:rsid w:val="68610A2F"/>
    <w:rsid w:val="68660FC4"/>
    <w:rsid w:val="68724017"/>
    <w:rsid w:val="68805514"/>
    <w:rsid w:val="68890C27"/>
    <w:rsid w:val="689243F3"/>
    <w:rsid w:val="68B47F81"/>
    <w:rsid w:val="68D80538"/>
    <w:rsid w:val="68D91796"/>
    <w:rsid w:val="68DD12E4"/>
    <w:rsid w:val="68E23D8E"/>
    <w:rsid w:val="68E85758"/>
    <w:rsid w:val="68F12E0A"/>
    <w:rsid w:val="69316E2F"/>
    <w:rsid w:val="694E2071"/>
    <w:rsid w:val="696E55B1"/>
    <w:rsid w:val="69766163"/>
    <w:rsid w:val="697A3B33"/>
    <w:rsid w:val="698C441D"/>
    <w:rsid w:val="698E10BC"/>
    <w:rsid w:val="69961435"/>
    <w:rsid w:val="699728B4"/>
    <w:rsid w:val="69A07A56"/>
    <w:rsid w:val="69AF0748"/>
    <w:rsid w:val="69D44760"/>
    <w:rsid w:val="6A186D06"/>
    <w:rsid w:val="6A367ED6"/>
    <w:rsid w:val="6A512C8B"/>
    <w:rsid w:val="6A520EC7"/>
    <w:rsid w:val="6A571A82"/>
    <w:rsid w:val="6A7277BA"/>
    <w:rsid w:val="6A984180"/>
    <w:rsid w:val="6AF87E20"/>
    <w:rsid w:val="6B1116BB"/>
    <w:rsid w:val="6B322639"/>
    <w:rsid w:val="6B3E3B32"/>
    <w:rsid w:val="6B451364"/>
    <w:rsid w:val="6B4E3AE2"/>
    <w:rsid w:val="6B533849"/>
    <w:rsid w:val="6B824366"/>
    <w:rsid w:val="6B8845FA"/>
    <w:rsid w:val="6B8F4A7B"/>
    <w:rsid w:val="6BAB6A35"/>
    <w:rsid w:val="6BAE6F0A"/>
    <w:rsid w:val="6BD62536"/>
    <w:rsid w:val="6BDA62CE"/>
    <w:rsid w:val="6BDD567F"/>
    <w:rsid w:val="6BDE1811"/>
    <w:rsid w:val="6BDF7C73"/>
    <w:rsid w:val="6BE22CE6"/>
    <w:rsid w:val="6BE82A89"/>
    <w:rsid w:val="6C0B1393"/>
    <w:rsid w:val="6C186857"/>
    <w:rsid w:val="6C205235"/>
    <w:rsid w:val="6C225202"/>
    <w:rsid w:val="6C3C2767"/>
    <w:rsid w:val="6C492DBB"/>
    <w:rsid w:val="6C636C38"/>
    <w:rsid w:val="6C647774"/>
    <w:rsid w:val="6C67653F"/>
    <w:rsid w:val="6C781F5A"/>
    <w:rsid w:val="6C7F7C58"/>
    <w:rsid w:val="6C865790"/>
    <w:rsid w:val="6C890448"/>
    <w:rsid w:val="6C9303AC"/>
    <w:rsid w:val="6CA16A6E"/>
    <w:rsid w:val="6CA70E8F"/>
    <w:rsid w:val="6CB57FA5"/>
    <w:rsid w:val="6CC8503A"/>
    <w:rsid w:val="6D175D4F"/>
    <w:rsid w:val="6D1F1741"/>
    <w:rsid w:val="6D5261F9"/>
    <w:rsid w:val="6D762A39"/>
    <w:rsid w:val="6D8C18AD"/>
    <w:rsid w:val="6D8E42AC"/>
    <w:rsid w:val="6DB34098"/>
    <w:rsid w:val="6DB545B6"/>
    <w:rsid w:val="6DC04CD2"/>
    <w:rsid w:val="6DD15131"/>
    <w:rsid w:val="6DD16DF7"/>
    <w:rsid w:val="6DE02FB4"/>
    <w:rsid w:val="6DE15490"/>
    <w:rsid w:val="6E0F7A08"/>
    <w:rsid w:val="6E192C9E"/>
    <w:rsid w:val="6E2026D5"/>
    <w:rsid w:val="6E3A0F28"/>
    <w:rsid w:val="6E484777"/>
    <w:rsid w:val="6E514CED"/>
    <w:rsid w:val="6E592908"/>
    <w:rsid w:val="6E867F08"/>
    <w:rsid w:val="6E9248C1"/>
    <w:rsid w:val="6EB563D5"/>
    <w:rsid w:val="6EBF11C8"/>
    <w:rsid w:val="6ED92677"/>
    <w:rsid w:val="6EFF33B8"/>
    <w:rsid w:val="6F18711B"/>
    <w:rsid w:val="6F225983"/>
    <w:rsid w:val="6F2637B4"/>
    <w:rsid w:val="6F327540"/>
    <w:rsid w:val="6F4B4A6F"/>
    <w:rsid w:val="6F5F063E"/>
    <w:rsid w:val="6F776321"/>
    <w:rsid w:val="6F796CF6"/>
    <w:rsid w:val="6F7A08F8"/>
    <w:rsid w:val="6FB45735"/>
    <w:rsid w:val="6FC6134C"/>
    <w:rsid w:val="6FDD19AE"/>
    <w:rsid w:val="6FEE09EF"/>
    <w:rsid w:val="6FFC5590"/>
    <w:rsid w:val="70106BFB"/>
    <w:rsid w:val="702552C0"/>
    <w:rsid w:val="702F7EED"/>
    <w:rsid w:val="70413AE7"/>
    <w:rsid w:val="70473CF9"/>
    <w:rsid w:val="7048670A"/>
    <w:rsid w:val="704E4381"/>
    <w:rsid w:val="7055204A"/>
    <w:rsid w:val="706D1DD0"/>
    <w:rsid w:val="706E0425"/>
    <w:rsid w:val="707B3132"/>
    <w:rsid w:val="70856B87"/>
    <w:rsid w:val="70D527EE"/>
    <w:rsid w:val="70FA0726"/>
    <w:rsid w:val="71110B0E"/>
    <w:rsid w:val="71126777"/>
    <w:rsid w:val="714511F9"/>
    <w:rsid w:val="714C110E"/>
    <w:rsid w:val="715B5300"/>
    <w:rsid w:val="71995F66"/>
    <w:rsid w:val="71A70907"/>
    <w:rsid w:val="71AF4825"/>
    <w:rsid w:val="71B374B1"/>
    <w:rsid w:val="71C82C3E"/>
    <w:rsid w:val="71D27F8A"/>
    <w:rsid w:val="71EB40F6"/>
    <w:rsid w:val="72031631"/>
    <w:rsid w:val="7227222B"/>
    <w:rsid w:val="72553024"/>
    <w:rsid w:val="72556331"/>
    <w:rsid w:val="72587CBA"/>
    <w:rsid w:val="72785B7B"/>
    <w:rsid w:val="729624A5"/>
    <w:rsid w:val="72B865DA"/>
    <w:rsid w:val="72BA0530"/>
    <w:rsid w:val="72C1590D"/>
    <w:rsid w:val="72CB03A1"/>
    <w:rsid w:val="72D15686"/>
    <w:rsid w:val="72D66D46"/>
    <w:rsid w:val="72DB7073"/>
    <w:rsid w:val="72E43211"/>
    <w:rsid w:val="72E43ABD"/>
    <w:rsid w:val="72FA6ED8"/>
    <w:rsid w:val="730E4A54"/>
    <w:rsid w:val="73122968"/>
    <w:rsid w:val="731955B0"/>
    <w:rsid w:val="731F5D5E"/>
    <w:rsid w:val="73412411"/>
    <w:rsid w:val="73577C82"/>
    <w:rsid w:val="735B60E6"/>
    <w:rsid w:val="736305DA"/>
    <w:rsid w:val="736F38F7"/>
    <w:rsid w:val="73851FDD"/>
    <w:rsid w:val="738865DB"/>
    <w:rsid w:val="739B2D3E"/>
    <w:rsid w:val="73A50094"/>
    <w:rsid w:val="73C51AD5"/>
    <w:rsid w:val="73D43285"/>
    <w:rsid w:val="73DC213A"/>
    <w:rsid w:val="73F90949"/>
    <w:rsid w:val="740E1393"/>
    <w:rsid w:val="74185330"/>
    <w:rsid w:val="741E793C"/>
    <w:rsid w:val="7432150C"/>
    <w:rsid w:val="743D017C"/>
    <w:rsid w:val="745E3944"/>
    <w:rsid w:val="746B682B"/>
    <w:rsid w:val="748E607C"/>
    <w:rsid w:val="74A206DC"/>
    <w:rsid w:val="74BB61F3"/>
    <w:rsid w:val="74C01A5C"/>
    <w:rsid w:val="74C71328"/>
    <w:rsid w:val="74CC0400"/>
    <w:rsid w:val="74F00617"/>
    <w:rsid w:val="75096F5F"/>
    <w:rsid w:val="75285260"/>
    <w:rsid w:val="75422471"/>
    <w:rsid w:val="75551F42"/>
    <w:rsid w:val="75792F4D"/>
    <w:rsid w:val="75903A3F"/>
    <w:rsid w:val="75A0276E"/>
    <w:rsid w:val="75B21702"/>
    <w:rsid w:val="75C23793"/>
    <w:rsid w:val="75EC3FED"/>
    <w:rsid w:val="75EC5C91"/>
    <w:rsid w:val="761611E9"/>
    <w:rsid w:val="7635099D"/>
    <w:rsid w:val="76366479"/>
    <w:rsid w:val="76382078"/>
    <w:rsid w:val="76567C2C"/>
    <w:rsid w:val="76984082"/>
    <w:rsid w:val="76AA29C3"/>
    <w:rsid w:val="76B007C7"/>
    <w:rsid w:val="76BD6F04"/>
    <w:rsid w:val="76CC46E8"/>
    <w:rsid w:val="76D76E89"/>
    <w:rsid w:val="76EB4713"/>
    <w:rsid w:val="76F83820"/>
    <w:rsid w:val="770F11B3"/>
    <w:rsid w:val="774150D6"/>
    <w:rsid w:val="775D5136"/>
    <w:rsid w:val="77762421"/>
    <w:rsid w:val="77862AE9"/>
    <w:rsid w:val="778D449C"/>
    <w:rsid w:val="779677B1"/>
    <w:rsid w:val="779D7B2A"/>
    <w:rsid w:val="77AC5F48"/>
    <w:rsid w:val="77B518A9"/>
    <w:rsid w:val="77B56B1F"/>
    <w:rsid w:val="780F09F4"/>
    <w:rsid w:val="781A0FD5"/>
    <w:rsid w:val="782B3132"/>
    <w:rsid w:val="783C40FE"/>
    <w:rsid w:val="783E2857"/>
    <w:rsid w:val="789E37A8"/>
    <w:rsid w:val="78A90480"/>
    <w:rsid w:val="78D24E51"/>
    <w:rsid w:val="78ED5F92"/>
    <w:rsid w:val="78FE2B52"/>
    <w:rsid w:val="79052133"/>
    <w:rsid w:val="790C75D9"/>
    <w:rsid w:val="79160A9B"/>
    <w:rsid w:val="7919689E"/>
    <w:rsid w:val="79315448"/>
    <w:rsid w:val="7940316B"/>
    <w:rsid w:val="794116E9"/>
    <w:rsid w:val="79517CF9"/>
    <w:rsid w:val="796D1148"/>
    <w:rsid w:val="79907C4E"/>
    <w:rsid w:val="799139C7"/>
    <w:rsid w:val="79960FDD"/>
    <w:rsid w:val="79D2647D"/>
    <w:rsid w:val="79D264B9"/>
    <w:rsid w:val="79D97AE8"/>
    <w:rsid w:val="79F53F55"/>
    <w:rsid w:val="7A1B3600"/>
    <w:rsid w:val="7A1C0332"/>
    <w:rsid w:val="7A2A69EA"/>
    <w:rsid w:val="7A364017"/>
    <w:rsid w:val="7A4D1BC9"/>
    <w:rsid w:val="7A50583C"/>
    <w:rsid w:val="7A56120A"/>
    <w:rsid w:val="7A5E7333"/>
    <w:rsid w:val="7A6C4291"/>
    <w:rsid w:val="7A702C9F"/>
    <w:rsid w:val="7A8265E1"/>
    <w:rsid w:val="7A8772A3"/>
    <w:rsid w:val="7AAB2D20"/>
    <w:rsid w:val="7ABB6F4D"/>
    <w:rsid w:val="7ACF201F"/>
    <w:rsid w:val="7B301B2A"/>
    <w:rsid w:val="7B423452"/>
    <w:rsid w:val="7B433C3F"/>
    <w:rsid w:val="7B471686"/>
    <w:rsid w:val="7B526BB1"/>
    <w:rsid w:val="7B5F0185"/>
    <w:rsid w:val="7B686D42"/>
    <w:rsid w:val="7B6E2211"/>
    <w:rsid w:val="7B8261BE"/>
    <w:rsid w:val="7B841746"/>
    <w:rsid w:val="7B9D48A5"/>
    <w:rsid w:val="7BB67C52"/>
    <w:rsid w:val="7BBF481B"/>
    <w:rsid w:val="7BC9569A"/>
    <w:rsid w:val="7BDB0F48"/>
    <w:rsid w:val="7C173C20"/>
    <w:rsid w:val="7C1A5EF5"/>
    <w:rsid w:val="7C355A63"/>
    <w:rsid w:val="7C3F595C"/>
    <w:rsid w:val="7C4C01DD"/>
    <w:rsid w:val="7C4E4CD2"/>
    <w:rsid w:val="7C530F7D"/>
    <w:rsid w:val="7C582E95"/>
    <w:rsid w:val="7C6C5AC7"/>
    <w:rsid w:val="7CB06E20"/>
    <w:rsid w:val="7CC6544B"/>
    <w:rsid w:val="7CC95044"/>
    <w:rsid w:val="7CEA3A52"/>
    <w:rsid w:val="7D0239FF"/>
    <w:rsid w:val="7D154945"/>
    <w:rsid w:val="7D1B6BB6"/>
    <w:rsid w:val="7D332247"/>
    <w:rsid w:val="7D3A6899"/>
    <w:rsid w:val="7D3C0D39"/>
    <w:rsid w:val="7D4A45B8"/>
    <w:rsid w:val="7D4F7E21"/>
    <w:rsid w:val="7D5E40CD"/>
    <w:rsid w:val="7D7C465D"/>
    <w:rsid w:val="7D7E3022"/>
    <w:rsid w:val="7D817139"/>
    <w:rsid w:val="7D8333F9"/>
    <w:rsid w:val="7D8852BC"/>
    <w:rsid w:val="7D9C536E"/>
    <w:rsid w:val="7DB76FBB"/>
    <w:rsid w:val="7DBA34EC"/>
    <w:rsid w:val="7DBF4FA6"/>
    <w:rsid w:val="7DCC1471"/>
    <w:rsid w:val="7DCD56F2"/>
    <w:rsid w:val="7DD338C6"/>
    <w:rsid w:val="7DD935E9"/>
    <w:rsid w:val="7DDF1C99"/>
    <w:rsid w:val="7DF217F7"/>
    <w:rsid w:val="7DF528C8"/>
    <w:rsid w:val="7DF85F36"/>
    <w:rsid w:val="7E012947"/>
    <w:rsid w:val="7E190142"/>
    <w:rsid w:val="7E346061"/>
    <w:rsid w:val="7E3A462D"/>
    <w:rsid w:val="7E4D7A1D"/>
    <w:rsid w:val="7E5B50B3"/>
    <w:rsid w:val="7E5C2854"/>
    <w:rsid w:val="7E637144"/>
    <w:rsid w:val="7E7F0292"/>
    <w:rsid w:val="7EA907AD"/>
    <w:rsid w:val="7EAB552B"/>
    <w:rsid w:val="7EAC13CB"/>
    <w:rsid w:val="7EAF6DC9"/>
    <w:rsid w:val="7ECA5D15"/>
    <w:rsid w:val="7ECF58BB"/>
    <w:rsid w:val="7F001CE7"/>
    <w:rsid w:val="7F554399"/>
    <w:rsid w:val="7F631961"/>
    <w:rsid w:val="7F855D7C"/>
    <w:rsid w:val="7F8823D8"/>
    <w:rsid w:val="7F9C7B02"/>
    <w:rsid w:val="7FB84669"/>
    <w:rsid w:val="7FD231B1"/>
    <w:rsid w:val="7FE47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9" w:semiHidden="0" w:name="heading 2" w:locked="1"/>
    <w:lsdException w:qFormat="1" w:uiPriority="0" w:name="heading 3" w:locked="1"/>
    <w:lsdException w:qFormat="1" w:unhideWhenUsed="0" w:uiPriority="1"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nhideWhenUsed="0" w:uiPriority="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ocked="1"/>
    <w:lsdException w:qFormat="1" w:unhideWhenUsed="0" w:uiPriority="0"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99"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qFormat="1" w:unhideWhenUsed="0" w:uiPriority="0" w:semiHidden="0" w:name="Body Text 2" w:locked="1"/>
    <w:lsdException w:qFormat="1" w:uiPriority="0" w:semiHidden="0" w:name="Body Text 3" w:locked="1"/>
    <w:lsdException w:qFormat="1" w:unhideWhenUsed="0" w:uiPriority="0" w:semiHidden="0" w:name="Body Text Indent 2" w:locked="1"/>
    <w:lsdException w:unhideWhenUsed="0" w:uiPriority="0" w:semiHidden="0" w:name="Body Text Indent 3" w:locked="1"/>
    <w:lsdException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4">
    <w:name w:val="heading 2"/>
    <w:basedOn w:val="1"/>
    <w:next w:val="1"/>
    <w:qFormat/>
    <w:locked/>
    <w:uiPriority w:val="9"/>
    <w:pPr>
      <w:keepNext/>
      <w:keepLines/>
      <w:spacing w:before="260" w:after="260" w:line="416" w:lineRule="auto"/>
      <w:outlineLvl w:val="1"/>
    </w:pPr>
    <w:rPr>
      <w:rFonts w:ascii="Cambria" w:hAnsi="Cambria"/>
      <w:b/>
      <w:bCs/>
      <w:sz w:val="32"/>
      <w:szCs w:val="32"/>
    </w:rPr>
  </w:style>
  <w:style w:type="paragraph" w:styleId="5">
    <w:name w:val="heading 4"/>
    <w:basedOn w:val="1"/>
    <w:next w:val="1"/>
    <w:qFormat/>
    <w:locked/>
    <w:uiPriority w:val="1"/>
    <w:pPr>
      <w:keepNext/>
      <w:keepLines/>
      <w:adjustRightInd w:val="0"/>
      <w:snapToGrid w:val="0"/>
      <w:spacing w:line="500" w:lineRule="exact"/>
      <w:outlineLvl w:val="3"/>
    </w:pPr>
    <w:rPr>
      <w:rFonts w:ascii="Arial" w:hAnsi="Arial"/>
      <w:sz w:val="24"/>
      <w:szCs w:val="20"/>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header"/>
    <w:basedOn w:val="1"/>
    <w:next w:val="1"/>
    <w:link w:val="36"/>
    <w:qFormat/>
    <w:uiPriority w:val="0"/>
    <w:pPr>
      <w:pBdr>
        <w:bottom w:val="single" w:color="auto" w:sz="6" w:space="1"/>
      </w:pBdr>
      <w:tabs>
        <w:tab w:val="center" w:pos="4153"/>
        <w:tab w:val="right" w:pos="8306"/>
      </w:tabs>
      <w:snapToGrid w:val="0"/>
      <w:jc w:val="center"/>
    </w:pPr>
    <w:rPr>
      <w:kern w:val="0"/>
      <w:sz w:val="18"/>
      <w:szCs w:val="20"/>
    </w:rPr>
  </w:style>
  <w:style w:type="paragraph" w:styleId="6">
    <w:name w:val="Normal Indent"/>
    <w:basedOn w:val="1"/>
    <w:next w:val="1"/>
    <w:qFormat/>
    <w:locked/>
    <w:uiPriority w:val="0"/>
    <w:pPr>
      <w:ind w:firstLine="420"/>
    </w:pPr>
  </w:style>
  <w:style w:type="paragraph" w:styleId="7">
    <w:name w:val="caption"/>
    <w:basedOn w:val="1"/>
    <w:next w:val="1"/>
    <w:qFormat/>
    <w:locked/>
    <w:uiPriority w:val="0"/>
    <w:rPr>
      <w:rFonts w:ascii="Cambria" w:hAnsi="Cambria" w:eastAsia="黑体"/>
      <w:sz w:val="20"/>
      <w:szCs w:val="20"/>
    </w:rPr>
  </w:style>
  <w:style w:type="paragraph" w:styleId="8">
    <w:name w:val="annotation text"/>
    <w:basedOn w:val="1"/>
    <w:link w:val="37"/>
    <w:semiHidden/>
    <w:qFormat/>
    <w:uiPriority w:val="0"/>
    <w:pPr>
      <w:jc w:val="left"/>
    </w:pPr>
    <w:rPr>
      <w:kern w:val="0"/>
      <w:sz w:val="24"/>
      <w:szCs w:val="20"/>
    </w:rPr>
  </w:style>
  <w:style w:type="paragraph" w:styleId="9">
    <w:name w:val="Body Text 3"/>
    <w:basedOn w:val="1"/>
    <w:unhideWhenUsed/>
    <w:qFormat/>
    <w:locked/>
    <w:uiPriority w:val="0"/>
    <w:pPr>
      <w:spacing w:line="360" w:lineRule="auto"/>
      <w:ind w:firstLine="200" w:firstLineChars="200"/>
      <w:jc w:val="center"/>
    </w:pPr>
    <w:rPr>
      <w:rFonts w:eastAsia="黑体"/>
      <w:sz w:val="24"/>
      <w:szCs w:val="20"/>
    </w:rPr>
  </w:style>
  <w:style w:type="paragraph" w:styleId="10">
    <w:name w:val="Body Text"/>
    <w:basedOn w:val="1"/>
    <w:next w:val="1"/>
    <w:link w:val="38"/>
    <w:qFormat/>
    <w:uiPriority w:val="0"/>
    <w:pPr>
      <w:widowControl/>
      <w:snapToGrid w:val="0"/>
      <w:spacing w:before="60" w:after="160" w:line="259" w:lineRule="auto"/>
      <w:ind w:right="113"/>
    </w:pPr>
    <w:rPr>
      <w:kern w:val="0"/>
      <w:sz w:val="18"/>
      <w:szCs w:val="20"/>
    </w:rPr>
  </w:style>
  <w:style w:type="paragraph" w:styleId="11">
    <w:name w:val="Body Text Indent"/>
    <w:basedOn w:val="1"/>
    <w:next w:val="2"/>
    <w:link w:val="39"/>
    <w:qFormat/>
    <w:uiPriority w:val="0"/>
    <w:pPr>
      <w:spacing w:after="120"/>
      <w:ind w:left="420" w:leftChars="200"/>
    </w:pPr>
    <w:rPr>
      <w:kern w:val="0"/>
      <w:sz w:val="24"/>
      <w:szCs w:val="20"/>
    </w:rPr>
  </w:style>
  <w:style w:type="paragraph" w:styleId="12">
    <w:name w:val="Plain Text"/>
    <w:basedOn w:val="1"/>
    <w:next w:val="1"/>
    <w:qFormat/>
    <w:locked/>
    <w:uiPriority w:val="0"/>
    <w:rPr>
      <w:rFonts w:ascii="宋体" w:hAnsi="Courier New"/>
    </w:rPr>
  </w:style>
  <w:style w:type="paragraph" w:styleId="13">
    <w:name w:val="Date"/>
    <w:basedOn w:val="1"/>
    <w:next w:val="1"/>
    <w:link w:val="40"/>
    <w:qFormat/>
    <w:uiPriority w:val="0"/>
    <w:pPr>
      <w:ind w:left="100" w:leftChars="2500"/>
    </w:pPr>
    <w:rPr>
      <w:kern w:val="0"/>
      <w:sz w:val="24"/>
      <w:szCs w:val="20"/>
    </w:rPr>
  </w:style>
  <w:style w:type="paragraph" w:styleId="14">
    <w:name w:val="Body Text Indent 2"/>
    <w:basedOn w:val="1"/>
    <w:qFormat/>
    <w:locked/>
    <w:uiPriority w:val="0"/>
    <w:pPr>
      <w:spacing w:after="120" w:line="480" w:lineRule="auto"/>
      <w:ind w:left="420" w:leftChars="200"/>
    </w:pPr>
  </w:style>
  <w:style w:type="paragraph" w:styleId="15">
    <w:name w:val="Balloon Text"/>
    <w:basedOn w:val="1"/>
    <w:link w:val="41"/>
    <w:semiHidden/>
    <w:qFormat/>
    <w:uiPriority w:val="0"/>
    <w:rPr>
      <w:kern w:val="0"/>
      <w:sz w:val="18"/>
      <w:szCs w:val="20"/>
    </w:rPr>
  </w:style>
  <w:style w:type="paragraph" w:styleId="16">
    <w:name w:val="footer"/>
    <w:basedOn w:val="1"/>
    <w:link w:val="42"/>
    <w:qFormat/>
    <w:uiPriority w:val="99"/>
    <w:pPr>
      <w:tabs>
        <w:tab w:val="center" w:pos="4153"/>
        <w:tab w:val="right" w:pos="8306"/>
      </w:tabs>
      <w:snapToGrid w:val="0"/>
      <w:jc w:val="left"/>
    </w:pPr>
    <w:rPr>
      <w:kern w:val="0"/>
      <w:sz w:val="18"/>
      <w:szCs w:val="20"/>
    </w:rPr>
  </w:style>
  <w:style w:type="paragraph" w:styleId="17">
    <w:name w:val="index heading"/>
    <w:basedOn w:val="1"/>
    <w:next w:val="18"/>
    <w:qFormat/>
    <w:locked/>
    <w:uiPriority w:val="0"/>
    <w:rPr>
      <w:rFonts w:ascii="Arial" w:hAnsi="Arial"/>
      <w:b/>
    </w:rPr>
  </w:style>
  <w:style w:type="paragraph" w:styleId="18">
    <w:name w:val="index 1"/>
    <w:basedOn w:val="1"/>
    <w:next w:val="1"/>
    <w:semiHidden/>
    <w:qFormat/>
    <w:locked/>
    <w:uiPriority w:val="0"/>
    <w:pPr>
      <w:adjustRightInd w:val="0"/>
      <w:snapToGrid w:val="0"/>
      <w:ind w:firstLine="823" w:firstLineChars="358"/>
      <w:jc w:val="left"/>
    </w:pPr>
    <w:rPr>
      <w:rFonts w:ascii="宋体" w:hAnsi="宋体"/>
      <w:spacing w:val="10"/>
    </w:rPr>
  </w:style>
  <w:style w:type="paragraph" w:styleId="19">
    <w:name w:val="List"/>
    <w:basedOn w:val="1"/>
    <w:qFormat/>
    <w:locked/>
    <w:uiPriority w:val="99"/>
    <w:pPr>
      <w:spacing w:line="280" w:lineRule="exact"/>
      <w:jc w:val="center"/>
    </w:pPr>
    <w:rPr>
      <w:rFonts w:ascii="宋体"/>
      <w:kern w:val="24"/>
    </w:rPr>
  </w:style>
  <w:style w:type="paragraph" w:styleId="20">
    <w:name w:val="Body Text 2"/>
    <w:basedOn w:val="1"/>
    <w:qFormat/>
    <w:locked/>
    <w:uiPriority w:val="0"/>
    <w:pPr>
      <w:autoSpaceDE w:val="0"/>
      <w:autoSpaceDN w:val="0"/>
      <w:jc w:val="left"/>
    </w:pPr>
    <w:rPr>
      <w:rFonts w:ascii="宋体" w:hAnsi="宋体" w:cs="宋体"/>
      <w:kern w:val="0"/>
      <w:sz w:val="28"/>
      <w:lang w:val="zh-CN" w:bidi="zh-CN"/>
    </w:rPr>
  </w:style>
  <w:style w:type="paragraph" w:styleId="21">
    <w:name w:val="Normal (Web)"/>
    <w:basedOn w:val="1"/>
    <w:link w:val="43"/>
    <w:qFormat/>
    <w:uiPriority w:val="0"/>
    <w:pPr>
      <w:widowControl/>
      <w:spacing w:before="100" w:beforeAutospacing="1" w:after="100" w:afterAutospacing="1"/>
      <w:jc w:val="left"/>
    </w:pPr>
    <w:rPr>
      <w:rFonts w:ascii="宋体" w:hAnsi="宋体"/>
      <w:kern w:val="0"/>
      <w:sz w:val="24"/>
      <w:szCs w:val="20"/>
    </w:rPr>
  </w:style>
  <w:style w:type="paragraph" w:styleId="22">
    <w:name w:val="annotation subject"/>
    <w:basedOn w:val="8"/>
    <w:next w:val="8"/>
    <w:link w:val="44"/>
    <w:semiHidden/>
    <w:qFormat/>
    <w:uiPriority w:val="0"/>
    <w:rPr>
      <w:b/>
    </w:rPr>
  </w:style>
  <w:style w:type="paragraph" w:styleId="23">
    <w:name w:val="Body Text First Indent"/>
    <w:basedOn w:val="10"/>
    <w:qFormat/>
    <w:locked/>
    <w:uiPriority w:val="0"/>
    <w:pPr>
      <w:spacing w:after="120" w:line="240" w:lineRule="auto"/>
      <w:ind w:firstLine="420" w:firstLineChars="100"/>
    </w:pPr>
    <w:rPr>
      <w:sz w:val="21"/>
      <w:szCs w:val="24"/>
    </w:rPr>
  </w:style>
  <w:style w:type="paragraph" w:styleId="24">
    <w:name w:val="Body Text First Indent 2"/>
    <w:basedOn w:val="1"/>
    <w:next w:val="23"/>
    <w:qFormat/>
    <w:locked/>
    <w:uiPriority w:val="0"/>
    <w:pPr>
      <w:ind w:firstLine="420"/>
    </w:pPr>
  </w:style>
  <w:style w:type="table" w:styleId="26">
    <w:name w:val="Table Grid"/>
    <w:basedOn w:val="2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page number"/>
    <w:basedOn w:val="27"/>
    <w:qFormat/>
    <w:locked/>
    <w:uiPriority w:val="0"/>
  </w:style>
  <w:style w:type="character" w:styleId="29">
    <w:name w:val="annotation reference"/>
    <w:semiHidden/>
    <w:qFormat/>
    <w:uiPriority w:val="0"/>
    <w:rPr>
      <w:sz w:val="21"/>
    </w:rPr>
  </w:style>
  <w:style w:type="paragraph" w:customStyle="1" w:styleId="30">
    <w:name w:val="正文首行缩进 21"/>
    <w:basedOn w:val="1"/>
    <w:qFormat/>
    <w:uiPriority w:val="0"/>
    <w:pPr>
      <w:ind w:firstLine="420"/>
    </w:pPr>
    <w:rPr>
      <w:kern w:val="0"/>
    </w:rPr>
  </w:style>
  <w:style w:type="paragraph" w:customStyle="1" w:styleId="31">
    <w:name w:val="表格"/>
    <w:basedOn w:val="6"/>
    <w:next w:val="1"/>
    <w:link w:val="47"/>
    <w:qFormat/>
    <w:uiPriority w:val="0"/>
    <w:pPr>
      <w:adjustRightInd w:val="0"/>
      <w:snapToGrid w:val="0"/>
      <w:spacing w:beforeLines="10" w:afterLines="10" w:line="259" w:lineRule="auto"/>
      <w:jc w:val="center"/>
    </w:pPr>
    <w:rPr>
      <w:rFonts w:ascii="宋体"/>
      <w:kern w:val="0"/>
      <w:szCs w:val="20"/>
    </w:rPr>
  </w:style>
  <w:style w:type="paragraph" w:customStyle="1" w:styleId="32">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33">
    <w:name w:val="文本"/>
    <w:basedOn w:val="1"/>
    <w:next w:val="6"/>
    <w:qFormat/>
    <w:uiPriority w:val="0"/>
    <w:pPr>
      <w:widowControl/>
      <w:spacing w:line="360" w:lineRule="auto"/>
      <w:ind w:firstLine="1440" w:firstLineChars="200"/>
    </w:pPr>
    <w:rPr>
      <w:color w:val="000000"/>
      <w:kern w:val="0"/>
      <w:sz w:val="24"/>
    </w:rPr>
  </w:style>
  <w:style w:type="paragraph" w:customStyle="1" w:styleId="34">
    <w:name w:val="文本正文"/>
    <w:basedOn w:val="23"/>
    <w:qFormat/>
    <w:uiPriority w:val="39"/>
    <w:pPr>
      <w:autoSpaceDE w:val="0"/>
      <w:autoSpaceDN w:val="0"/>
      <w:adjustRightInd w:val="0"/>
      <w:spacing w:line="360" w:lineRule="auto"/>
      <w:ind w:firstLine="510"/>
      <w:textAlignment w:val="baseline"/>
    </w:pPr>
    <w:rPr>
      <w:rFonts w:ascii="宋体" w:hAnsi="宋体"/>
      <w:snapToGrid w:val="0"/>
      <w:color w:val="000000"/>
      <w:spacing w:val="4"/>
      <w:kern w:val="18"/>
      <w:sz w:val="24"/>
    </w:rPr>
  </w:style>
  <w:style w:type="paragraph" w:customStyle="1" w:styleId="35">
    <w:name w:val="xl27"/>
    <w:basedOn w:val="1"/>
    <w:qFormat/>
    <w:uiPriority w:val="0"/>
    <w:pPr>
      <w:widowControl/>
      <w:pBdr>
        <w:bottom w:val="single" w:color="auto" w:sz="4" w:space="0"/>
        <w:right w:val="single" w:color="auto" w:sz="4" w:space="0"/>
      </w:pBdr>
      <w:spacing w:before="100" w:beforeAutospacing="1" w:after="100" w:afterAutospacing="1"/>
      <w:jc w:val="center"/>
    </w:pPr>
    <w:rPr>
      <w:kern w:val="0"/>
      <w:szCs w:val="21"/>
    </w:rPr>
  </w:style>
  <w:style w:type="character" w:customStyle="1" w:styleId="36">
    <w:name w:val="页眉 Char"/>
    <w:link w:val="2"/>
    <w:qFormat/>
    <w:locked/>
    <w:uiPriority w:val="0"/>
    <w:rPr>
      <w:sz w:val="18"/>
    </w:rPr>
  </w:style>
  <w:style w:type="character" w:customStyle="1" w:styleId="37">
    <w:name w:val="批注文字 Char"/>
    <w:link w:val="8"/>
    <w:qFormat/>
    <w:locked/>
    <w:uiPriority w:val="0"/>
    <w:rPr>
      <w:rFonts w:ascii="Times New Roman" w:hAnsi="Times New Roman" w:eastAsia="宋体"/>
      <w:sz w:val="24"/>
    </w:rPr>
  </w:style>
  <w:style w:type="character" w:customStyle="1" w:styleId="38">
    <w:name w:val="正文文本 Char"/>
    <w:link w:val="10"/>
    <w:qFormat/>
    <w:locked/>
    <w:uiPriority w:val="0"/>
    <w:rPr>
      <w:sz w:val="18"/>
    </w:rPr>
  </w:style>
  <w:style w:type="character" w:customStyle="1" w:styleId="39">
    <w:name w:val="正文文本缩进 Char"/>
    <w:link w:val="11"/>
    <w:semiHidden/>
    <w:qFormat/>
    <w:locked/>
    <w:uiPriority w:val="0"/>
    <w:rPr>
      <w:rFonts w:ascii="Times New Roman" w:hAnsi="Times New Roman" w:eastAsia="宋体"/>
      <w:sz w:val="24"/>
    </w:rPr>
  </w:style>
  <w:style w:type="character" w:customStyle="1" w:styleId="40">
    <w:name w:val="日期 Char"/>
    <w:link w:val="13"/>
    <w:qFormat/>
    <w:locked/>
    <w:uiPriority w:val="0"/>
    <w:rPr>
      <w:rFonts w:ascii="Times New Roman" w:hAnsi="Times New Roman" w:eastAsia="宋体"/>
      <w:sz w:val="24"/>
    </w:rPr>
  </w:style>
  <w:style w:type="character" w:customStyle="1" w:styleId="41">
    <w:name w:val="批注框文本 Char"/>
    <w:link w:val="15"/>
    <w:semiHidden/>
    <w:qFormat/>
    <w:locked/>
    <w:uiPriority w:val="0"/>
    <w:rPr>
      <w:rFonts w:ascii="Times New Roman" w:hAnsi="Times New Roman" w:eastAsia="宋体"/>
      <w:sz w:val="18"/>
    </w:rPr>
  </w:style>
  <w:style w:type="character" w:customStyle="1" w:styleId="42">
    <w:name w:val="页脚 Char"/>
    <w:link w:val="16"/>
    <w:qFormat/>
    <w:locked/>
    <w:uiPriority w:val="99"/>
    <w:rPr>
      <w:sz w:val="18"/>
    </w:rPr>
  </w:style>
  <w:style w:type="character" w:customStyle="1" w:styleId="43">
    <w:name w:val="普通(网站) Char"/>
    <w:link w:val="21"/>
    <w:qFormat/>
    <w:locked/>
    <w:uiPriority w:val="0"/>
    <w:rPr>
      <w:rFonts w:ascii="宋体" w:hAnsi="宋体" w:eastAsia="宋体"/>
      <w:sz w:val="24"/>
    </w:rPr>
  </w:style>
  <w:style w:type="character" w:customStyle="1" w:styleId="44">
    <w:name w:val="批注主题 Char"/>
    <w:link w:val="22"/>
    <w:semiHidden/>
    <w:qFormat/>
    <w:locked/>
    <w:uiPriority w:val="0"/>
    <w:rPr>
      <w:rFonts w:ascii="Times New Roman" w:hAnsi="Times New Roman" w:eastAsia="宋体"/>
      <w:b/>
      <w:kern w:val="2"/>
      <w:sz w:val="24"/>
    </w:rPr>
  </w:style>
  <w:style w:type="character" w:customStyle="1" w:styleId="45">
    <w:name w:val="批注文字 字符1"/>
    <w:semiHidden/>
    <w:qFormat/>
    <w:uiPriority w:val="0"/>
    <w:rPr>
      <w:rFonts w:ascii="Times New Roman" w:hAnsi="Times New Roman" w:eastAsia="宋体"/>
      <w:sz w:val="24"/>
    </w:rPr>
  </w:style>
  <w:style w:type="character" w:customStyle="1" w:styleId="46">
    <w:name w:val="正文文本 字符1"/>
    <w:semiHidden/>
    <w:qFormat/>
    <w:uiPriority w:val="0"/>
    <w:rPr>
      <w:rFonts w:ascii="Times New Roman" w:hAnsi="Times New Roman" w:eastAsia="宋体"/>
      <w:sz w:val="24"/>
    </w:rPr>
  </w:style>
  <w:style w:type="character" w:customStyle="1" w:styleId="47">
    <w:name w:val="表格 Char"/>
    <w:link w:val="31"/>
    <w:qFormat/>
    <w:locked/>
    <w:uiPriority w:val="0"/>
    <w:rPr>
      <w:rFonts w:ascii="宋体"/>
      <w:sz w:val="21"/>
    </w:rPr>
  </w:style>
  <w:style w:type="character" w:customStyle="1" w:styleId="48">
    <w:name w:val="日期 字符"/>
    <w:semiHidden/>
    <w:qFormat/>
    <w:uiPriority w:val="0"/>
    <w:rPr>
      <w:rFonts w:ascii="Times New Roman" w:hAnsi="Times New Roman" w:eastAsia="宋体"/>
      <w:sz w:val="24"/>
    </w:rPr>
  </w:style>
  <w:style w:type="character" w:customStyle="1" w:styleId="49">
    <w:name w:val="页脚 字符"/>
    <w:basedOn w:val="27"/>
    <w:qFormat/>
    <w:uiPriority w:val="99"/>
  </w:style>
  <w:style w:type="paragraph" w:customStyle="1" w:styleId="50">
    <w:name w:val="F正文"/>
    <w:basedOn w:val="1"/>
    <w:qFormat/>
    <w:uiPriority w:val="0"/>
    <w:pPr>
      <w:spacing w:line="360" w:lineRule="auto"/>
      <w:ind w:firstLine="200" w:firstLineChars="200"/>
    </w:pPr>
    <w:rPr>
      <w:color w:val="000000"/>
      <w:kern w:val="0"/>
      <w:sz w:val="24"/>
    </w:rPr>
  </w:style>
  <w:style w:type="paragraph" w:customStyle="1" w:styleId="51">
    <w:name w:val="制表格"/>
    <w:basedOn w:val="1"/>
    <w:qFormat/>
    <w:uiPriority w:val="0"/>
    <w:pPr>
      <w:jc w:val="center"/>
    </w:pPr>
    <w:rPr>
      <w:snapToGrid w:val="0"/>
      <w:kern w:val="0"/>
      <w:szCs w:val="28"/>
    </w:rPr>
  </w:style>
  <w:style w:type="paragraph" w:customStyle="1" w:styleId="52">
    <w:name w:val="表格式"/>
    <w:basedOn w:val="19"/>
    <w:qFormat/>
    <w:uiPriority w:val="0"/>
    <w:pPr>
      <w:spacing w:before="156" w:beforeLines="50" w:after="156" w:afterLines="50" w:line="240" w:lineRule="exact"/>
    </w:pPr>
    <w:rPr>
      <w:rFonts w:ascii="Times New Roman"/>
      <w:kern w:val="2"/>
    </w:rPr>
  </w:style>
  <w:style w:type="paragraph" w:customStyle="1" w:styleId="53">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54">
    <w:name w:val="List Paragraph"/>
    <w:basedOn w:val="1"/>
    <w:qFormat/>
    <w:uiPriority w:val="0"/>
    <w:pPr>
      <w:ind w:firstLine="420" w:firstLineChars="200"/>
    </w:pPr>
  </w:style>
  <w:style w:type="paragraph" w:customStyle="1" w:styleId="55">
    <w:name w:val="文本内容"/>
    <w:basedOn w:val="1"/>
    <w:qFormat/>
    <w:uiPriority w:val="0"/>
    <w:pPr>
      <w:widowControl/>
      <w:adjustRightInd w:val="0"/>
      <w:snapToGrid w:val="0"/>
      <w:spacing w:line="360" w:lineRule="auto"/>
      <w:ind w:firstLine="546" w:firstLineChars="200"/>
      <w:jc w:val="left"/>
    </w:pPr>
    <w:rPr>
      <w:sz w:val="28"/>
      <w:szCs w:val="20"/>
    </w:rPr>
  </w:style>
  <w:style w:type="paragraph" w:customStyle="1" w:styleId="56">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57">
    <w:name w:val="Table Paragraph"/>
    <w:basedOn w:val="1"/>
    <w:qFormat/>
    <w:uiPriority w:val="1"/>
    <w:rPr>
      <w:rFonts w:eastAsia="Times New Roman"/>
      <w:lang w:eastAsia="en-US" w:bidi="en-US"/>
    </w:rPr>
  </w:style>
  <w:style w:type="paragraph" w:customStyle="1" w:styleId="58">
    <w:name w:val="表标题"/>
    <w:basedOn w:val="1"/>
    <w:qFormat/>
    <w:uiPriority w:val="0"/>
    <w:pPr>
      <w:jc w:val="center"/>
    </w:pPr>
    <w:rPr>
      <w:b/>
    </w:rPr>
  </w:style>
  <w:style w:type="paragraph" w:customStyle="1" w:styleId="59">
    <w:name w:val="报告书表格"/>
    <w:basedOn w:val="1"/>
    <w:qFormat/>
    <w:uiPriority w:val="0"/>
    <w:pPr>
      <w:adjustRightInd w:val="0"/>
      <w:spacing w:before="60" w:after="60" w:line="240" w:lineRule="atLeast"/>
      <w:jc w:val="center"/>
      <w:textAlignment w:val="baseline"/>
    </w:pPr>
    <w:rPr>
      <w:kern w:val="0"/>
    </w:rPr>
  </w:style>
  <w:style w:type="paragraph" w:customStyle="1" w:styleId="60">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61">
    <w:name w:val="WPSOffice手动目录 1"/>
    <w:qFormat/>
    <w:uiPriority w:val="0"/>
    <w:rPr>
      <w:rFonts w:ascii="Times New Roman" w:hAnsi="Times New Roman" w:eastAsia="宋体" w:cs="Times New Roman"/>
      <w:lang w:val="en-US" w:eastAsia="zh-CN" w:bidi="ar-SA"/>
    </w:rPr>
  </w:style>
  <w:style w:type="paragraph" w:customStyle="1" w:styleId="62">
    <w:name w:val="表格表头"/>
    <w:basedOn w:val="1"/>
    <w:qFormat/>
    <w:uiPriority w:val="0"/>
    <w:pPr>
      <w:widowControl/>
      <w:snapToGrid w:val="0"/>
      <w:jc w:val="center"/>
    </w:pPr>
    <w:rPr>
      <w:b/>
      <w:snapToGrid w:val="0"/>
      <w:kern w:val="0"/>
      <w:sz w:val="24"/>
      <w:lang w:val="zh-CN"/>
    </w:rPr>
  </w:style>
  <w:style w:type="paragraph" w:customStyle="1" w:styleId="63">
    <w:name w:val="l报告正文"/>
    <w:basedOn w:val="1"/>
    <w:qFormat/>
    <w:uiPriority w:val="0"/>
    <w:pPr>
      <w:snapToGrid w:val="0"/>
      <w:spacing w:line="360" w:lineRule="auto"/>
      <w:ind w:firstLine="420" w:firstLineChars="200"/>
    </w:pPr>
    <w:rPr>
      <w:rFonts w:hint="eastAsia"/>
      <w:sz w:val="24"/>
    </w:rPr>
  </w:style>
  <w:style w:type="paragraph" w:customStyle="1" w:styleId="64">
    <w:name w:val="报告正文"/>
    <w:basedOn w:val="1"/>
    <w:qFormat/>
    <w:uiPriority w:val="0"/>
    <w:pPr>
      <w:spacing w:line="360" w:lineRule="auto"/>
      <w:ind w:firstLine="480" w:firstLineChars="200"/>
    </w:pPr>
    <w:rPr>
      <w:color w:val="000000"/>
      <w:kern w:val="0"/>
      <w:sz w:val="24"/>
      <w:szCs w:val="20"/>
    </w:rPr>
  </w:style>
  <w:style w:type="paragraph" w:customStyle="1" w:styleId="65">
    <w:name w:val="表题"/>
    <w:basedOn w:val="1"/>
    <w:qFormat/>
    <w:uiPriority w:val="0"/>
    <w:pPr>
      <w:snapToGrid w:val="0"/>
      <w:jc w:val="center"/>
    </w:pPr>
    <w:rPr>
      <w:rFonts w:ascii="Calibri" w:hAnsi="Calibri" w:eastAsia="黑体"/>
      <w:kern w:val="0"/>
      <w:sz w:val="20"/>
    </w:rPr>
  </w:style>
  <w:style w:type="paragraph" w:customStyle="1" w:styleId="66">
    <w:name w:val="样式8"/>
    <w:basedOn w:val="1"/>
    <w:qFormat/>
    <w:uiPriority w:val="0"/>
    <w:pPr>
      <w:adjustRightInd w:val="0"/>
      <w:snapToGrid w:val="0"/>
      <w:jc w:val="center"/>
    </w:pPr>
    <w:rPr>
      <w:rFonts w:ascii="仿宋" w:hAnsi="仿宋" w:eastAsia="仿宋"/>
    </w:rPr>
  </w:style>
  <w:style w:type="character" w:customStyle="1" w:styleId="67">
    <w:name w:val="font21"/>
    <w:basedOn w:val="27"/>
    <w:qFormat/>
    <w:uiPriority w:val="0"/>
    <w:rPr>
      <w:rFonts w:hint="eastAsia" w:ascii="宋体" w:hAnsi="宋体" w:eastAsia="宋体" w:cs="宋体"/>
      <w:color w:val="000000"/>
      <w:sz w:val="21"/>
      <w:szCs w:val="21"/>
      <w:u w:val="none"/>
    </w:rPr>
  </w:style>
  <w:style w:type="character" w:customStyle="1" w:styleId="68">
    <w:name w:val="标题 2 Char Char"/>
    <w:qFormat/>
    <w:uiPriority w:val="0"/>
    <w:rPr>
      <w:rFonts w:ascii="Arial" w:hAnsi="Arial" w:eastAsia="黑体"/>
      <w:b/>
      <w:bCs/>
      <w:kern w:val="2"/>
      <w:sz w:val="32"/>
      <w:szCs w:val="32"/>
      <w:lang w:val="en-US" w:eastAsia="zh-CN" w:bidi="ar-SA"/>
    </w:rPr>
  </w:style>
  <w:style w:type="character" w:customStyle="1" w:styleId="69">
    <w:name w:val="NormalCharacter"/>
    <w:qFormat/>
    <w:uiPriority w:val="0"/>
  </w:style>
  <w:style w:type="table" w:customStyle="1" w:styleId="70">
    <w:name w:val="Table Normal"/>
    <w:semiHidden/>
    <w:unhideWhenUsed/>
    <w:qFormat/>
    <w:uiPriority w:val="0"/>
    <w:tblPr>
      <w:tblCellMar>
        <w:top w:w="0" w:type="dxa"/>
        <w:left w:w="0" w:type="dxa"/>
        <w:bottom w:w="0" w:type="dxa"/>
        <w:right w:w="0" w:type="dxa"/>
      </w:tblCellMar>
    </w:tblPr>
  </w:style>
  <w:style w:type="character" w:customStyle="1" w:styleId="71">
    <w:name w:val="font31"/>
    <w:basedOn w:val="27"/>
    <w:qFormat/>
    <w:uiPriority w:val="0"/>
    <w:rPr>
      <w:rFonts w:hint="eastAsia" w:ascii="宋体" w:hAnsi="宋体" w:eastAsia="宋体" w:cs="宋体"/>
      <w:color w:val="000000"/>
      <w:sz w:val="21"/>
      <w:szCs w:val="21"/>
      <w:u w:val="none"/>
    </w:rPr>
  </w:style>
  <w:style w:type="paragraph" w:customStyle="1" w:styleId="72">
    <w:name w:val="正文啊"/>
    <w:next w:val="1"/>
    <w:qFormat/>
    <w:uiPriority w:val="0"/>
    <w:pPr>
      <w:widowControl w:val="0"/>
      <w:adjustRightInd w:val="0"/>
      <w:spacing w:line="360" w:lineRule="auto"/>
      <w:ind w:firstLine="482" w:firstLineChars="200"/>
    </w:pPr>
    <w:rPr>
      <w:rFonts w:ascii="Times New Roman" w:hAnsi="Times New Roman" w:eastAsia="宋体" w:cs="Times New Roman"/>
      <w:sz w:val="24"/>
      <w:lang w:val="en-US" w:eastAsia="zh-CN" w:bidi="ar-SA"/>
    </w:rPr>
  </w:style>
  <w:style w:type="paragraph" w:customStyle="1" w:styleId="73">
    <w:name w:val="正文内容"/>
    <w:qFormat/>
    <w:uiPriority w:val="0"/>
    <w:pPr>
      <w:widowControl w:val="0"/>
      <w:snapToGrid w:val="0"/>
      <w:spacing w:before="60" w:after="60" w:line="440" w:lineRule="exact"/>
      <w:ind w:firstLine="200" w:firstLineChars="200"/>
      <w:jc w:val="both"/>
    </w:pPr>
    <w:rPr>
      <w:rFonts w:ascii="Times New Roman" w:hAnsi="Times New Roman" w:eastAsia="宋体" w:cs="宋体"/>
      <w:kern w:val="2"/>
      <w:sz w:val="24"/>
      <w:szCs w:val="24"/>
      <w:lang w:val="en-US" w:eastAsia="zh-CN" w:bidi="ar-SA"/>
    </w:rPr>
  </w:style>
  <w:style w:type="paragraph" w:customStyle="1" w:styleId="74">
    <w:name w:val="表格内容"/>
    <w:basedOn w:val="75"/>
    <w:link w:val="77"/>
    <w:qFormat/>
    <w:uiPriority w:val="0"/>
    <w:pPr>
      <w:snapToGrid w:val="0"/>
      <w:ind w:firstLine="0" w:firstLineChars="0"/>
      <w:textAlignment w:val="center"/>
    </w:pPr>
    <w:rPr>
      <w:color w:val="000000"/>
      <w:kern w:val="0"/>
      <w:szCs w:val="21"/>
    </w:rPr>
  </w:style>
  <w:style w:type="paragraph" w:customStyle="1" w:styleId="75">
    <w:name w:val="表格标题"/>
    <w:basedOn w:val="76"/>
    <w:qFormat/>
    <w:uiPriority w:val="0"/>
    <w:pPr>
      <w:spacing w:line="240" w:lineRule="auto"/>
      <w:jc w:val="center"/>
    </w:pPr>
    <w:rPr>
      <w:b/>
      <w:sz w:val="21"/>
    </w:rPr>
  </w:style>
  <w:style w:type="paragraph" w:customStyle="1" w:styleId="76">
    <w:name w:val="方案正文"/>
    <w:basedOn w:val="1"/>
    <w:qFormat/>
    <w:uiPriority w:val="0"/>
    <w:pPr>
      <w:spacing w:line="360" w:lineRule="auto"/>
      <w:ind w:firstLine="200" w:firstLineChars="200"/>
    </w:pPr>
    <w:rPr>
      <w:sz w:val="24"/>
    </w:rPr>
  </w:style>
  <w:style w:type="character" w:customStyle="1" w:styleId="77">
    <w:name w:val="表格内容 Char"/>
    <w:link w:val="74"/>
    <w:qFormat/>
    <w:uiPriority w:val="0"/>
    <w:rPr>
      <w:rFonts w:ascii="Times New Roman" w:hAnsi="Times New Roman" w:cs="宋体"/>
      <w:color w:val="000000"/>
      <w:kern w:val="0"/>
      <w:sz w:val="21"/>
      <w:szCs w:val="21"/>
      <w:u w:val="none"/>
      <w:lang w:bidi="ar"/>
    </w:rPr>
  </w:style>
  <w:style w:type="paragraph" w:customStyle="1" w:styleId="78">
    <w:name w:val="三级标题"/>
    <w:basedOn w:val="79"/>
    <w:qFormat/>
    <w:uiPriority w:val="0"/>
    <w:pPr>
      <w:autoSpaceDE w:val="0"/>
      <w:autoSpaceDN w:val="0"/>
      <w:adjustRightInd w:val="0"/>
      <w:spacing w:before="120" w:after="120" w:line="440" w:lineRule="exact"/>
    </w:pPr>
    <w:rPr>
      <w:rFonts w:ascii="黑体" w:hAnsi="ˎ̥" w:eastAsia="黑体" w:cs="宋体"/>
      <w:sz w:val="28"/>
      <w:szCs w:val="28"/>
    </w:rPr>
  </w:style>
  <w:style w:type="paragraph" w:customStyle="1" w:styleId="79">
    <w:name w:val="一级标题"/>
    <w:basedOn w:val="1"/>
    <w:qFormat/>
    <w:uiPriority w:val="0"/>
    <w:pPr>
      <w:jc w:val="left"/>
    </w:pPr>
    <w:rPr>
      <w:b/>
      <w:sz w:val="30"/>
    </w:rPr>
  </w:style>
  <w:style w:type="paragraph" w:customStyle="1" w:styleId="80">
    <w:name w:val="样式 标题 1 + 四号 段前: 0 磅 段后: 0 磅 行距: 1.5 倍行距"/>
    <w:basedOn w:val="81"/>
    <w:next w:val="1"/>
    <w:qFormat/>
    <w:uiPriority w:val="0"/>
    <w:pPr>
      <w:spacing w:line="360" w:lineRule="auto"/>
      <w:jc w:val="center"/>
    </w:pPr>
    <w:rPr>
      <w:rFonts w:hAnsi="黑体" w:eastAsia="宋体"/>
      <w:sz w:val="21"/>
    </w:rPr>
  </w:style>
  <w:style w:type="paragraph" w:customStyle="1" w:styleId="81">
    <w:name w:val="1正文"/>
    <w:basedOn w:val="1"/>
    <w:qFormat/>
    <w:uiPriority w:val="0"/>
    <w:pPr>
      <w:spacing w:line="500" w:lineRule="exact"/>
      <w:ind w:firstLine="588" w:firstLineChars="196"/>
    </w:pPr>
    <w:rPr>
      <w:rFonts w:eastAsia="楷体_GB2312"/>
      <w:sz w:val="30"/>
      <w:szCs w:val="30"/>
    </w:rPr>
  </w:style>
  <w:style w:type="paragraph" w:customStyle="1" w:styleId="82">
    <w:name w:val="正文环评"/>
    <w:basedOn w:val="1"/>
    <w:qFormat/>
    <w:uiPriority w:val="0"/>
    <w:rPr>
      <w:szCs w:val="22"/>
    </w:rPr>
  </w:style>
  <w:style w:type="paragraph" w:customStyle="1" w:styleId="83">
    <w:name w:val="Table Text"/>
    <w:basedOn w:val="1"/>
    <w:semiHidden/>
    <w:qFormat/>
    <w:uiPriority w:val="0"/>
    <w:rPr>
      <w:rFonts w:ascii="宋体" w:hAnsi="宋体" w:cs="宋体"/>
      <w:sz w:val="20"/>
      <w:szCs w:val="20"/>
      <w:lang w:eastAsia="en-US"/>
    </w:rPr>
  </w:style>
  <w:style w:type="paragraph" w:customStyle="1" w:styleId="84">
    <w:name w:val="wy正文"/>
    <w:basedOn w:val="1"/>
    <w:qFormat/>
    <w:uiPriority w:val="0"/>
    <w:rPr>
      <w:kern w:val="0"/>
    </w:rPr>
  </w:style>
  <w:style w:type="paragraph" w:customStyle="1" w:styleId="85">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86">
    <w:name w:val="ggzbt011"/>
    <w:basedOn w:val="27"/>
    <w:qFormat/>
    <w:uiPriority w:val="0"/>
  </w:style>
  <w:style w:type="paragraph" w:customStyle="1" w:styleId="87">
    <w:name w:val="Default"/>
    <w:basedOn w:val="88"/>
    <w:next w:val="10"/>
    <w:qFormat/>
    <w:uiPriority w:val="0"/>
    <w:pPr>
      <w:autoSpaceDE w:val="0"/>
      <w:autoSpaceDN w:val="0"/>
    </w:pPr>
    <w:rPr>
      <w:rFonts w:hAnsi="宋体" w:cs="宋体"/>
      <w:color w:val="000000"/>
      <w:sz w:val="24"/>
      <w:szCs w:val="24"/>
    </w:rPr>
  </w:style>
  <w:style w:type="paragraph" w:customStyle="1" w:styleId="88">
    <w:name w:val="纯文本1"/>
    <w:basedOn w:val="1"/>
    <w:qFormat/>
    <w:uiPriority w:val="0"/>
    <w:pPr>
      <w:adjustRightInd w:val="0"/>
    </w:pPr>
    <w:rPr>
      <w:rFonts w:ascii="宋体" w:hAnsi="Courier New"/>
      <w:szCs w:val="20"/>
    </w:rPr>
  </w:style>
  <w:style w:type="paragraph" w:customStyle="1" w:styleId="89">
    <w:name w:val="表格文字"/>
    <w:basedOn w:val="6"/>
    <w:qFormat/>
    <w:uiPriority w:val="0"/>
    <w:pPr>
      <w:ind w:firstLine="0"/>
      <w:jc w:val="center"/>
    </w:pPr>
  </w:style>
  <w:style w:type="paragraph" w:customStyle="1" w:styleId="90">
    <w:name w:val="表"/>
    <w:basedOn w:val="7"/>
    <w:qFormat/>
    <w:uiPriority w:val="0"/>
    <w:rPr>
      <w:rFonts w:ascii="Times New Roman" w:hAnsi="Times New Roman" w:eastAsia="宋体"/>
      <w:sz w:val="21"/>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Microsoft_Visio_2003-2010___1.vsd"/><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6" Type="http://schemas.openxmlformats.org/officeDocument/2006/relationships/fontTable" Target="fontTable.xml"/><Relationship Id="rId35" Type="http://schemas.openxmlformats.org/officeDocument/2006/relationships/customXml" Target="../customXml/item2.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18.jpe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footer" Target="foot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jpe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Microsoft_Visio_2003-2010___5.vsd"/><Relationship Id="rId18" Type="http://schemas.openxmlformats.org/officeDocument/2006/relationships/image" Target="media/image5.emf"/><Relationship Id="rId17" Type="http://schemas.openxmlformats.org/officeDocument/2006/relationships/oleObject" Target="embeddings/Microsoft_Visio_2003-2010___4.vsd"/><Relationship Id="rId16" Type="http://schemas.openxmlformats.org/officeDocument/2006/relationships/image" Target="media/image4.emf"/><Relationship Id="rId15" Type="http://schemas.openxmlformats.org/officeDocument/2006/relationships/oleObject" Target="embeddings/Microsoft_Visio_2003-2010___3.vsd"/><Relationship Id="rId14" Type="http://schemas.openxmlformats.org/officeDocument/2006/relationships/image" Target="media/image3.wmf"/><Relationship Id="rId13" Type="http://schemas.openxmlformats.org/officeDocument/2006/relationships/oleObject" Target="embeddings/oleObject1.bin"/><Relationship Id="rId12" Type="http://schemas.openxmlformats.org/officeDocument/2006/relationships/image" Target="media/image2.emf"/><Relationship Id="rId11" Type="http://schemas.openxmlformats.org/officeDocument/2006/relationships/oleObject" Target="embeddings/Microsoft_Visio_2003-2010___2.vsd"/><Relationship Id="rId10" Type="http://schemas.openxmlformats.org/officeDocument/2006/relationships/image" Target="media/image1.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32d91ff6-a0d8-485c-9877-8c46a0718762</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5F596D80</paraID>
      <start>6</start>
      <end>9</end>
      <status>unmodified</status>
      <modifiedWord/>
      <trackRevisions>false</trackRevisions>
    </reviewItem>
    <reviewItem>
      <errorID>b3e34fa2-7816-4593-9da1-2c00df5f8875</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5A7F66E3</paraID>
      <start>3</start>
      <end>6</end>
      <status>unmodified</status>
      <modifiedWord/>
      <trackRevisions>false</trackRevisions>
    </reviewItem>
    <reviewItem>
      <errorID>5b8926c3-7a37-49ba-9b74-0981e8c8b207</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2EBB1828</paraID>
      <start>0</start>
      <end>3</end>
      <status>unmodified</status>
      <modifiedWord/>
      <trackRevisions>false</trackRevisions>
    </reviewItem>
    <reviewItem>
      <errorID>a2e16cae-d415-49d1-a58f-f2ebf22fc001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26A36F15</paraID>
      <start>0</start>
      <end>2</end>
      <status>unmodified</status>
      <modifiedWord/>
      <trackRevisions>false</trackRevisions>
    </reviewItem>
    <reviewItem>
      <errorID>d3975b84-5738-4311-a7d9-fda6aee399e9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34F69185</paraID>
      <start>0</start>
      <end>2</end>
      <status>unmodified</status>
      <modifiedWord/>
      <trackRevisions>false</trackRevisions>
    </reviewItem>
    <reviewItem>
      <errorID>9fad42f9-eba9-43cc-bcd2-bb4f0a6a27de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4828CA6A</paraID>
      <start>0</start>
      <end>2</end>
      <status>unmodified</status>
      <modifiedWord/>
      <trackRevisions>false</trackRevisions>
    </reviewItem>
    <reviewItem>
      <errorID>466cc8ff-b47b-4ee2-8fcd-55738147042c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1B432EDA</paraID>
      <start>0</start>
      <end>2</end>
      <status>unmodified</status>
      <modifiedWord/>
      <trackRevisions>false</trackRevisions>
    </reviewItem>
    <reviewItem>
      <errorID>bd018a6e-e78c-4603-945c-18004f04a26d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270F40D5</paraID>
      <start>0</start>
      <end>2</end>
      <status>unmodified</status>
      <modifiedWord/>
      <trackRevisions>false</trackRevisions>
    </reviewItem>
    <reviewItem>
      <errorID>655acf67-3de3-4a28-a5f7-073c8a1d7622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13260371</paraID>
      <start>0</start>
      <end>2</end>
      <status>unmodified</status>
      <modifiedWord/>
      <trackRevisions>false</trackRevisions>
    </reviewItem>
    <reviewItem>
      <errorID>599cf645-5c0c-4d18-8488-b764a29eb2dc</errorID>
      <errorWord>[2023]5号</errorWord>
      <group>L1_Knowledge</group>
      <groupName>知识性问题</groupName>
      <ability>L2_Knowledge</ability>
      <abilityName>其他知识</abilityName>
      <candidateList>
        <item>〔2023〕5号</item>
      </candidateList>
      <explain>发文字号格式错误。</explain>
      <paraID>13260371</paraID>
      <start>66</start>
      <end>74</end>
      <status>unmodified</status>
      <modifiedWord/>
      <trackRevisions>false</trackRevisions>
    </reviewItem>
    <reviewItem>
      <errorID>f35783ba-3a5c-4f5a-8f5f-04861e9be390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7307342D</paraID>
      <start>0</start>
      <end>2</end>
      <status>unmodified</status>
      <modifiedWord/>
      <trackRevisions>false</trackRevisions>
    </reviewItem>
    <reviewItem>
      <errorID>571428a0-8cfb-4b62-a5ee-797fbaf4cc6e</errorID>
      <errorWord>(</errorWord>
      <group>L1_Format</group>
      <groupName>格式问题</groupName>
      <ability>L2_HalfPunc_CN</ability>
      <abilityName>全半角问题</abilityName>
      <candidateList>
        <item>（</item>
      </candidateList>
      <explain>文本全半角错误。</explain>
      <paraID>385442ED</paraID>
      <start>82</start>
      <end>83</end>
      <status>unmodified</status>
      <modifiedWord/>
      <trackRevisions>false</trackRevisions>
    </reviewItem>
    <reviewItem>
      <errorID>c826292c-b7a7-4e37-be4d-5d36d15b25b8</errorID>
      <errorWord>)</errorWord>
      <group>L1_Format</group>
      <groupName>格式问题</groupName>
      <ability>L2_HalfPunc_CN</ability>
      <abilityName>全半角问题</abilityName>
      <candidateList>
        <item>）</item>
      </candidateList>
      <explain>文本全半角错误。</explain>
      <paraID>385442ED</paraID>
      <start>94</start>
      <end>95</end>
      <status>unmodified</status>
      <modifiedWord/>
      <trackRevisions>false</trackRevisions>
    </reviewItem>
    <reviewItem>
      <errorID>46a874a5-5bc6-44f2-a295-0c4921822a72</errorID>
      <errorWord>(</errorWord>
      <group>L1_Format</group>
      <groupName>格式问题</groupName>
      <ability>L2_HalfPunc_CN</ability>
      <abilityName>全半角问题</abilityName>
      <candidateList>
        <item>（</item>
      </candidateList>
      <explain>文本全半角错误。</explain>
      <paraID>385442ED</paraID>
      <start>105</start>
      <end>106</end>
      <status>unmodified</status>
      <modifiedWord/>
      <trackRevisions>false</trackRevisions>
    </reviewItem>
    <reviewItem>
      <errorID>893ecd5b-b156-421f-9329-e4b3125e6579</errorID>
      <errorWord>)</errorWord>
      <group>L1_Format</group>
      <groupName>格式问题</groupName>
      <ability>L2_HalfPunc_CN</ability>
      <abilityName>全半角问题</abilityName>
      <candidateList>
        <item>）</item>
      </candidateList>
      <explain>文本全半角错误。</explain>
      <paraID>385442ED</paraID>
      <start>110</start>
      <end>111</end>
      <status>unmodified</status>
      <modifiedWord/>
      <trackRevisions>false</trackRevisions>
    </reviewItem>
    <reviewItem>
      <errorID>2a16eaa8-3dd4-4ae8-8dae-1839fb230d93</errorID>
      <errorWord>(</errorWord>
      <group>L1_Format</group>
      <groupName>格式问题</groupName>
      <ability>L2_HalfPunc_CN</ability>
      <abilityName>全半角问题</abilityName>
      <candidateList>
        <item>（</item>
      </candidateList>
      <explain>文本全半角错误。</explain>
      <paraID>385442ED</paraID>
      <start>179</start>
      <end>180</end>
      <status>unmodified</status>
      <modifiedWord/>
      <trackRevisions>false</trackRevisions>
    </reviewItem>
    <reviewItem>
      <errorID>e4c72e99-1834-45b1-9091-192e7f8f15ea</errorID>
      <errorWord>)</errorWord>
      <group>L1_Format</group>
      <groupName>格式问题</groupName>
      <ability>L2_HalfPunc_CN</ability>
      <abilityName>全半角问题</abilityName>
      <candidateList>
        <item>）</item>
      </candidateList>
      <explain>文本全半角错误。</explain>
      <paraID>385442ED</paraID>
      <start>185</start>
      <end>186</end>
      <status>unmodified</status>
      <modifiedWord/>
      <trackRevisions>false</trackRevisions>
    </reviewItem>
    <reviewItem>
      <errorID>556b097c-e303-46d5-8652-bc1dc7993661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39301FB</paraID>
      <start>12</start>
      <end>13</end>
      <status>unmodified</status>
      <modifiedWord/>
      <trackRevisions>false</trackRevisions>
    </reviewItem>
    <reviewItem>
      <errorID>8b163729-2ca6-4c83-881e-cc46d8c6cd3e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39301FB</paraID>
      <start>30</start>
      <end>31</end>
      <status>unmodified</status>
      <modifiedWord/>
      <trackRevisions>false</trackRevisions>
    </reviewItem>
    <reviewItem>
      <errorID>5b613850-54cd-41f5-93dc-5c2bc08ca711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39301FB</paraID>
      <start>45</start>
      <end>46</end>
      <status>unmodified</status>
      <modifiedWord/>
      <trackRevisions>false</trackRevisions>
    </reviewItem>
    <reviewItem>
      <errorID>de4d0de8-bdd5-4052-9403-4387ff683d9f</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5CBECA74</paraID>
      <start>13</start>
      <end>16</end>
      <status>unmodified</status>
      <modifiedWord/>
      <trackRevisions>false</trackRevisions>
    </reviewItem>
    <reviewItem>
      <errorID>e430ce6b-12c5-425e-b767-6cffbc9f26ad</errorID>
      <errorWord>[2023]5号</errorWord>
      <group>L1_Knowledge</group>
      <groupName>知识性问题</groupName>
      <ability>L2_Knowledge</ability>
      <abilityName>其他知识</abilityName>
      <candidateList>
        <item>〔2023〕5号</item>
      </candidateList>
      <explain>发文字号格式错误。</explain>
      <paraID>36E7EBC0</paraID>
      <start>44</start>
      <end>52</end>
      <status>unmodified</status>
      <modifiedWord/>
      <trackRevisions>false</trackRevisions>
    </reviewItem>
    <reviewItem>
      <errorID>cefe4750-6900-43ca-a7af-e8d90420ab32</errorID>
      <errorWord>减小</errorWord>
      <group>L1_Word</group>
      <groupName>字词问题</groupName>
      <ability>L2_Typo</ability>
      <abilityName>字词错误</abilityName>
      <candidateList>
        <item>减少</item>
      </candidateList>
      <explain>存在字形相近字词的误用。</explain>
      <paraID>636E554C</paraID>
      <start>144</start>
      <end>146</end>
      <status>unmodified</status>
      <modifiedWord/>
      <trackRevisions>false</trackRevisions>
    </reviewItem>
    <reviewItem>
      <errorID>abe7eda9-2ef0-4e03-9724-c4b0413173c5</errorID>
      <errorWord>(</errorWord>
      <group>L1_Format</group>
      <groupName>格式问题</groupName>
      <ability>L2_HalfPunc_CN</ability>
      <abilityName>全半角问题</abilityName>
      <candidateList>
        <item>（</item>
      </candidateList>
      <explain>文本全半角错误。</explain>
      <paraID>6A5974F0</paraID>
      <start>29</start>
      <end>30</end>
      <status>unmodified</status>
      <modifiedWord/>
      <trackRevisions>false</trackRevisions>
    </reviewItem>
    <reviewItem>
      <errorID>1a9264a4-c0b1-48bd-b83f-ae2ec0a39097</errorID>
      <errorWord>~</errorWord>
      <group>L1_Format</group>
      <groupName>格式问题</groupName>
      <ability>L2_HalfPunc_CN</ability>
      <abilityName>全半角问题</abilityName>
      <candidateList>
        <item>～</item>
      </candidateList>
      <explain>文本全半角错误。</explain>
      <paraID>3596A14A</paraID>
      <start>72</start>
      <end>73</end>
      <status>unmodified</status>
      <modifiedWord/>
      <trackRevisions>false</trackRevisions>
    </reviewItem>
    <reviewItem>
      <errorID>d90766d7-950a-4d0f-99b9-7bb284f60300</errorID>
      <errorWord>(</errorWord>
      <group>L1_Format</group>
      <groupName>格式问题</groupName>
      <ability>L2_HalfPunc_CN</ability>
      <abilityName>全半角问题</abilityName>
      <candidateList>
        <item>（</item>
      </candidateList>
      <explain>文本全半角错误。</explain>
      <paraID>3B5DF032</paraID>
      <start>36</start>
      <end>37</end>
      <status>unmodified</status>
      <modifiedWord/>
      <trackRevisions>false</trackRevisions>
    </reviewItem>
    <reviewItem>
      <errorID>7f720d69-f3ce-45eb-85d8-c8290caec18b</errorID>
      <errorWord>)</errorWord>
      <group>L1_Format</group>
      <groupName>格式问题</groupName>
      <ability>L2_HalfPunc_CN</ability>
      <abilityName>全半角问题</abilityName>
      <candidateList>
        <item>）</item>
      </candidateList>
      <explain>文本全半角错误。</explain>
      <paraID>3B5DF032</paraID>
      <start>43</start>
      <end>44</end>
      <status>unmodified</status>
      <modifiedWord/>
      <trackRevisions>false</trackRevisions>
    </reviewItem>
    <reviewItem>
      <errorID>b9fe67f6-39ac-4d3d-bd6b-74e5d77b250d</errorID>
      <errorWord>(</errorWord>
      <group>L1_Format</group>
      <groupName>格式问题</groupName>
      <ability>L2_HalfPunc_CN</ability>
      <abilityName>全半角问题</abilityName>
      <candidateList>
        <item>（</item>
      </candidateList>
      <explain>文本全半角错误。</explain>
      <paraID>143DB293</paraID>
      <start>67</start>
      <end>68</end>
      <status>unmodified</status>
      <modifiedWord/>
      <trackRevisions>false</trackRevisions>
    </reviewItem>
    <reviewItem>
      <errorID>28e93799-9619-4502-8821-ff2a88fa5d59</errorID>
      <errorWord>)</errorWord>
      <group>L1_Format</group>
      <groupName>格式问题</groupName>
      <ability>L2_HalfPunc_CN</ability>
      <abilityName>全半角问题</abilityName>
      <candidateList>
        <item>）</item>
      </candidateList>
      <explain>文本全半角错误。</explain>
      <paraID>143DB293</paraID>
      <start>78</start>
      <end>79</end>
      <status>unmodified</status>
      <modifiedWord/>
      <trackRevisions>false</trackRevisions>
    </reviewItem>
    <reviewItem>
      <errorID>04450aa2-db0b-43b4-b51d-e6f884eb8e33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42646635</paraID>
      <start>70</start>
      <end>71</end>
      <status>unmodified</status>
      <modifiedWord/>
      <trackRevisions>false</trackRevisions>
    </reviewItem>
    <reviewItem>
      <errorID>41e2183b-6177-4ab1-8bb1-59d4f7766af2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4791F5E0</paraID>
      <start>67</start>
      <end>68</end>
      <status>unmodified</status>
      <modifiedWord/>
      <trackRevisions>false</trackRevisions>
    </reviewItem>
    <reviewItem>
      <errorID>896574a6-cbef-46a7-a819-41c12a7b0e87</errorID>
      <errorWord>(</errorWord>
      <group>L1_Format</group>
      <groupName>格式问题</groupName>
      <ability>L2_HalfPunc_CN</ability>
      <abilityName>全半角问题</abilityName>
      <candidateList>
        <item>（</item>
      </candidateList>
      <explain>文本全半角错误。</explain>
      <paraID>5EB228C3</paraID>
      <start>73</start>
      <end>74</end>
      <status>unmodified</status>
      <modifiedWord/>
      <trackRevisions>false</trackRevisions>
    </reviewItem>
    <reviewItem>
      <errorID>5a612d49-69c0-4923-aae1-8b63a65d785e</errorID>
      <errorWord>)</errorWord>
      <group>L1_Format</group>
      <groupName>格式问题</groupName>
      <ability>L2_HalfPunc_CN</ability>
      <abilityName>全半角问题</abilityName>
      <candidateList>
        <item>）</item>
      </candidateList>
      <explain>文本全半角错误。</explain>
      <paraID>5EB228C3</paraID>
      <start>86</start>
      <end>87</end>
      <status>unmodified</status>
      <modifiedWord/>
      <trackRevisions>false</trackRevisions>
    </reviewItem>
    <reviewItem>
      <errorID>eb83dad6-ab38-4e40-a235-a2b880836116</errorID>
      <errorWord>(</errorWord>
      <group>L1_Format</group>
      <groupName>格式问题</groupName>
      <ability>L2_HalfPunc_CN</ability>
      <abilityName>全半角问题</abilityName>
      <candidateList>
        <item>（</item>
      </candidateList>
      <explain>文本全半角错误。</explain>
      <paraID>53E01A79</paraID>
      <start>25</start>
      <end>26</end>
      <status>unmodified</status>
      <modifiedWord/>
      <trackRevisions>false</trackRevisions>
    </reviewItem>
    <reviewItem>
      <errorID>86b86be5-67cd-4471-8ec5-1cf2d0082bad</errorID>
      <errorWord>)</errorWord>
      <group>L1_Format</group>
      <groupName>格式问题</groupName>
      <ability>L2_HalfPunc_CN</ability>
      <abilityName>全半角问题</abilityName>
      <candidateList>
        <item>）</item>
      </candidateList>
      <explain>文本全半角错误。</explain>
      <paraID>53E01A79</paraID>
      <start>38</start>
      <end>39</end>
      <status>unmodified</status>
      <modifiedWord/>
      <trackRevisions>false</trackRevisions>
    </reviewItem>
    <reviewItem>
      <errorID>ce4207eb-44a7-4bc5-8727-6f6df78787d8</errorID>
      <errorWord>中华人民共和国废物污染环境防治法</errorWord>
      <group>L1_Knowledge</group>
      <groupName>知识性问题</groupName>
      <ability>L2_Knowledge</ability>
      <abilityName>其他知识</abilityName>
      <candidateList>
        <item>中华人民共和国固体废物污染环境防治法</item>
      </candidateList>
      <explain>当前法律法规未收录或尚未生效，注意核查是否正确。</explain>
      <paraID>53E01A79</paraID>
      <start>83</start>
      <end>99</end>
      <status>unmodified</status>
      <modifiedWord/>
      <trackRevisions>false</trackRevisions>
    </reviewItem>
    <reviewItem>
      <errorID>ed6fdd6c-7e7b-4ba8-b152-658deb1b01dd</errorID>
      <errorWord>(</errorWord>
      <group>L1_Format</group>
      <groupName>格式问题</groupName>
      <ability>L2_HalfPunc_CN</ability>
      <abilityName>全半角问题</abilityName>
      <candidateList>
        <item>（</item>
      </candidateList>
      <explain>文本全半角错误。</explain>
      <paraID>447D60AC</paraID>
      <start>151</start>
      <end>152</end>
      <status>unmodified</status>
      <modifiedWord/>
      <trackRevisions>false</trackRevisions>
    </reviewItem>
    <reviewItem>
      <errorID>17ffd1d7-865e-4144-ba88-45264ef0b376</errorID>
      <errorWord>)</errorWord>
      <group>L1_Format</group>
      <groupName>格式问题</groupName>
      <ability>L2_HalfPunc_CN</ability>
      <abilityName>全半角问题</abilityName>
      <candidateList>
        <item>）</item>
      </candidateList>
      <explain>文本全半角错误。</explain>
      <paraID>447D60AC</paraID>
      <start>153</start>
      <end>154</end>
      <status>unmodified</status>
      <modifiedWord/>
      <trackRevisions>false</trackRevisions>
    </reviewItem>
    <reviewItem>
      <errorID>b347021b-a379-41ee-ace6-fa2c0176b204</errorID>
      <errorWord>(</errorWord>
      <group>L1_Format</group>
      <groupName>格式问题</groupName>
      <ability>L2_HalfPunc_CN</ability>
      <abilityName>全半角问题</abilityName>
      <candidateList>
        <item>（</item>
      </candidateList>
      <explain>文本全半角错误。</explain>
      <paraID>447D60AC</paraID>
      <start>165</start>
      <end>166</end>
      <status>unmodified</status>
      <modifiedWord/>
      <trackRevisions>false</trackRevisions>
    </reviewItem>
    <reviewItem>
      <errorID>f09e117f-5696-4122-bd5e-51c01ee4df3e</errorID>
      <errorWord>)</errorWord>
      <group>L1_Format</group>
      <groupName>格式问题</groupName>
      <ability>L2_HalfPunc_CN</ability>
      <abilityName>全半角问题</abilityName>
      <candidateList>
        <item>）</item>
      </candidateList>
      <explain>文本全半角错误。</explain>
      <paraID>447D60AC</paraID>
      <start>167</start>
      <end>168</end>
      <status>unmodified</status>
      <modifiedWord/>
      <trackRevisions>false</trackRevisions>
    </reviewItem>
    <reviewItem>
      <errorID>098cb7a0-e335-41be-8257-15c93763163e</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3D485A04</paraID>
      <start>40</start>
      <end>43</end>
      <status>unmodified</status>
      <modifiedWord/>
      <trackRevisions>false</trackRevisions>
    </reviewItem>
    <reviewItem>
      <errorID>8de8555a-9ba4-474f-93d7-2d43ec389a24</errorID>
      <errorWord>[2023]5号</errorWord>
      <group>L1_Knowledge</group>
      <groupName>知识性问题</groupName>
      <ability>L2_Knowledge</ability>
      <abilityName>其他知识</abilityName>
      <candidateList>
        <item>〔2023〕5号</item>
      </candidateList>
      <explain>发文字号格式错误。</explain>
      <paraID>77819362</paraID>
      <start>19</start>
      <end>27</end>
      <status>unmodified</status>
      <modifiedWord/>
      <trackRevisions>false</trackRevisions>
    </reviewItem>
    <reviewItem>
      <errorID>d8668d92-10e1-4ad5-af8d-11028c40297a</errorID>
      <errorWord>.</errorWord>
      <group>L1_Format</group>
      <groupName>格式问题</groupName>
      <ability>L2_HalfPunc_CN</ability>
      <abilityName>全半角问题</abilityName>
      <candidateList>
        <item>。</item>
      </candidateList>
      <explain>文本全半角错误。</explain>
      <paraID>3BEB169C</paraID>
      <start>51</start>
      <end>52</end>
      <status>unmodified</status>
      <modifiedWord/>
      <trackRevisions>false</trackRevisions>
    </reviewItem>
    <reviewItem>
      <errorID>ae473184-8b6c-4b7b-8532-dd106a37b562</errorID>
      <errorWord>:</errorWord>
      <group>L1_Format</group>
      <groupName>格式问题</groupName>
      <ability>L2_HalfPunc_CN</ability>
      <abilityName>全半角问题</abilityName>
      <candidateList>
        <item>：</item>
      </candidateList>
      <explain>文本全半角错误。</explain>
      <paraID>3BEB169C</paraID>
      <start>147</start>
      <end>148</end>
      <status>unmodified</status>
      <modifiedWord/>
      <trackRevisions>false</trackRevisions>
    </reviewItem>
    <reviewItem>
      <errorID>33242edf-731e-46a4-b8ea-148c73bc080f</errorID>
      <errorWord>达</errorWord>
      <group>L1_Word</group>
      <groupName>字词问题</groupName>
      <ability>L2_Typo</ability>
      <abilityName>字词错误</abilityName>
      <candidateList>
        <item>达到</item>
      </candidateList>
      <explain/>
      <paraID>7BE7D822</paraID>
      <start>69</start>
      <end>70</end>
      <status>unmodified</status>
      <modifiedWord/>
      <trackRevisions>false</trackRevisions>
    </reviewItem>
    <reviewItem>
      <errorID>9d65b5dd-ddf6-4a0b-9d92-39948c49989a</errorID>
      <errorWord>排放总量控制制度</errorWord>
      <group>L1_Political</group>
      <groupName>政治性问题</groupName>
      <ability>L2_Keyword</ability>
      <abilityName>固定表述</abilityName>
      <candidateList>
        <item>排污总量控制制度</item>
      </candidateList>
      <explain>词汇“排污总量控制制度”在特定场景下为固定表述形式，请确认此处的“排放总量控制制度”是否存在不当。</explain>
      <paraID>725268F8</paraID>
      <start>109</start>
      <end>117</end>
      <status>unmodified</status>
      <modifiedWord/>
      <trackRevisions>false</trackRevisions>
    </reviewItem>
    <reviewItem>
      <errorID>b9532490-85ff-47e4-a40f-2947f4d0e352</errorID>
      <errorWord>[2023]5号</errorWord>
      <group>L1_Knowledge</group>
      <groupName>知识性问题</groupName>
      <ability>L2_Knowledge</ability>
      <abilityName>其他知识</abilityName>
      <candidateList>
        <item>〔2023〕5号</item>
      </candidateList>
      <explain>发文字号格式错误。</explain>
      <paraID>5A2AFBC3</paraID>
      <start>55</start>
      <end>63</end>
      <status>unmodified</status>
      <modifiedWord/>
      <trackRevisions>false</trackRevisions>
    </reviewItem>
    <reviewItem>
      <errorID>fcaffa39-5286-4b90-8660-44ec11a1cb7e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1A80BF64</paraID>
      <start>0</start>
      <end>2</end>
      <status>unmodified</status>
      <modifiedWord/>
      <trackRevisions>false</trackRevisions>
    </reviewItem>
    <reviewItem>
      <errorID>1577f06f-538e-4139-abc5-45f45aa8f505</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5CBA4C66</paraID>
      <start>20</start>
      <end>23</end>
      <status>unmodified</status>
      <modifiedWord/>
      <trackRevisions>false</trackRevisions>
    </reviewItem>
    <reviewItem>
      <errorID>d599a965-086f-445c-acbb-cd1532c531e0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5209AF91</paraID>
      <start>0</start>
      <end>2</end>
      <status>unmodified</status>
      <modifiedWord/>
      <trackRevisions>false</trackRevisions>
    </reviewItem>
    <reviewItem>
      <errorID>fa33ea82-44ff-4fb3-b070-557bc2a42bfb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E661877</paraID>
      <start>30</start>
      <end>31</end>
      <status>unmodified</status>
      <modifiedWord/>
      <trackRevisions>false</trackRevisions>
    </reviewItem>
    <reviewItem>
      <errorID>184d6941-a6e8-4bbc-885a-8084caef5366</errorID>
      <errorWord>生态红线</errorWord>
      <group>L1_Political</group>
      <groupName>政治性问题</groupName>
      <ability>L2_Unpolitical</ability>
      <abilityName>政治敏感错误</abilityName>
      <candidateList>
        <item>生态保护红线</item>
      </candidateList>
      <explain/>
      <paraID>44302A31</paraID>
      <start>79</start>
      <end>83</end>
      <status>unmodified</status>
      <modifiedWord/>
      <trackRevisions>false</trackRevisions>
    </reviewItem>
    <reviewItem>
      <errorID>53bb762f-f62b-47a9-93a1-eee28bb9ab1c</errorID>
      <errorWord>劣V类水体</errorWord>
      <group>L1_Political</group>
      <groupName>政治性问题</groupName>
      <ability>L2_Keyword</ability>
      <abilityName>固定表述</abilityName>
      <candidateList>
        <item>劣Ⅴ类水体</item>
      </candidateList>
      <explain>词汇“劣Ⅴ类水体”在特定场景下为固定表述形式，请确认此处的“劣V类水体”是否存在不当。</explain>
      <paraID>14496F0C</paraID>
      <start>62</start>
      <end>67</end>
      <status>unmodified</status>
      <modifiedWord/>
      <trackRevisions>false</trackRevisions>
    </reviewItem>
    <reviewItem>
      <errorID>0bb6fe86-015d-46bf-86fb-80200eb86f68</errorID>
      <errorWord>III类</errorWord>
      <group>L1_Knowledge</group>
      <groupName>知识性问题</groupName>
      <ability>L2_Knowledge</ability>
      <abilityName>其他知识</abilityName>
      <candidateList>
        <item>Ⅲ类</item>
      </candidateList>
      <explain>中文环境下罗马数字格式错误。</explain>
      <paraID>5E2471D1</paraID>
      <start>68</start>
      <end>72</end>
      <status>unmodified</status>
      <modifiedWord/>
      <trackRevisions>false</trackRevisions>
    </reviewItem>
    <reviewItem>
      <errorID>49bea092-90c0-455f-aeea-6508d44f61b8</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5E2471D1</paraID>
      <start>107</start>
      <end>110</end>
      <status>unmodified</status>
      <modifiedWord/>
      <trackRevisions>false</trackRevisions>
    </reviewItem>
    <reviewItem>
      <errorID>8b693619-7ca3-4cfc-a75e-dbfa3ccd88c2</errorID>
      <errorWord>(</errorWord>
      <group>L1_Format</group>
      <groupName>格式问题</groupName>
      <ability>L2_HalfPunc_CN</ability>
      <abilityName>全半角问题</abilityName>
      <candidateList>
        <item>（</item>
      </candidateList>
      <explain>文本全半角错误。</explain>
      <paraID>26B10553</paraID>
      <start>39</start>
      <end>40</end>
      <status>unmodified</status>
      <modifiedWord/>
      <trackRevisions>false</trackRevisions>
    </reviewItem>
    <reviewItem>
      <errorID>ddd617dd-d323-4ea9-964d-7f8bd8ac0603</errorID>
      <errorWord>)</errorWord>
      <group>L1_Format</group>
      <groupName>格式问题</groupName>
      <ability>L2_HalfPunc_CN</ability>
      <abilityName>全半角问题</abilityName>
      <candidateList>
        <item>）</item>
      </candidateList>
      <explain>文本全半角错误。</explain>
      <paraID>26B10553</paraID>
      <start>41</start>
      <end>42</end>
      <status>unmodified</status>
      <modifiedWord/>
      <trackRevisions>false</trackRevisions>
    </reviewItem>
    <reviewItem>
      <errorID>59e20e19-ed38-4229-a5fb-f26d7a8923d0</errorID>
      <errorWord>上线</errorWord>
      <group>L1_Word</group>
      <groupName>字词问题</groupName>
      <ability>L2_Typo</ability>
      <abilityName>字词错误</abilityName>
      <candidateList>
        <item>上限</item>
      </candidateList>
      <explain>存在发音相同字词的误用。</explain>
      <paraID>4DD313F7</paraID>
      <start>4</start>
      <end>6</end>
      <status>unmodified</status>
      <modifiedWord/>
      <trackRevisions>false</trackRevisions>
    </reviewItem>
    <reviewItem>
      <errorID>1be4fee2-3cf3-4aa7-936f-3a3238c97044</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651B5755</paraID>
      <start>22</start>
      <end>25</end>
      <status>unmodified</status>
      <modifiedWord/>
      <trackRevisions>false</trackRevisions>
    </reviewItem>
    <reviewItem>
      <errorID>ef3383fe-e827-4ef4-a793-b1dfbd2027ac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6CC9F195</paraID>
      <start>0</start>
      <end>2</end>
      <status>unmodified</status>
      <modifiedWord/>
      <trackRevisions>false</trackRevisions>
    </reviewItem>
    <reviewItem>
      <errorID>3d0c3c6e-e64d-4795-9259-d6ff07443773</errorID>
      <errorWord>》中</errorWord>
      <group>L1_Word</group>
      <groupName>字词问题</groupName>
      <ability>L2_Typo</ability>
      <abilityName>字词错误</abilityName>
      <candidateList>
        <item>》</item>
      </candidateList>
      <explain/>
      <paraID>5DF1575E</paraID>
      <start>84</start>
      <end>86</end>
      <status>unmodified</status>
      <modifiedWord/>
      <trackRevisions>false</trackRevisions>
    </reviewItem>
    <reviewItem>
      <errorID>5187d483-e1de-4351-89ae-eb277da7a43b</errorID>
      <errorWord>、</errorWord>
      <group>L1_Word</group>
      <groupName>字词问题</groupName>
      <ability>L2_Typo</ability>
      <abilityName>字词错误</abilityName>
      <candidateList>
        <item>、第</item>
      </candidateList>
      <explain/>
      <paraID>5DF1575E</paraID>
      <start>90</start>
      <end>91</end>
      <status>unmodified</status>
      <modifiedWord/>
      <trackRevisions>false</trackRevisions>
    </reviewItem>
    <reviewItem>
      <errorID>76162801-5eac-494b-8668-14105fd347d5</errorID>
      <errorWord>条中</errorWord>
      <group>L1_Word</group>
      <groupName>字词问题</groupName>
      <ability>L2_Typo</ability>
      <abilityName>字词错误</abilityName>
      <candidateList>
        <item>条</item>
      </candidateList>
      <explain/>
      <paraID>5DF1575E</paraID>
      <start>94</start>
      <end>96</end>
      <status>unmodified</status>
      <modifiedWord/>
      <trackRevisions>false</trackRevisions>
    </reviewItem>
    <reviewItem>
      <errorID>27a41cc9-2127-4de6-ba77-a12f1da80d62</errorID>
      <errorWord>的</errorWord>
      <group>L1_Word</group>
      <groupName>字词问题</groupName>
      <ability>L2_DDD</ability>
      <abilityName>的地得用法</abilityName>
      <candidateList>
        <item>地</item>
      </candidateList>
      <explain/>
      <paraID>4C22AB4C</paraID>
      <start>18</start>
      <end>19</end>
      <status>unmodified</status>
      <modifiedWord/>
      <trackRevisions>false</trackRevisions>
    </reviewItem>
    <reviewItem>
      <errorID>55f039cd-06e0-4969-8f6b-12dec99bab81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FF104F5</paraID>
      <start>0</start>
      <end>2</end>
      <status>unmodified</status>
      <modifiedWord/>
      <trackRevisions>false</trackRevisions>
    </reviewItem>
    <reviewItem>
      <errorID>31dae167-254d-474f-9a65-b203fc51a469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6E324ACE</paraID>
      <start>0</start>
      <end>2</end>
      <status>unmodified</status>
      <modifiedWord/>
      <trackRevisions>false</trackRevisions>
    </reviewItem>
    <reviewItem>
      <errorID>306af0c4-655e-4a1f-ad85-342a77d5a15f</errorID>
      <errorWord>属</errorWord>
      <group>L1_Word</group>
      <groupName>字词问题</groupName>
      <ability>L2_Typo</ability>
      <abilityName>字词错误</abilityName>
      <candidateList>
        <item>属于</item>
      </candidateList>
      <explain/>
      <paraID>7C2E4A61</paraID>
      <start>23</start>
      <end>24</end>
      <status>unmodified</status>
      <modifiedWord/>
      <trackRevisions>false</trackRevisions>
    </reviewItem>
    <reviewItem>
      <errorID>c2ba75f5-89c6-45d9-9469-731442de4696</errorID>
      <errorWord>，</errorWord>
      <group>L1_Word</group>
      <groupName>字词问题</groupName>
      <ability>L2_Typo</ability>
      <abilityName>字词错误</abilityName>
      <candidateList>
        <item>，对</item>
      </candidateList>
      <explain/>
      <paraID> AA06A58</paraID>
      <start>47</start>
      <end>48</end>
      <status>unmodified</status>
      <modifiedWord/>
      <trackRevisions>false</trackRevisions>
    </reviewItem>
    <reviewItem>
      <errorID>824528df-97b4-4a5a-a2d2-071ad763f9ee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3210C5ED</paraID>
      <start>0</start>
      <end>2</end>
      <status>unmodified</status>
      <modifiedWord/>
      <trackRevisions>false</trackRevisions>
    </reviewItem>
    <reviewItem>
      <errorID>9476ef39-6ade-488d-80ae-8e4804a9f562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3210C5ED</paraID>
      <start>31</start>
      <end>32</end>
      <status>unmodified</status>
      <modifiedWord/>
      <trackRevisions>false</trackRevisions>
    </reviewItem>
    <reviewItem>
      <errorID>05fa7890-cdea-490b-a54e-89c5cecdb639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26563E97</paraID>
      <start>32</start>
      <end>33</end>
      <status>unmodified</status>
      <modifiedWord/>
      <trackRevisions>false</trackRevisions>
    </reviewItem>
    <reviewItem>
      <errorID>a862f7e9-3da7-4442-8da0-8f9ff44327b2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4F6742CE</paraID>
      <start>24</start>
      <end>25</end>
      <status>unmodified</status>
      <modifiedWord/>
      <trackRevisions>false</trackRevisions>
    </reviewItem>
    <reviewItem>
      <errorID>ec0b3387-3de5-490f-976f-4305725e8a30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3CA0411B</paraID>
      <start>38</start>
      <end>39</end>
      <status>unmodified</status>
      <modifiedWord/>
      <trackRevisions>false</trackRevisions>
    </reviewItem>
    <reviewItem>
      <errorID>5a73b9af-1d69-4c20-9d0b-ecad6efbbb3f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64B38921</paraID>
      <start>0</start>
      <end>2</end>
      <status>unmodified</status>
      <modifiedWord/>
      <trackRevisions>false</trackRevisions>
    </reviewItem>
    <reviewItem>
      <errorID>fa7b3e12-e325-4229-ac5d-37383a0650b2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45B11EE4</paraID>
      <start>45</start>
      <end>48</end>
      <status>unmodified</status>
      <modifiedWord/>
      <trackRevisions>false</trackRevisions>
    </reviewItem>
    <reviewItem>
      <errorID>f024011d-6c7d-4ad1-870f-6772bd618417</errorID>
      <errorWord>国家投资主管部门</errorWord>
      <group>L1_Political</group>
      <groupName>政治性问题</groupName>
      <ability>L2_Keyword</ability>
      <abilityName>固定表述</abilityName>
      <candidateList>
        <item>国务院投资主管部门</item>
      </candidateList>
      <explain>词汇“国务院投资主管部门”在特定场景下为固定表述形式，请确认此处的“国家投资主管部门”是否存在不当。</explain>
      <paraID>6615F16B</paraID>
      <start>26</start>
      <end>34</end>
      <status>unmodified</status>
      <modifiedWord/>
      <trackRevisions>false</trackRevisions>
    </reviewItem>
    <reviewItem>
      <errorID>c1dff256-5cd4-471e-9620-6c2bc09dee58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7556ED8</paraID>
      <start>0</start>
      <end>2</end>
      <status>unmodified</status>
      <modifiedWord/>
      <trackRevisions>false</trackRevisions>
    </reviewItem>
    <reviewItem>
      <errorID>0bc890a9-da95-47d6-8d5d-1ac7cba0944d</errorID>
      <errorWord>胶粘剂</errorWord>
      <group>L1_Word</group>
      <groupName>字词问题</groupName>
      <ability>L2_Typo</ability>
      <abilityName>字词错误</abilityName>
      <candidateList>
        <item>胶黏剂</item>
      </candidateList>
      <explain/>
      <paraID>408CC589</paraID>
      <start>124</start>
      <end>127</end>
      <status>unmodified</status>
      <modifiedWord/>
      <trackRevisions>false</trackRevisions>
    </reviewItem>
    <reviewItem>
      <errorID>c435986d-08c5-41c8-9a4c-090eafaf79ed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7F2BD250</paraID>
      <start>0</start>
      <end>2</end>
      <status>unmodified</status>
      <modifiedWord/>
      <trackRevisions>false</trackRevisions>
    </reviewItem>
    <reviewItem>
      <errorID>7483d6ef-0a6a-46b8-875c-3c44fb3a128d</errorID>
      <errorWord>的</errorWord>
      <group>L1_Word</group>
      <groupName>字词问题</groupName>
      <ability>L2_DDD</ability>
      <abilityName>的地得用法</abilityName>
      <candidateList>
        <item>地</item>
      </candidateList>
      <explain/>
      <paraID>2190BFF1</paraID>
      <start>42</start>
      <end>43</end>
      <status>unmodified</status>
      <modifiedWord/>
      <trackRevisions>false</trackRevisions>
    </reviewItem>
    <reviewItem>
      <errorID>f371ed64-8659-42d6-9e1c-662e910aa14f</errorID>
      <errorWord>各</errorWord>
      <group>L1_Word</group>
      <groupName>字词问题</groupName>
      <ability>L2_Typo</ability>
      <abilityName>字词错误</abilityName>
      <candidateList>
        <item>各种</item>
      </candidateList>
      <explain/>
      <paraID>  4C2CBC</paraID>
      <start>44</start>
      <end>45</end>
      <status>unmodified</status>
      <modifiedWord/>
      <trackRevisions>false</trackRevisions>
    </reviewItem>
    <reviewItem>
      <errorID>550012a7-7c41-4be2-8032-e5c98391ece4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633AC6BB</paraID>
      <start>0</start>
      <end>3</end>
      <status>unmodified</status>
      <modifiedWord/>
      <trackRevisions>false</trackRevisions>
    </reviewItem>
    <reviewItem>
      <errorID>7afa0ed3-b483-4364-80b4-1db85d8a7a8f</errorID>
      <errorWord>的</errorWord>
      <group>L1_Word</group>
      <groupName>字词问题</groupName>
      <ability>L2_DDD</ability>
      <abilityName>的地得用法</abilityName>
      <candidateList>
        <item>地</item>
      </candidateList>
      <explain/>
      <paraID>2A4E8B70</paraID>
      <start>42</start>
      <end>43</end>
      <status>unmodified</status>
      <modifiedWord/>
      <trackRevisions>false</trackRevisions>
    </reviewItem>
    <reviewItem>
      <errorID>ea6c2024-ca91-402f-a72e-f62167f6762a</errorID>
      <errorWord>各</errorWord>
      <group>L1_Word</group>
      <groupName>字词问题</groupName>
      <ability>L2_Typo</ability>
      <abilityName>字词错误</abilityName>
      <candidateList>
        <item>各项</item>
      </candidateList>
      <explain/>
      <paraID>2A4E8B70</paraID>
      <start>82</start>
      <end>83</end>
      <status>unmodified</status>
      <modifiedWord/>
      <trackRevisions>false</trackRevisions>
    </reviewItem>
    <reviewItem>
      <errorID>a4a22f53-1a1a-4bd2-835d-818b3ebb5082</errorID>
      <errorWord>)</errorWord>
      <group>L1_Format</group>
      <groupName>格式问题</groupName>
      <ability>L2_HalfPunc_CN</ability>
      <abilityName>全半角问题</abilityName>
      <candidateList>
        <item>）</item>
      </candidateList>
      <explain>文本全半角错误。</explain>
      <paraID>6BFECF6C</paraID>
      <start>21</start>
      <end>22</end>
      <status>unmodified</status>
      <modifiedWord/>
      <trackRevisions>false</trackRevisions>
    </reviewItem>
    <reviewItem>
      <errorID>d4120c97-f595-4b96-8198-4707f41894ed</errorID>
      <errorWord>过程中</errorWord>
      <group>L1_Word</group>
      <groupName>字词问题</groupName>
      <ability>L2_Typo</ability>
      <abilityName>字词错误</abilityName>
      <candidateList>
        <item>过程</item>
      </candidateList>
      <explain/>
      <paraID>44BABFC2</paraID>
      <start>5</start>
      <end>8</end>
      <status>unmodified</status>
      <modifiedWord/>
      <trackRevisions>false</trackRevisions>
    </reviewItem>
    <reviewItem>
      <errorID>dc7ed01e-2885-4eef-82dc-ff924a5a7134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4901693</paraID>
      <start>0</start>
      <end>3</end>
      <status>unmodified</status>
      <modifiedWord/>
      <trackRevisions>false</trackRevisions>
    </reviewItem>
    <reviewItem>
      <errorID>baea405b-89bd-4527-8e7c-69b195ce7d10</errorID>
      <errorWord>的</errorWord>
      <group>L1_Word</group>
      <groupName>字词问题</groupName>
      <ability>L2_DDD</ability>
      <abilityName>的地得用法</abilityName>
      <candidateList>
        <item>地</item>
      </candidateList>
      <explain/>
      <paraID>10768A8B</paraID>
      <start>80</start>
      <end>81</end>
      <status>unmodified</status>
      <modifiedWord/>
      <trackRevisions>false</trackRevisions>
    </reviewItem>
    <reviewItem>
      <errorID>4bdc3d69-c827-4f0a-850b-d63629a012f3</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662B6CBB</paraID>
      <start>0</start>
      <end>3</end>
      <status>unmodified</status>
      <modifiedWord/>
      <trackRevisions>false</trackRevisions>
    </reviewItem>
    <reviewItem>
      <errorID>0fff07c3-4c2f-408d-8b26-aad50da9ac9f</errorID>
      <errorWord>,</errorWord>
      <group>L1_Format</group>
      <groupName>格式问题</groupName>
      <ability>L2_HalfPunc_CN</ability>
      <abilityName>全半角问题</abilityName>
      <candidateList>
        <item>，</item>
      </candidateList>
      <explain>文本全半角错误。</explain>
      <paraID>3724B5CC</paraID>
      <start>34</start>
      <end>35</end>
      <status>unmodified</status>
      <modifiedWord/>
      <trackRevisions>false</trackRevisions>
    </reviewItem>
    <reviewItem>
      <errorID>16463240-1136-4f4e-bf21-efc70e4381b1</errorID>
      <errorWord>日录</errorWord>
      <group>L1_Word</group>
      <groupName>字词问题</groupName>
      <ability>L2_Typo</ability>
      <abilityName>字词错误</abilityName>
      <candidateList>
        <item>目录</item>
      </candidateList>
      <explain>存在字形相近字词的误用。</explain>
      <paraID>3724B5CC</paraID>
      <start>38</start>
      <end>40</end>
      <status>modified</status>
      <modifiedWord>目录</modifiedWord>
      <trackRevisions>false</trackRevisions>
    </reviewItem>
    <reviewItem>
      <errorID>0724a4b2-8390-4e69-8a4e-a6104dc14e5e</errorID>
      <errorWord>(</errorWord>
      <group>L1_Format</group>
      <groupName>格式问题</groupName>
      <ability>L2_HalfPunc_CN</ability>
      <abilityName>全半角问题</abilityName>
      <candidateList>
        <item>（</item>
      </candidateList>
      <explain>文本全半角错误。</explain>
      <paraID>3724B5CC</paraID>
      <start>92</start>
      <end>93</end>
      <status>unmodified</status>
      <modifiedWord/>
      <trackRevisions>false</trackRevisions>
    </reviewItem>
    <reviewItem>
      <errorID>d94418fa-047f-499a-8ae6-328e6b7077bc</errorID>
      <errorWord>)</errorWord>
      <group>L1_Format</group>
      <groupName>格式问题</groupName>
      <ability>L2_HalfPunc_CN</ability>
      <abilityName>全半角问题</abilityName>
      <candidateList>
        <item>）</item>
      </candidateList>
      <explain>文本全半角错误。</explain>
      <paraID>3724B5CC</paraID>
      <start>107</start>
      <end>108</end>
      <status>unmodified</status>
      <modifiedWord/>
      <trackRevisions>false</trackRevisions>
    </reviewItem>
    <reviewItem>
      <errorID>28e5f131-8d1a-40b3-832c-6b742cf94fc8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78A6832E</paraID>
      <start>0</start>
      <end>3</end>
      <status>unmodified</status>
      <modifiedWord/>
      <trackRevisions>false</trackRevisions>
    </reviewItem>
    <reviewItem>
      <errorID>053e58a4-89aa-4297-8a3a-39b07e345417</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625FA23B</paraID>
      <start>0</start>
      <end>3</end>
      <status>unmodified</status>
      <modifiedWord/>
      <trackRevisions>false</trackRevisions>
    </reviewItem>
    <reviewItem>
      <errorID>3beee95c-1596-4755-b445-1bd8583a92f2</errorID>
      <errorWord>基础设施的建设</errorWord>
      <group>L1_Political</group>
      <groupName>政治性问题</groupName>
      <ability>L2_Keyword</ability>
      <abilityName>固定表述</abilityName>
      <candidateList>
        <item>基础设施建设</item>
      </candidateList>
      <explain>词汇“基础设施建设”在特定场景下为固定表述形式，请确认此处的“基础设施的建设”是否存在不当。</explain>
      <paraID> E829C8A</paraID>
      <start>52</start>
      <end>59</end>
      <status>unmodified</status>
      <modifiedWord/>
      <trackRevisions>false</trackRevisions>
    </reviewItem>
    <reviewItem>
      <errorID>db276aa0-51f8-49df-93bb-879d96575dae</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58FFFC7D</paraID>
      <start>0</start>
      <end>3</end>
      <status>unmodified</status>
      <modifiedWord/>
      <trackRevisions>false</trackRevisions>
    </reviewItem>
    <reviewItem>
      <errorID>89de9c52-64ba-4079-95d8-2d875c7d806d</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78A8D1D0</paraID>
      <start>11</start>
      <end>14</end>
      <status>unmodified</status>
      <modifiedWord/>
      <trackRevisions>false</trackRevisions>
    </reviewItem>
    <reviewItem>
      <errorID>8e8a1197-8582-4ae0-a3d4-5ae15f10641a</errorID>
      <errorWord>项目2025年</errorWord>
      <group>L1_Word</group>
      <groupName>字词问题</groupName>
      <ability>L2_Typo</ability>
      <abilityName>字词错误</abilityName>
      <candidateList>
        <item>项目于2025年</item>
      </candidateList>
      <explain/>
      <paraID>5DA01BEF</paraID>
      <start>52</start>
      <end>59</end>
      <status>unmodified</status>
      <modifiedWord/>
      <trackRevisions>false</trackRevisions>
    </reviewItem>
    <reviewItem>
      <errorID>b5bd7eda-900e-456d-9769-d0c2c2f99d66</errorID>
      <errorWord>取得了</errorWord>
      <group>L1_Word</group>
      <groupName>字词问题</groupName>
      <ability>L2_Typo</ability>
      <abilityName>字词错误</abilityName>
      <candidateList>
        <item>取得</item>
      </candidateList>
      <explain/>
      <paraID>5DA01BEF</paraID>
      <start>102</start>
      <end>105</end>
      <status>unmodified</status>
      <modifiedWord/>
      <trackRevisions>false</trackRevisions>
    </reviewItem>
    <reviewItem>
      <errorID>94fb102d-97f5-405f-9d32-6b29b4be8bf8</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5DA01BEF</paraID>
      <start>105</start>
      <end>108</end>
      <status>unmodified</status>
      <modifiedWord/>
      <trackRevisions>false</trackRevisions>
    </reviewItem>
    <reviewItem>
      <errorID>dbaa0a66-7cad-401c-a12d-6c1dd52eb295</errorID>
      <errorWord>-</errorWord>
      <group>L1_Format</group>
      <groupName>格式问题</groupName>
      <ability>L2_HalfPunc_CN</ability>
      <abilityName>全半角问题</abilityName>
      <candidateList>
        <item>－</item>
      </candidateList>
      <explain>文本全半角错误。</explain>
      <paraID>7FA8E7CB</paraID>
      <start>35</start>
      <end>36</end>
      <status>unmodified</status>
      <modifiedWord/>
      <trackRevisions>false</trackRevisions>
    </reviewItem>
    <reviewItem>
      <errorID>5b167257-4b74-41f7-93e0-be3beb7c83fe</errorID>
      <errorWord>-</errorWord>
      <group>L1_Format</group>
      <groupName>格式问题</groupName>
      <ability>L2_HalfPunc_CN</ability>
      <abilityName>全半角问题</abilityName>
      <candidateList>
        <item>－</item>
      </candidateList>
      <explain>文本全半角错误。</explain>
      <paraID>7FA8E7CB</paraID>
      <start>40</start>
      <end>41</end>
      <status>unmodified</status>
      <modifiedWord/>
      <trackRevisions>false</trackRevisions>
    </reviewItem>
    <reviewItem>
      <errorID>9789c252-f7ae-4b10-9ff8-3fdcf2f0213c</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7FA8E7CB</paraID>
      <start>66</start>
      <end>69</end>
      <status>unmodified</status>
      <modifiedWord/>
      <trackRevisions>false</trackRevisions>
    </reviewItem>
    <reviewItem>
      <errorID>a0fe6c2f-e66e-4023-94ce-4a7939421290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264E5678</paraID>
      <start>16</start>
      <end>19</end>
      <status>unmodified</status>
      <modifiedWord/>
      <trackRevisions>false</trackRevisions>
    </reviewItem>
    <reviewItem>
      <errorID>f22268a4-ad7e-4dc2-b986-2ca376586f46</errorID>
      <errorWord>法律、法规</errorWord>
      <group>L1_Word</group>
      <groupName>字词问题</groupName>
      <ability>L2_Typo</ability>
      <abilityName>字词错误</abilityName>
      <candidateList>
        <item>法律法规</item>
      </candidateList>
      <explain/>
      <paraID>264E5678</paraID>
      <start>86</start>
      <end>91</end>
      <status>unmodified</status>
      <modifiedWord/>
      <trackRevisions>false</trackRevisions>
    </reviewItem>
    <reviewItem>
      <errorID>e457f434-4396-4725-8e7e-0476d90e7a00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425D89</paraID>
      <start>135</start>
      <end>136</end>
      <status>unmodified</status>
      <modifiedWord/>
      <trackRevisions>false</trackRevisions>
    </reviewItem>
    <reviewItem>
      <errorID>b21fe2b8-4847-429d-8e40-2277ad7d0727</errorID>
      <errorWord>拌合</errorWord>
      <group>L1_Word</group>
      <groupName>字词问题</groupName>
      <ability>L2_Typo</ability>
      <abilityName>字词错误</abilityName>
      <candidateList>
        <item>拌和</item>
      </candidateList>
      <explain/>
      <paraID>1204C355</paraID>
      <start>0</start>
      <end>2</end>
      <status>unmodified</status>
      <modifiedWord/>
      <trackRevisions>false</trackRevisions>
    </reviewItem>
    <reviewItem>
      <errorID>21f7d331-b0c3-461d-9b2f-86b15c95909c</errorID>
      <errorWord>拌合</errorWord>
      <group>L1_Word</group>
      <groupName>字词问题</groupName>
      <ability>L2_Typo</ability>
      <abilityName>字词错误</abilityName>
      <candidateList>
        <item>拌和</item>
      </candidateList>
      <explain>存在发音相同字词的误用。</explain>
      <paraID>11900CF7</paraID>
      <start>15</start>
      <end>17</end>
      <status>unmodified</status>
      <modifiedWord/>
      <trackRevisions>false</trackRevisions>
    </reviewItem>
    <reviewItem>
      <errorID>cbe5f482-cab6-429c-996b-267979a9ef88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716E569C</paraID>
      <start>49</start>
      <end>50</end>
      <status>unmodified</status>
      <modifiedWord/>
      <trackRevisions>false</trackRevisions>
    </reviewItem>
    <reviewItem>
      <errorID>eb894b5f-ab51-4fc2-92c8-e425f85a5de7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51BA14DF</paraID>
      <start>24</start>
      <end>25</end>
      <status>unmodified</status>
      <modifiedWord/>
      <trackRevisions>false</trackRevisions>
    </reviewItem>
    <reviewItem>
      <errorID>f7ec0aff-2271-45dd-aebe-b73937f4ab5c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649EB1D5</paraID>
      <start>2</start>
      <end>3</end>
      <status>unmodified</status>
      <modifiedWord/>
      <trackRevisions>false</trackRevisions>
    </reviewItem>
    <reviewItem>
      <errorID>21624dd3-ea21-4f77-8298-2f62c4fa5fd6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569F6995</paraID>
      <start>0</start>
      <end>2</end>
      <status>unmodified</status>
      <modifiedWord/>
      <trackRevisions>false</trackRevisions>
    </reviewItem>
    <reviewItem>
      <errorID>ad52ae78-31ae-4809-a542-1966a9ac799b</errorID>
      <errorWord>（</errorWord>
      <group>L1_Format</group>
      <groupName>格式问题</groupName>
      <ability>L2_HalfPunc_CN</ability>
      <abilityName>全半角问题</abilityName>
      <candidateList>
        <item>(</item>
      </candidateList>
      <explain>文本全半角错误。</explain>
      <paraID>4226A02C</paraID>
      <start>3</start>
      <end>4</end>
      <status>unmodified</status>
      <modifiedWord/>
      <trackRevisions>false</trackRevisions>
    </reviewItem>
    <reviewItem>
      <errorID>d5449f28-b808-4ac1-8875-f995293aac89</errorID>
      <errorWord>）</errorWord>
      <group>L1_Format</group>
      <groupName>格式问题</groupName>
      <ability>L2_HalfPunc_CN</ability>
      <abilityName>全半角问题</abilityName>
      <candidateList>
        <item>)</item>
      </candidateList>
      <explain>文本全半角错误。</explain>
      <paraID>4226A02C</paraID>
      <start>9</start>
      <end>10</end>
      <status>unmodified</status>
      <modifiedWord/>
      <trackRevisions>false</trackRevisions>
    </reviewItem>
    <reviewItem>
      <errorID>2041a79e-b4d1-4781-8efe-fd68b6666895</errorID>
      <errorWord>（</errorWord>
      <group>L1_Format</group>
      <groupName>格式问题</groupName>
      <ability>L2_HalfPunc_CN</ability>
      <abilityName>全半角问题</abilityName>
      <candidateList>
        <item>(</item>
      </candidateList>
      <explain>文本全半角错误。</explain>
      <paraID>7310C000</paraID>
      <start>3</start>
      <end>4</end>
      <status>unmodified</status>
      <modifiedWord/>
      <trackRevisions>false</trackRevisions>
    </reviewItem>
    <reviewItem>
      <errorID>7886983d-208b-486a-93f9-731875029fc8</errorID>
      <errorWord>）</errorWord>
      <group>L1_Format</group>
      <groupName>格式问题</groupName>
      <ability>L2_HalfPunc_CN</ability>
      <abilityName>全半角问题</abilityName>
      <candidateList>
        <item>)</item>
      </candidateList>
      <explain>文本全半角错误。</explain>
      <paraID>7310C000</paraID>
      <start>9</start>
      <end>10</end>
      <status>unmodified</status>
      <modifiedWord/>
      <trackRevisions>false</trackRevisions>
    </reviewItem>
    <reviewItem>
      <errorID>717f643c-05ac-442d-ab6f-28593da26d74</errorID>
      <errorWord>完</errorWord>
      <group>L1_Word</group>
      <groupName>字词问题</groupName>
      <ability>L2_Typo</ability>
      <abilityName>字词错误</abilityName>
      <candidateList>
        <item>完成</item>
      </candidateList>
      <explain/>
      <paraID>3EDFDFD9</paraID>
      <start>62</start>
      <end>63</end>
      <status>unmodified</status>
      <modifiedWord/>
      <trackRevisions>false</trackRevisions>
    </reviewItem>
    <reviewItem>
      <errorID>98251a85-9227-4301-b46a-7b8be48e8123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7DA6F041</paraID>
      <start>0</start>
      <end>2</end>
      <status>unmodified</status>
      <modifiedWord/>
      <trackRevisions>false</trackRevisions>
    </reviewItem>
    <reviewItem>
      <errorID>44fc5b76-2bf1-4872-ae67-0de507e1b6af</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23B954A2</paraID>
      <start>23</start>
      <end>26</end>
      <status>unmodified</status>
      <modifiedWord/>
      <trackRevisions>false</trackRevisions>
    </reviewItem>
    <reviewItem>
      <errorID>1071cd01-0b61-4f18-bf7f-740224836a1d</errorID>
      <errorWord>刺鼻性</errorWord>
      <group>L1_Word</group>
      <groupName>字词问题</groupName>
      <ability>L2_Typo</ability>
      <abilityName>字词错误</abilityName>
      <candidateList>
        <item>刺鼻</item>
      </candidateList>
      <explain/>
      <paraID>13DCB1BF</paraID>
      <start>22</start>
      <end>25</end>
      <status>unmodified</status>
      <modifiedWord/>
      <trackRevisions>false</trackRevisions>
    </reviewItem>
    <reviewItem>
      <errorID>4bad37ee-bb6e-46af-a2b7-47de4cb4f5a0</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4698E4A0</paraID>
      <start>6</start>
      <end>9</end>
      <status>unmodified</status>
      <modifiedWord/>
      <trackRevisions>false</trackRevisions>
    </reviewItem>
    <reviewItem>
      <errorID>0204349d-5927-43cf-a463-e4a1703001d0</errorID>
      <errorWord>90~95%</errorWord>
      <group>L1_Knowledge</group>
      <groupName>知识性问题</groupName>
      <ability>L2_Knowledge</ability>
      <abilityName>其他知识</abilityName>
      <candidateList>
        <item>90%～95%</item>
      </candidateList>
      <explain>1. “90~95%”中的单位“%”仅出现在后一个数字上，容易引起歧义；根据《现代汉语标点符号数字用法规范手册》，数字表示范围两边需要使用统一的格式。2. 根据标点国标 4.13 中的规则，数字、时间或地域连接符应使用（视觉上更长的）“—”或“～”。</explain>
      <paraID>1A8C514F</paraID>
      <start>85</start>
      <end>91</end>
      <status>unmodified</status>
      <modifiedWord/>
      <trackRevisions>false</trackRevisions>
    </reviewItem>
    <reviewItem>
      <errorID>0aaa9848-89af-46ce-a94d-149e5600aa27</errorID>
      <errorWord>2~9%</errorWord>
      <group>L1_Knowledge</group>
      <groupName>知识性问题</groupName>
      <ability>L2_Knowledge</ability>
      <abilityName>其他知识</abilityName>
      <candidateList>
        <item>2%～9%</item>
      </candidateList>
      <explain>1. “2~9%”中的单位“%”仅出现在后一个数字上，容易引起歧义；根据《现代汉语标点符号数字用法规范手册》，数字表示范围两边需要使用统一的格式。2. 根据标点国标 4.13 中的规则，数字、时间或地域连接符应使用（视觉上更长的）“—”或“～”。</explain>
      <paraID>1A8C514F</paraID>
      <start>95</start>
      <end>99</end>
      <status>unmodified</status>
      <modifiedWord/>
      <trackRevisions>false</trackRevisions>
    </reviewItem>
    <reviewItem>
      <errorID>a3447c6c-cd32-4aec-b598-b7906c2c4c55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74A8DA86</paraID>
      <start>0</start>
      <end>2</end>
      <status>unmodified</status>
      <modifiedWord/>
      <trackRevisions>false</trackRevisions>
    </reviewItem>
    <reviewItem>
      <errorID>2ccc555a-455c-439f-afce-edad10612aff</errorID>
      <errorWord>：</errorWord>
      <group>L1_Format</group>
      <groupName>格式问题</groupName>
      <ability>L2_HalfPunc_CN</ability>
      <abilityName>全半角问题</abilityName>
      <candidateList>
        <item>:</item>
      </candidateList>
      <explain>文本全半角错误。</explain>
      <paraID> CB52697</paraID>
      <start>45</start>
      <end>46</end>
      <status>unmodified</status>
      <modifiedWord/>
      <trackRevisions>false</trackRevisions>
    </reviewItem>
    <reviewItem>
      <errorID>d510c760-9afc-47e7-8d15-7d48cef39ff2</errorID>
      <errorWord>：</errorWord>
      <group>L1_Format</group>
      <groupName>格式问题</groupName>
      <ability>L2_HalfPunc_CN</ability>
      <abilityName>全半角问题</abilityName>
      <candidateList>
        <item>:</item>
      </candidateList>
      <explain>文本全半角错误。</explain>
      <paraID> CB52697</paraID>
      <start>50</start>
      <end>51</end>
      <status>unmodified</status>
      <modifiedWord/>
      <trackRevisions>false</trackRevisions>
    </reviewItem>
    <reviewItem>
      <errorID>b69ec51c-ee5b-4708-a32e-19de067d7fab</errorID>
      <errorWord>：</errorWord>
      <group>L1_Format</group>
      <groupName>格式问题</groupName>
      <ability>L2_HalfPunc_CN</ability>
      <abilityName>全半角问题</abilityName>
      <candidateList>
        <item>:</item>
      </candidateList>
      <explain>文本全半角错误。</explain>
      <paraID> CB52697</paraID>
      <start>55</start>
      <end>56</end>
      <status>unmodified</status>
      <modifiedWord/>
      <trackRevisions>false</trackRevisions>
    </reviewItem>
    <reviewItem>
      <errorID>83c7d241-f604-45fc-9e52-06c00dd382cb</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 CB52697</paraID>
      <start>84</start>
      <end>87</end>
      <status>unmodified</status>
      <modifiedWord/>
      <trackRevisions>false</trackRevisions>
    </reviewItem>
    <reviewItem>
      <errorID>aa6edc04-6290-4a38-92df-1c22a3820fe2</errorID>
      <errorWord>必须的</errorWord>
      <group>L1_Word</group>
      <groupName>字词问题</groupName>
      <ability>L2_Alias</ability>
      <abilityName>也作/曾用词</abilityName>
      <candidateList>
        <item>必需的</item>
      </candidateList>
      <explain>词汇[必须的]为不规范表述或旧称，其规范书面表述为[必需的]。</explain>
      <paraID> CB52697</paraID>
      <start>97</start>
      <end>100</end>
      <status>unmodified</status>
      <modifiedWord/>
      <trackRevisions>false</trackRevisions>
    </reviewItem>
    <reviewItem>
      <errorID>282e8a83-10e4-431e-ad67-2d4f2b8ad09e</errorID>
      <errorWord>位</errorWord>
      <group>L1_Word</group>
      <groupName>字词问题</groupName>
      <ability>L2_Typo</ability>
      <abilityName>字词错误</abilityName>
      <candidateList>
        <item>位在</item>
      </candidateList>
      <explain/>
      <paraID>778F9A3F</paraID>
      <start>3</start>
      <end>4</end>
      <status>unmodified</status>
      <modifiedWord/>
      <trackRevisions>false</trackRevisions>
    </reviewItem>
    <reviewItem>
      <errorID>b4a196b7-da86-4552-af7a-8165cde43b97</errorID>
      <errorWord>议</errorWord>
      <group>L1_Word</group>
      <groupName>字词问题</groupName>
      <ability>L2_Typo</ability>
      <abilityName>字词错误</abilityName>
      <candidateList>
        <item>议中</item>
      </candidateList>
      <explain/>
      <paraID>101A3F89</paraID>
      <start>8</start>
      <end>9</end>
      <status>unmodified</status>
      <modifiedWord/>
      <trackRevisions>false</trackRevisions>
    </reviewItem>
    <reviewItem>
      <errorID>d88f04c3-f44b-4bd8-ba66-168924a09e92</errorID>
      <errorWord>，</errorWord>
      <group>L1_Word</group>
      <groupName>字词问题</groupName>
      <ability>L2_Typo</ability>
      <abilityName>字词错误</abilityName>
      <candidateList>
        <item>，对</item>
      </candidateList>
      <explain/>
      <paraID>3A467ECD</paraID>
      <start>30</start>
      <end>31</end>
      <status>unmodified</status>
      <modifiedWord/>
      <trackRevisions>false</trackRevisions>
    </reviewItem>
    <reviewItem>
      <errorID>5362f746-640a-42be-a335-c3818bc2043e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36375443</paraID>
      <start>0</start>
      <end>2</end>
      <status>unmodified</status>
      <modifiedWord/>
      <trackRevisions>false</trackRevisions>
    </reviewItem>
    <reviewItem>
      <errorID>6e9e03f8-274b-4606-bdeb-904d23e5a831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3FDC5A55</paraID>
      <start>0</start>
      <end>2</end>
      <status>unmodified</status>
      <modifiedWord/>
      <trackRevisions>false</trackRevisions>
    </reviewItem>
    <reviewItem>
      <errorID>26b2563b-a38a-4335-b715-1657e1f85db0</errorID>
      <errorWord>根据建设单位提供资料显示</errorWord>
      <group>L1_Grammar</group>
      <groupName>语法问题</groupName>
      <ability>L2_Grammar</ability>
      <abilityName>语法错误</abilityName>
      <candidateList>
        <item>根据建设单位提供资料</item>
      </candidateList>
      <explain>该表达中的“根据建设单位提供资料显示”存在语义重复。</explain>
      <paraID>412CBD6B</paraID>
      <start>0</start>
      <end>12</end>
      <status>unmodified</status>
      <modifiedWord/>
      <trackRevisions>false</trackRevisions>
    </reviewItem>
    <reviewItem>
      <errorID>365b98b8-a0ac-46ff-ade8-aa3e65c97632</errorID>
      <errorWord>40-50%</errorWord>
      <group>L1_Knowledge</group>
      <groupName>知识性问题</groupName>
      <ability>L2_Knowledge</ability>
      <abilityName>其他知识</abilityName>
      <candidateList>
        <item>40%—50%</item>
      </candidateList>
      <explain>1. “40-50%”中的单位“%”仅出现在后一个数字上，容易引起歧义；根据《现代汉语标点符号数字用法规范手册》，数字表示范围两边需要使用统一的格式。2. 根据标点国标 4.13 中的规则，数字、时间或地域连接符应使用（视觉上更长的）“—”或“～”。</explain>
      <paraID>412CBD6B</paraID>
      <start>26</start>
      <end>32</end>
      <status>unmodified</status>
      <modifiedWord/>
      <trackRevisions>false</trackRevisions>
    </reviewItem>
    <reviewItem>
      <errorID>de963a7a-c0d0-4984-a882-248224b5a4b1</errorID>
      <errorWord>30-40%</errorWord>
      <group>L1_Knowledge</group>
      <groupName>知识性问题</groupName>
      <ability>L2_Knowledge</ability>
      <abilityName>其他知识</abilityName>
      <candidateList>
        <item>30%—40%</item>
      </candidateList>
      <explain>1. “30-40%”中的单位“%”仅出现在后一个数字上，容易引起歧义；根据《现代汉语标点符号数字用法规范手册》，数字表示范围两边需要使用统一的格式。2. 根据标点国标 4.13 中的规则，数字、时间或地域连接符应使用（视觉上更长的）“—”或“～”。</explain>
      <paraID>412CBD6B</paraID>
      <start>44</start>
      <end>50</end>
      <status>unmodified</status>
      <modifiedWord/>
      <trackRevisions>false</trackRevisions>
    </reviewItem>
    <reviewItem>
      <errorID>ec34d015-4b5a-4990-bfc9-47f4a9d0802b</errorID>
      <errorWord>10-15%</errorWord>
      <group>L1_Knowledge</group>
      <groupName>知识性问题</groupName>
      <ability>L2_Knowledge</ability>
      <abilityName>其他知识</abilityName>
      <candidateList>
        <item>10%—15%</item>
      </candidateList>
      <explain>1. “10-15%”中的单位“%”仅出现在后一个数字上，容易引起歧义；根据《现代汉语标点符号数字用法规范手册》，数字表示范围两边需要使用统一的格式。2. 根据标点国标 4.13 中的规则，数字、时间或地域连接符应使用（视觉上更长的）“—”或“～”。</explain>
      <paraID>412CBD6B</paraID>
      <start>58</start>
      <end>64</end>
      <status>unmodified</status>
      <modifiedWord/>
      <trackRevisions>false</trackRevisions>
    </reviewItem>
    <reviewItem>
      <errorID>d74525b5-f693-40a8-8dd1-a89e692cecbb</errorID>
      <errorWord>-</errorWord>
      <group>L1_Format</group>
      <groupName>格式问题</groupName>
      <ability>L2_HalfPunc_CN</ability>
      <abilityName>全半角问题</abilityName>
      <candidateList>
        <item>－</item>
      </candidateList>
      <explain>文本全半角错误。</explain>
      <paraID>  FA8DCE</paraID>
      <start>37</start>
      <end>38</end>
      <status>unmodified</status>
      <modifiedWord/>
      <trackRevisions>false</trackRevisions>
    </reviewItem>
    <reviewItem>
      <errorID>f9463365-7bfa-45ea-9411-11fcd571bab8</errorID>
      <errorWord>.</errorWord>
      <group>L1_Format</group>
      <groupName>格式问题</groupName>
      <ability>L2_HalfPunc_CN</ability>
      <abilityName>全半角问题</abilityName>
      <candidateList>
        <item>。</item>
      </candidateList>
      <explain>文本全半角错误。</explain>
      <paraID>  FA8DCE</paraID>
      <start>54</start>
      <end>55</end>
      <status>unmodified</status>
      <modifiedWord/>
      <trackRevisions>false</trackRevisions>
    </reviewItem>
    <reviewItem>
      <errorID>b38183c8-5737-4cc1-a42f-1c6b53a161e7</errorID>
      <errorWord>(</errorWord>
      <group>L1_Format</group>
      <groupName>格式问题</groupName>
      <ability>L2_HalfPunc_CN</ability>
      <abilityName>全半角问题</abilityName>
      <candidateList>
        <item>（</item>
      </candidateList>
      <explain>文本全半角错误。</explain>
      <paraID>610563D3</paraID>
      <start>116</start>
      <end>117</end>
      <status>unmodified</status>
      <modifiedWord/>
      <trackRevisions>false</trackRevisions>
    </reviewItem>
    <reviewItem>
      <errorID>e3608686-9aa0-4853-b59d-73f49a6e76e3</errorID>
      <errorWord>)</errorWord>
      <group>L1_Format</group>
      <groupName>格式问题</groupName>
      <ability>L2_HalfPunc_CN</ability>
      <abilityName>全半角问题</abilityName>
      <candidateList>
        <item>）</item>
      </candidateList>
      <explain>文本全半角错误。</explain>
      <paraID>610563D3</paraID>
      <start>120</start>
      <end>121</end>
      <status>unmodified</status>
      <modifiedWord/>
      <trackRevisions>false</trackRevisions>
    </reviewItem>
    <reviewItem>
      <errorID>140b5513-520d-4ab2-9402-f6a26ea81629</errorID>
      <errorWord>(</errorWord>
      <group>L1_Format</group>
      <groupName>格式问题</groupName>
      <ability>L2_HalfPunc_CN</ability>
      <abilityName>全半角问题</abilityName>
      <candidateList>
        <item>（</item>
      </candidateList>
      <explain>文本全半角错误。</explain>
      <paraID>610563D3</paraID>
      <start>135</start>
      <end>136</end>
      <status>unmodified</status>
      <modifiedWord/>
      <trackRevisions>false</trackRevisions>
    </reviewItem>
    <reviewItem>
      <errorID>edc518b7-368f-45d4-a1d7-47deb9da6ea5</errorID>
      <errorWord>)</errorWord>
      <group>L1_Format</group>
      <groupName>格式问题</groupName>
      <ability>L2_HalfPunc_CN</ability>
      <abilityName>全半角问题</abilityName>
      <candidateList>
        <item>）</item>
      </candidateList>
      <explain>文本全半角错误。</explain>
      <paraID>610563D3</paraID>
      <start>139</start>
      <end>140</end>
      <status>unmodified</status>
      <modifiedWord/>
      <trackRevisions>false</trackRevisions>
    </reviewItem>
    <reviewItem>
      <errorID>bb8f79ec-5360-47db-be59-fb652fc3432e</errorID>
      <errorWord>(</errorWord>
      <group>L1_Format</group>
      <groupName>格式问题</groupName>
      <ability>L2_HalfPunc_CN</ability>
      <abilityName>全半角问题</abilityName>
      <candidateList>
        <item>（</item>
      </candidateList>
      <explain>文本全半角错误。</explain>
      <paraID>610563D3</paraID>
      <start>157</start>
      <end>158</end>
      <status>unmodified</status>
      <modifiedWord/>
      <trackRevisions>false</trackRevisions>
    </reviewItem>
    <reviewItem>
      <errorID>8f28f00f-dc4e-4bb1-8ee9-15a5d0993d26</errorID>
      <errorWord>)</errorWord>
      <group>L1_Format</group>
      <groupName>格式问题</groupName>
      <ability>L2_HalfPunc_CN</ability>
      <abilityName>全半角问题</abilityName>
      <candidateList>
        <item>）</item>
      </candidateList>
      <explain>文本全半角错误。</explain>
      <paraID>610563D3</paraID>
      <start>161</start>
      <end>162</end>
      <status>unmodified</status>
      <modifiedWord/>
      <trackRevisions>false</trackRevisions>
    </reviewItem>
    <reviewItem>
      <errorID>aa599160-b97e-4496-b5f0-148da5bdfb7f</errorID>
      <errorWord>约为</errorWord>
      <group>L1_Word</group>
      <groupName>字词问题</groupName>
      <ability>L2_Typo</ability>
      <abilityName>字词错误</abilityName>
      <candidateList>
        <item>约</item>
      </candidateList>
      <explain/>
      <paraID>74F10D06</paraID>
      <start>29</start>
      <end>31</end>
      <status>unmodified</status>
      <modifiedWord/>
      <trackRevisions>false</trackRevisions>
    </reviewItem>
    <reviewItem>
      <errorID>3a558185-c539-4ae6-b018-14df2ddb402d</errorID>
      <errorWord>万</errorWord>
      <group>L1_Word</group>
      <groupName>字词问题</groupName>
      <ability>L2_Typo</ability>
      <abilityName>字词错误</abilityName>
      <candidateList>
        <item>万元</item>
      </candidateList>
      <explain/>
      <paraID>64D65BB7</paraID>
      <start>3</start>
      <end>4</end>
      <status>unmodified</status>
      <modifiedWord/>
      <trackRevisions>false</trackRevisions>
    </reviewItem>
    <reviewItem>
      <errorID>9865cd34-6985-4b42-97ef-55875fa9368b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586CE945</paraID>
      <start>49</start>
      <end>50</end>
      <status>unmodified</status>
      <modifiedWord/>
      <trackRevisions>false</trackRevisions>
    </reviewItem>
    <reviewItem>
      <errorID>c360214a-6774-4abd-bc32-6b78d8c92b28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1F149535</paraID>
      <start>23</start>
      <end>24</end>
      <status>unmodified</status>
      <modifiedWord/>
      <trackRevisions>false</trackRevisions>
    </reviewItem>
    <reviewItem>
      <errorID>e408b412-a2f9-4b47-ab2a-59877d733463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7E2B3DC3</paraID>
      <start>67</start>
      <end>68</end>
      <status>unmodified</status>
      <modifiedWord/>
      <trackRevisions>false</trackRevisions>
    </reviewItem>
    <reviewItem>
      <errorID>fc548590-3441-4a45-b5c2-9fffb7c31ada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7E2B3DC3</paraID>
      <start>82</start>
      <end>83</end>
      <status>unmodified</status>
      <modifiedWord/>
      <trackRevisions>false</trackRevisions>
    </reviewItem>
    <reviewItem>
      <errorID>f4fc0bd9-5b0c-4da4-84fb-86ba060b5e6c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123D21FB</paraID>
      <start>0</start>
      <end>2</end>
      <status>unmodified</status>
      <modifiedWord/>
      <trackRevisions>false</trackRevisions>
    </reviewItem>
    <reviewItem>
      <errorID>7cd85946-a4af-4a2c-815b-1139631e22f4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7621BEDB</paraID>
      <start>0</start>
      <end>2</end>
      <status>unmodified</status>
      <modifiedWord/>
      <trackRevisions>false</trackRevisions>
    </reviewItem>
    <reviewItem>
      <errorID>d5bde2f8-663f-44aa-85d2-303984ab0e8c</errorID>
      <errorWord>-</errorWord>
      <group>L1_Format</group>
      <groupName>格式问题</groupName>
      <ability>L2_HalfPunc_CN</ability>
      <abilityName>全半角问题</abilityName>
      <candidateList>
        <item>－</item>
      </candidateList>
      <explain>文本全半角错误。</explain>
      <paraID>42119FA2</paraID>
      <start>21</start>
      <end>22</end>
      <status>unmodified</status>
      <modifiedWord/>
      <trackRevisions>false</trackRevisions>
    </reviewItem>
    <reviewItem>
      <errorID>c6bc3417-235a-43f5-a1bb-97aab47a8dbf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42119FA2</paraID>
      <start>81</start>
      <end>82</end>
      <status>unmodified</status>
      <modifiedWord/>
      <trackRevisions>false</trackRevisions>
    </reviewItem>
    <reviewItem>
      <errorID>edb15297-fb69-4d1f-a829-763eb20a5a51</errorID>
      <errorWord>40~60%</errorWord>
      <group>L1_Knowledge</group>
      <groupName>知识性问题</groupName>
      <ability>L2_Knowledge</ability>
      <abilityName>其他知识</abilityName>
      <candidateList>
        <item>40%～60%</item>
      </candidateList>
      <explain>1. “40~60%”中的单位“%”仅出现在后一个数字上，容易引起歧义；根据《现代汉语标点符号数字用法规范手册》，数字表示范围两边需要使用统一的格式。2. 根据标点国标 4.13 中的规则，数字、时间或地域连接符应使用（视觉上更长的）“—”或“～”。</explain>
      <paraID>1DE09DC8</paraID>
      <start>43</start>
      <end>49</end>
      <status>unmodified</status>
      <modifiedWord/>
      <trackRevisions>false</trackRevisions>
    </reviewItem>
    <reviewItem>
      <errorID>408f86e1-7330-4f4c-a58d-30ee13009891</errorID>
      <errorWord>50~60%</errorWord>
      <group>L1_Knowledge</group>
      <groupName>知识性问题</groupName>
      <ability>L2_Knowledge</ability>
      <abilityName>其他知识</abilityName>
      <candidateList>
        <item>50%～60%</item>
      </candidateList>
      <explain>1. “50~60%”中的单位“%”仅出现在后一个数字上，容易引起歧义；根据《现代汉语标点符号数字用法规范手册》，数字表示范围两边需要使用统一的格式。2. 根据标点国标 4.13 中的规则，数字、时间或地域连接符应使用（视觉上更长的）“—”或“～”。</explain>
      <paraID>1DE09DC8</paraID>
      <start>51</start>
      <end>57</end>
      <status>unmodified</status>
      <modifiedWord/>
      <trackRevisions>false</trackRevisions>
    </reviewItem>
    <reviewItem>
      <errorID>c8057433-5720-4e4a-8c68-51b572f9cab0</errorID>
      <errorWord>难于</errorWord>
      <group>L1_Word</group>
      <groupName>字词问题</groupName>
      <ability>L2_Typo</ability>
      <abilityName>字词错误</abilityName>
      <candidateList>
        <item>难以</item>
      </candidateList>
      <explain/>
      <paraID>1DE09DC8</paraID>
      <start>75</start>
      <end>77</end>
      <status>unmodified</status>
      <modifiedWord/>
      <trackRevisions>false</trackRevisions>
    </reviewItem>
    <reviewItem>
      <errorID>fd7a91e7-966c-4fdb-ab28-f382ec8504b3</errorID>
      <errorWord>的</errorWord>
      <group>L1_Word</group>
      <groupName>字词问题</groupName>
      <ability>L2_DDD</ability>
      <abilityName>的地得用法</abilityName>
      <candidateList>
        <item>地</item>
      </candidateList>
      <explain/>
      <paraID>1DE09DC8</paraID>
      <start>209</start>
      <end>210</end>
      <status>unmodified</status>
      <modifiedWord/>
      <trackRevisions>false</trackRevisions>
    </reviewItem>
    <reviewItem>
      <errorID>75661210-7e83-419e-a313-23b193e6921a</errorID>
      <errorWord>(</errorWord>
      <group>L1_Format</group>
      <groupName>格式问题</groupName>
      <ability>L2_HalfPunc_CN</ability>
      <abilityName>全半角问题</abilityName>
      <candidateList>
        <item>（</item>
      </candidateList>
      <explain>文本全半角错误。</explain>
      <paraID>76E81686</paraID>
      <start>47</start>
      <end>48</end>
      <status>unmodified</status>
      <modifiedWord/>
      <trackRevisions>false</trackRevisions>
    </reviewItem>
    <reviewItem>
      <errorID>4a6a62ed-b94c-4c6e-91ea-bfe0ae4df09d</errorID>
      <errorWord>)</errorWord>
      <group>L1_Format</group>
      <groupName>格式问题</groupName>
      <ability>L2_HalfPunc_CN</ability>
      <abilityName>全半角问题</abilityName>
      <candidateList>
        <item>）</item>
      </candidateList>
      <explain>文本全半角错误。</explain>
      <paraID>76E81686</paraID>
      <start>51</start>
      <end>52</end>
      <status>unmodified</status>
      <modifiedWord/>
      <trackRevisions>false</trackRevisions>
    </reviewItem>
    <reviewItem>
      <errorID>7f1c5cba-ce8b-4b8f-a135-8f86633800ea</errorID>
      <errorWord>：</errorWord>
      <group>L1_Format</group>
      <groupName>格式问题</groupName>
      <ability>L2_HalfPunc_CN</ability>
      <abilityName>全半角问题</abilityName>
      <candidateList>
        <item>:</item>
      </candidateList>
      <explain>文本全半角错误。</explain>
      <paraID>76E81686</paraID>
      <start>58</start>
      <end>59</end>
      <status>unmodified</status>
      <modifiedWord/>
      <trackRevisions>false</trackRevisions>
    </reviewItem>
    <reviewItem>
      <errorID>fb478257-c5c2-422d-982f-0885ebcd7eaa</errorID>
      <errorWord>形势</errorWord>
      <group>L1_Word</group>
      <groupName>字词问题</groupName>
      <ability>L2_Typo</ability>
      <abilityName>字词错误</abilityName>
      <candidateList>
        <item>形式</item>
      </candidateList>
      <explain/>
      <paraID>76E81686</paraID>
      <start>177</start>
      <end>179</end>
      <status>unmodified</status>
      <modifiedWord/>
      <trackRevisions>false</trackRevisions>
    </reviewItem>
    <reviewItem>
      <errorID>b3d5931a-2c62-4aae-9200-174e6ed50540</errorID>
      <errorWord>℃度</errorWord>
      <group>L1_Word</group>
      <groupName>字词问题</groupName>
      <ability>L2_Typo</ability>
      <abilityName>字词错误</abilityName>
      <candidateList>
        <item>℃</item>
      </candidateList>
      <explain/>
      <paraID>5A149E20</paraID>
      <start>191</start>
      <end>193</end>
      <status>unmodified</status>
      <modifiedWord/>
      <trackRevisions>false</trackRevisions>
    </reviewItem>
    <reviewItem>
      <errorID>1007c3a1-b52a-48f8-b959-0801119573d1</errorID>
      <errorWord>)</errorWord>
      <group>L1_Format</group>
      <groupName>格式问题</groupName>
      <ability>L2_HalfPunc_CN</ability>
      <abilityName>全半角问题</abilityName>
      <candidateList>
        <item>）</item>
      </candidateList>
      <explain>文本全半角错误。</explain>
      <paraID>5A149E20</paraID>
      <start>260</start>
      <end>261</end>
      <status>unmodified</status>
      <modifiedWord/>
      <trackRevisions>false</trackRevisions>
    </reviewItem>
    <reviewItem>
      <errorID>3199fd5e-a442-41d5-b7ad-ca6f0bd98cfe</errorID>
      <errorWord>腐植质</errorWord>
      <group>L1_Word</group>
      <groupName>字词问题</groupName>
      <ability>L2_Typo</ability>
      <abilityName>字词错误</abilityName>
      <candidateList>
        <item>腐殖质</item>
      </candidateList>
      <explain/>
      <paraID>7EA3173B</paraID>
      <start>172</start>
      <end>175</end>
      <status>modified</status>
      <modifiedWord>腐殖质</modifiedWord>
      <trackRevisions>false</trackRevisions>
    </reviewItem>
    <reviewItem>
      <errorID>95bc8814-942f-49ec-b425-c414c3bcb07d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7EA3173B</paraID>
      <start>200</start>
      <end>201</end>
      <status>unmodified</status>
      <modifiedWord/>
      <trackRevisions>false</trackRevisions>
    </reviewItem>
    <reviewItem>
      <errorID>28d2bae9-a596-4d6a-b265-45e990a47bbd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14B6923C</paraID>
      <start>0</start>
      <end>2</end>
      <status>unmodified</status>
      <modifiedWord/>
      <trackRevisions>false</trackRevisions>
    </reviewItem>
    <reviewItem>
      <errorID>da0481cd-56ec-4d3b-9400-d9588186d199</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 DAA6932</paraID>
      <start>183</start>
      <end>186</end>
      <status>unmodified</status>
      <modifiedWord/>
      <trackRevisions>false</trackRevisions>
    </reviewItem>
    <reviewItem>
      <errorID>4f22589b-62f3-4b38-a85d-d291964e22fb</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 DAA6932</paraID>
      <start>242</start>
      <end>245</end>
      <status>unmodified</status>
      <modifiedWord/>
      <trackRevisions>false</trackRevisions>
    </reviewItem>
    <reviewItem>
      <errorID>ac96e44f-1066-48e2-bc6c-954910ba8166</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 DAA6932</paraID>
      <start>271</start>
      <end>274</end>
      <status>unmodified</status>
      <modifiedWord/>
      <trackRevisions>false</trackRevisions>
    </reviewItem>
    <reviewItem>
      <errorID>8f1e0dcf-1c84-4ca5-90b5-f5ce41148385</errorID>
      <errorWord>至2025年12</errorWord>
      <group>L1_Word</group>
      <groupName>字词问题</groupName>
      <ability>L2_Typo</ability>
      <abilityName>字词错误</abilityName>
      <candidateList>
        <item>截至2025年12</item>
      </candidateList>
      <explain/>
      <paraID> DAA6932</paraID>
      <start>375</start>
      <end>383</end>
      <status>unmodified</status>
      <modifiedWord/>
      <trackRevisions>false</trackRevisions>
    </reviewItem>
    <reviewItem>
      <errorID>29e5e4a8-663c-43fb-bb80-0067743cec0f</errorID>
      <errorWord>租贷</errorWord>
      <group>L1_Word</group>
      <groupName>字词问题</groupName>
      <ability>L2_Typo</ability>
      <abilityName>字词错误</abilityName>
      <candidateList>
        <item>租赁</item>
      </candidateList>
      <explain/>
      <paraID> 8DDDC17</paraID>
      <start>69</start>
      <end>71</end>
      <status>unmodified</status>
      <modifiedWord/>
      <trackRevisions>false</trackRevisions>
    </reviewItem>
    <reviewItem>
      <errorID>4cea6a4c-e149-423d-86f3-f35cdb7ac58e</errorID>
      <errorWord>-</errorWord>
      <group>L1_Format</group>
      <groupName>格式问题</groupName>
      <ability>L2_HalfPunc_CN</ability>
      <abilityName>全半角问题</abilityName>
      <candidateList>
        <item>－</item>
      </candidateList>
      <explain>文本全半角错误。</explain>
      <paraID> 8DDDC17</paraID>
      <start>80</start>
      <end>81</end>
      <status>unmodified</status>
      <modifiedWord/>
      <trackRevisions>false</trackRevisions>
    </reviewItem>
    <reviewItem>
      <errorID>99b7cce2-e08c-419e-a338-14feaa5522b7</errorID>
      <errorWord>租贷</errorWord>
      <group>L1_Word</group>
      <groupName>字词问题</groupName>
      <ability>L2_Typo</ability>
      <abilityName>字词错误</abilityName>
      <candidateList>
        <item>租赁</item>
      </candidateList>
      <explain/>
      <paraID>7E701ACF</paraID>
      <start>9</start>
      <end>11</end>
      <status>unmodified</status>
      <modifiedWord/>
      <trackRevisions>false</trackRevisions>
    </reviewItem>
    <reviewItem>
      <errorID>d95bf07a-b64e-41c5-bba5-39f38ec9ec9a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3036026E</paraID>
      <start>0</start>
      <end>2</end>
      <status>unmodified</status>
      <modifiedWord/>
      <trackRevisions>false</trackRevisions>
    </reviewItem>
    <reviewItem>
      <errorID>eef36138-f597-4404-8ce2-6d029f2f1710</errorID>
      <errorWord>12月06日</errorWord>
      <group>L1_Knowledge</group>
      <groupName>知识性问题</groupName>
      <ability>L2_Time</ability>
      <abilityName>日期时间</abilityName>
      <candidateList>
        <item>12月6日</item>
      </candidateList>
      <explain>根据日常书写习惯，日期一般会省略前导零。</explain>
      <paraID> 34CBDDE</paraID>
      <start>38</start>
      <end>44</end>
      <status>unmodified</status>
      <modifiedWord/>
      <trackRevisions>false</trackRevisions>
    </reviewItem>
    <reviewItem>
      <errorID>d5a47c9f-e70d-4d9a-bbf4-55aa21bcefd3</errorID>
      <errorWord>ug/m3</errorWord>
      <group>L1_Word</group>
      <groupName>字词问题</groupName>
      <ability>L2_Typo</ability>
      <abilityName>字词错误</abilityName>
      <candidateList>
        <item>μg/m3</item>
      </candidateList>
      <explain/>
      <paraID>74548A46</paraID>
      <start>23</start>
      <end>28</end>
      <status>unmodified</status>
      <modifiedWord/>
      <trackRevisions>false</trackRevisions>
    </reviewItem>
    <reviewItem>
      <errorID>03a84b10-c04f-4a42-8b67-f0e41ffe34ff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35B10E17</paraID>
      <start>0</start>
      <end>2</end>
      <status>unmodified</status>
      <modifiedWord/>
      <trackRevisions>false</trackRevisions>
    </reviewItem>
    <reviewItem>
      <errorID>5e6b0c56-771c-4002-85d6-97a066144698</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74C80948</paraID>
      <start>51</start>
      <end>54</end>
      <status>unmodified</status>
      <modifiedWord/>
      <trackRevisions>false</trackRevisions>
    </reviewItem>
    <reviewItem>
      <errorID>4ef41a01-a12f-41ed-b619-94c15a8a6e9d</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74C80948</paraID>
      <start>68</start>
      <end>71</end>
      <status>unmodified</status>
      <modifiedWord/>
      <trackRevisions>false</trackRevisions>
    </reviewItem>
    <reviewItem>
      <errorID>18917193-7b81-42f8-96d5-8b144ce76e8b</errorID>
      <errorWord>III类</errorWord>
      <group>L1_Knowledge</group>
      <groupName>知识性问题</groupName>
      <ability>L2_Knowledge</ability>
      <abilityName>其他知识</abilityName>
      <candidateList>
        <item>Ⅲ类</item>
      </candidateList>
      <explain>中文环境下罗马数字格式错误。</explain>
      <paraID>559B685A</paraID>
      <start>73</start>
      <end>77</end>
      <status>unmodified</status>
      <modifiedWord/>
      <trackRevisions>false</trackRevisions>
    </reviewItem>
    <reviewItem>
      <errorID>d8aae411-fa96-4ecc-83ef-5694f883a48e</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 2FA5EAE</paraID>
      <start>113</start>
      <end>116</end>
      <status>unmodified</status>
      <modifiedWord/>
      <trackRevisions>false</trackRevisions>
    </reviewItem>
    <reviewItem>
      <errorID>4971178f-396f-4c58-abbc-1ec20185a19f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E7CB449</paraID>
      <start>0</start>
      <end>2</end>
      <status>unmodified</status>
      <modifiedWord/>
      <trackRevisions>false</trackRevisions>
    </reviewItem>
    <reviewItem>
      <errorID>e6b8f3f6-b354-41f7-982c-9d0c4691c726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6000C66E</paraID>
      <start>0</start>
      <end>2</end>
      <status>unmodified</status>
      <modifiedWord/>
      <trackRevisions>false</trackRevisions>
    </reviewItem>
    <reviewItem>
      <errorID>e546e182-b467-4979-80bb-118cab452cb9</errorID>
      <errorWord>III类</errorWord>
      <group>L1_Knowledge</group>
      <groupName>知识性问题</groupName>
      <ability>L2_Knowledge</ability>
      <abilityName>其他知识</abilityName>
      <candidateList>
        <item>Ⅲ类</item>
      </candidateList>
      <explain>中文环境下罗马数字格式错误。</explain>
      <paraID>38CDD120</paraID>
      <start>61</start>
      <end>65</end>
      <status>unmodified</status>
      <modifiedWord/>
      <trackRevisions>false</trackRevisions>
    </reviewItem>
    <reviewItem>
      <errorID>b4eedbdf-da87-4458-81db-097a2a566650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11A6003C</paraID>
      <start>95</start>
      <end>96</end>
      <status>unmodified</status>
      <modifiedWord/>
      <trackRevisions>false</trackRevisions>
    </reviewItem>
    <reviewItem>
      <errorID>8558f643-b9ba-4cbf-a7f3-2669a4e61676</errorID>
      <errorWord>III类</errorWord>
      <group>L1_Knowledge</group>
      <groupName>知识性问题</groupName>
      <ability>L2_Knowledge</ability>
      <abilityName>其他知识</abilityName>
      <candidateList>
        <item>Ⅲ类</item>
      </candidateList>
      <explain>中文环境下罗马数字格式错误。</explain>
      <paraID>3061F4D7</paraID>
      <start>0</start>
      <end>4</end>
      <status>unmodified</status>
      <modifiedWord/>
      <trackRevisions>false</trackRevisions>
    </reviewItem>
    <reviewItem>
      <errorID>c3685a1a-9fe4-4981-89c7-997eefc9dc8e</errorID>
      <errorWord>"</errorWord>
      <group>L1_Format</group>
      <groupName>格式问题</groupName>
      <ability>L2_HalfPunc_CN</ability>
      <abilityName>全半角问题</abilityName>
      <candidateList/>
      <explain>文本全半角错误。</explain>
      <paraID>535AB696</paraID>
      <start>18</start>
      <end>19</end>
      <status>unmodified</status>
      <modifiedWord/>
      <trackRevisions>false</trackRevisions>
    </reviewItem>
    <reviewItem>
      <errorID>d1a7a739-b111-45b0-bf94-398a6a49a195</errorID>
      <errorWord>)</errorWord>
      <group>L1_Format</group>
      <groupName>格式问题</groupName>
      <ability>L2_HalfPunc_CN</ability>
      <abilityName>全半角问题</abilityName>
      <candidateList>
        <item>）</item>
      </candidateList>
      <explain>文本全半角错误。</explain>
      <paraID>535AB696</paraID>
      <start>32</start>
      <end>33</end>
      <status>unmodified</status>
      <modifiedWord/>
      <trackRevisions>false</trackRevisions>
    </reviewItem>
    <reviewItem>
      <errorID>e275d533-1c2d-406f-9221-ef53bd59c0f5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535AB696</paraID>
      <start>33</start>
      <end>34</end>
      <status>unmodified</status>
      <modifiedWord/>
      <trackRevisions>false</trackRevisions>
    </reviewItem>
    <reviewItem>
      <errorID>89d0c8d7-154b-43fb-b6a2-31838f5a4b7c</errorID>
      <errorWord>III类</errorWord>
      <group>L1_Knowledge</group>
      <groupName>知识性问题</groupName>
      <ability>L2_Knowledge</ability>
      <abilityName>其他知识</abilityName>
      <candidateList>
        <item>Ⅲ类</item>
      </candidateList>
      <explain>中文环境下罗马数字格式错误。</explain>
      <paraID>471433E6</paraID>
      <start>46</start>
      <end>50</end>
      <status>unmodified</status>
      <modifiedWord/>
      <trackRevisions>false</trackRevisions>
    </reviewItem>
    <reviewItem>
      <errorID>679b6a8f-e8f5-463b-88c9-310fa6aded9b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45D5898E</paraID>
      <start>0</start>
      <end>2</end>
      <status>unmodified</status>
      <modifiedWord/>
      <trackRevisions>false</trackRevisions>
    </reviewItem>
    <reviewItem>
      <errorID>c0ac6c72-6f22-490d-b7e1-bd3a5e6ffc38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50B4BEC</paraID>
      <start>0</start>
      <end>2</end>
      <status>unmodified</status>
      <modifiedWord/>
      <trackRevisions>false</trackRevisions>
    </reviewItem>
    <reviewItem>
      <errorID>9ecf5b16-ce0f-45f7-895e-de9c968687ca</errorID>
      <errorWord>珍惜</errorWord>
      <group>L1_Word</group>
      <groupName>字词问题</groupName>
      <ability>L2_Typo</ability>
      <abilityName>字词错误</abilityName>
      <candidateList>
        <item>珍稀</item>
      </candidateList>
      <explain/>
      <paraID>238913E3</paraID>
      <start>121</start>
      <end>123</end>
      <status>unmodified</status>
      <modifiedWord/>
      <trackRevisions>false</trackRevisions>
    </reviewItem>
    <reviewItem>
      <errorID>d48af1d1-edaa-4a72-b958-a3713fe77fc0</errorID>
      <errorWord>(</errorWord>
      <group>L1_Format</group>
      <groupName>格式问题</groupName>
      <ability>L2_HalfPunc_CN</ability>
      <abilityName>全半角问题</abilityName>
      <candidateList>
        <item>（</item>
      </candidateList>
      <explain>文本全半角错误。</explain>
      <paraID>131AA201</paraID>
      <start>2</start>
      <end>3</end>
      <status>unmodified</status>
      <modifiedWord/>
      <trackRevisions>false</trackRevisions>
    </reviewItem>
    <reviewItem>
      <errorID>8bf6bf06-7575-4b60-9d1c-a03d8a07a9bd</errorID>
      <errorWord>)</errorWord>
      <group>L1_Format</group>
      <groupName>格式问题</groupName>
      <ability>L2_HalfPunc_CN</ability>
      <abilityName>全半角问题</abilityName>
      <candidateList>
        <item>）</item>
      </candidateList>
      <explain>文本全半角错误。</explain>
      <paraID>131AA201</paraID>
      <start>4</start>
      <end>5</end>
      <status>unmodified</status>
      <modifiedWord/>
      <trackRevisions>false</trackRevisions>
    </reviewItem>
    <reviewItem>
      <errorID>62be75e2-4b06-4dd3-8666-70846a1c2e23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25F405B</paraID>
      <start>0</start>
      <end>2</end>
      <status>unmodified</status>
      <modifiedWord/>
      <trackRevisions>false</trackRevisions>
    </reviewItem>
    <reviewItem>
      <errorID>3a6c5e3d-f151-4c60-8f43-ca3f167c8e99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63835F26</paraID>
      <start>0</start>
      <end>2</end>
      <status>unmodified</status>
      <modifiedWord/>
      <trackRevisions>false</trackRevisions>
    </reviewItem>
    <reviewItem>
      <errorID>d5084af7-7175-46a9-bab5-81db093551bd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2EF43A2D</paraID>
      <start>0</start>
      <end>2</end>
      <status>unmodified</status>
      <modifiedWord/>
      <trackRevisions>false</trackRevisions>
    </reviewItem>
    <reviewItem>
      <errorID>99cb985a-7559-4fbc-8988-c3fac3c1c3c7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20BE5FC1</paraID>
      <start>0</start>
      <end>2</end>
      <status>unmodified</status>
      <modifiedWord/>
      <trackRevisions>false</trackRevisions>
    </reviewItem>
    <reviewItem>
      <errorID>abbfc187-eef8-454b-bc63-d9fbbaf3bc30</errorID>
      <errorWord>(</errorWord>
      <group>L1_Format</group>
      <groupName>格式问题</groupName>
      <ability>L2_HalfPunc_CN</ability>
      <abilityName>全半角问题</abilityName>
      <candidateList>
        <item>（</item>
      </candidateList>
      <explain>文本全半角错误。</explain>
      <paraID>2CF4A559</paraID>
      <start>75</start>
      <end>76</end>
      <status>unmodified</status>
      <modifiedWord/>
      <trackRevisions>false</trackRevisions>
    </reviewItem>
    <reviewItem>
      <errorID>483b0f39-40d3-41e9-8b81-34489eaecdf4</errorID>
      <errorWord>)</errorWord>
      <group>L1_Format</group>
      <groupName>格式问题</groupName>
      <ability>L2_HalfPunc_CN</ability>
      <abilityName>全半角问题</abilityName>
      <candidateList>
        <item>）</item>
      </candidateList>
      <explain>文本全半角错误。</explain>
      <paraID>2CF4A559</paraID>
      <start>86</start>
      <end>87</end>
      <status>unmodified</status>
      <modifiedWord/>
      <trackRevisions>false</trackRevisions>
    </reviewItem>
    <reviewItem>
      <errorID>6e34e323-7405-4b17-bd66-f90a68383151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67A05A8C</paraID>
      <start>0</start>
      <end>2</end>
      <status>unmodified</status>
      <modifiedWord/>
      <trackRevisions>false</trackRevisions>
    </reviewItem>
    <reviewItem>
      <errorID>4cf2d0a0-95db-45fe-8a93-c463f43684db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3010B6A3</paraID>
      <start>0</start>
      <end>2</end>
      <status>unmodified</status>
      <modifiedWord/>
      <trackRevisions>false</trackRevisions>
    </reviewItem>
    <reviewItem>
      <errorID>0be720e5-5d57-4fba-aba7-8a470ed8091a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72DC6386</paraID>
      <start>0</start>
      <end>2</end>
      <status>unmodified</status>
      <modifiedWord/>
      <trackRevisions>false</trackRevisions>
    </reviewItem>
    <reviewItem>
      <errorID>39e932f3-405c-4cea-af97-7769e73de037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355F23CB</paraID>
      <start>0</start>
      <end>2</end>
      <status>unmodified</status>
      <modifiedWord/>
      <trackRevisions>false</trackRevisions>
    </reviewItem>
    <reviewItem>
      <errorID>bf0b33e2-1a93-4a54-b0e7-8224e060f853</errorID>
      <errorWord>，将</errorWord>
      <group>L1_Word</group>
      <groupName>字词问题</groupName>
      <ability>L2_Typo</ability>
      <abilityName>字词错误</abilityName>
      <candidateList>
        <item>，</item>
      </candidateList>
      <explain/>
      <paraID>17E0D2B3</paraID>
      <start>10</start>
      <end>12</end>
      <status>unmodified</status>
      <modifiedWord/>
      <trackRevisions>false</trackRevisions>
    </reviewItem>
    <reviewItem>
      <errorID>ce2cc2e4-4414-46b1-8f61-4cb614f8c34e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29498EE</paraID>
      <start>0</start>
      <end>2</end>
      <status>unmodified</status>
      <modifiedWord/>
      <trackRevisions>false</trackRevisions>
    </reviewItem>
    <reviewItem>
      <errorID>c5605f11-236d-4c1d-a650-73606d7804ad</errorID>
      <errorWord>期</errorWord>
      <group>L1_Word</group>
      <groupName>字词问题</groupName>
      <ability>L2_Typo</ability>
      <abilityName>字词错误</abilityName>
      <candidateList>
        <item>期间</item>
      </candidateList>
      <explain/>
      <paraID>4D330B69</paraID>
      <start>5</start>
      <end>6</end>
      <status>unmodified</status>
      <modifiedWord/>
      <trackRevisions>false</trackRevisions>
    </reviewItem>
    <reviewItem>
      <errorID>ba299b0e-1166-416e-a072-16cb0ce7ef5d</errorID>
      <errorWord>必须严格按</errorWord>
      <group>L1_Word</group>
      <groupName>字词问题</groupName>
      <ability>L2_Typo</ability>
      <abilityName>字词错误</abilityName>
      <candidateList>
        <item>必须严格按照</item>
      </candidateList>
      <explain/>
      <paraID>768B4ADA</paraID>
      <start>7</start>
      <end>12</end>
      <status>unmodified</status>
      <modifiedWord/>
      <trackRevisions>false</trackRevisions>
    </reviewItem>
    <reviewItem>
      <errorID>e5f6119d-8bb3-4041-a7c4-ff15341a0fdc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7D691E3A</paraID>
      <start>0</start>
      <end>2</end>
      <status>unmodified</status>
      <modifiedWord/>
      <trackRevisions>false</trackRevisions>
    </reviewItem>
    <reviewItem>
      <errorID>0e61a71f-9aa2-423e-8034-dee94bdc108a</errorID>
      <errorWord>的</errorWord>
      <group>L1_Word</group>
      <groupName>字词问题</groupName>
      <ability>L2_DDD</ability>
      <abilityName>的地得用法</abilityName>
      <candidateList>
        <item>地</item>
      </candidateList>
      <explain/>
      <paraID>3CDF771A</paraID>
      <start>23</start>
      <end>24</end>
      <status>unmodified</status>
      <modifiedWord/>
      <trackRevisions>false</trackRevisions>
    </reviewItem>
    <reviewItem>
      <errorID>fe20db18-7eb8-4c0a-b632-43b8c216327d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39A2689F</paraID>
      <start>0</start>
      <end>2</end>
      <status>unmodified</status>
      <modifiedWord/>
      <trackRevisions>false</trackRevisions>
    </reviewItem>
    <reviewItem>
      <errorID>13cec891-f9ad-4b26-b8e1-6816da841175</errorID>
      <errorWord>30%-40%</errorWord>
      <group>L1_Knowledge</group>
      <groupName>知识性问题</groupName>
      <ability>L2_Knowledge</ability>
      <abilityName>其他知识</abilityName>
      <candidateList>
        <item>30%—40%</item>
      </candidateList>
      <explain>1. “30%-40%”中的单位“%”仅出现在后一个数字上，容易引起歧义；根据《现代汉语标点符号数字用法规范手册》，数字表示范围两边需要使用统一的格式。2. 根据标点国标 4.13 中的规则，数字、时间或地域连接符应使用（视觉上更长的）“—”或“～”。</explain>
      <paraID>1EDABB32</paraID>
      <start>81</start>
      <end>88</end>
      <status>unmodified</status>
      <modifiedWord/>
      <trackRevisions>false</trackRevisions>
    </reviewItem>
    <reviewItem>
      <errorID>6ded5d03-bd23-4ca8-8fc6-dbb0a2063cfc</errorID>
      <errorWord>（</errorWord>
      <group>L1_Punc</group>
      <groupName>标点问题</groupName>
      <ability>L2_Punc_CN</ability>
      <abilityName>标点符号问题</abilityName>
      <candidateList/>
      <explain>同一形式括号套用。</explain>
      <paraID>7E4BDB3A</paraID>
      <start>41</start>
      <end>42</end>
      <status>unmodified</status>
      <modifiedWord/>
      <trackRevisions>false</trackRevisions>
    </reviewItem>
    <reviewItem>
      <errorID>260d1b7d-6027-462a-90d4-f1d930bb50fe</errorID>
      <errorWord>）</errorWord>
      <group>L1_Punc</group>
      <groupName>标点问题</groupName>
      <ability>L2_Punc_CN</ability>
      <abilityName>标点符号问题</abilityName>
      <candidateList/>
      <explain>同一形式括号套用。</explain>
      <paraID>7E4BDB3A</paraID>
      <start>43</start>
      <end>44</end>
      <status>unmodified</status>
      <modifiedWord/>
      <trackRevisions>false</trackRevisions>
    </reviewItem>
    <reviewItem>
      <errorID>fcff60ea-ee40-4057-a120-50f15864fb30</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32F79FD7</paraID>
      <start>24</start>
      <end>31</end>
      <status>unmodified</status>
      <modifiedWord/>
      <trackRevisions>false</trackRevisions>
    </reviewItem>
    <reviewItem>
      <errorID>ed8c268b-fe0f-4b98-8a30-7151402347d1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6267A322</paraID>
      <start>0</start>
      <end>2</end>
      <status>unmodified</status>
      <modifiedWord/>
      <trackRevisions>false</trackRevisions>
    </reviewItem>
    <reviewItem>
      <errorID>9969a04c-2510-4870-8934-34d5fa04c189</errorID>
      <errorWord>程</errorWord>
      <group>L1_Word</group>
      <groupName>字词问题</groupName>
      <ability>L2_Typo</ability>
      <abilityName>字词错误</abilityName>
      <candidateList>
        <item>程中</item>
      </candidateList>
      <explain/>
      <paraID>3E324FD3</paraID>
      <start>26</start>
      <end>27</end>
      <status>unmodified</status>
      <modifiedWord/>
      <trackRevisions>false</trackRevisions>
    </reviewItem>
    <reviewItem>
      <errorID>77b582c2-b8ac-4371-bc4d-f491891aa78d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174F6FB0</paraID>
      <start>0</start>
      <end>2</end>
      <status>unmodified</status>
      <modifiedWord/>
      <trackRevisions>false</trackRevisions>
    </reviewItem>
    <reviewItem>
      <errorID>ed8f8133-4bbe-47e9-a607-46305494d90f</errorID>
      <errorWord>针对</errorWord>
      <group>L1_Word</group>
      <groupName>字词问题</groupName>
      <ability>L2_Typo</ability>
      <abilityName>字词错误</abilityName>
      <candidateList>
        <item>对</item>
      </candidateList>
      <explain/>
      <paraID>164467DB</paraID>
      <start>76</start>
      <end>78</end>
      <status>unmodified</status>
      <modifiedWord/>
      <trackRevisions>false</trackRevisions>
    </reviewItem>
    <reviewItem>
      <errorID>6cda694e-5810-483e-96b0-d4f9d138dbc1</errorID>
      <errorWord>(</errorWord>
      <group>L1_Format</group>
      <groupName>格式问题</groupName>
      <ability>L2_HalfPunc_CN</ability>
      <abilityName>全半角问题</abilityName>
      <candidateList>
        <item>（</item>
      </candidateList>
      <explain>文本全半角错误。</explain>
      <paraID>1A46B24F</paraID>
      <start>42</start>
      <end>43</end>
      <status>unmodified</status>
      <modifiedWord/>
      <trackRevisions>false</trackRevisions>
    </reviewItem>
    <reviewItem>
      <errorID>da4c0f8d-2507-445a-b0b4-f88bd3c0f59d</errorID>
      <errorWord>)</errorWord>
      <group>L1_Format</group>
      <groupName>格式问题</groupName>
      <ability>L2_HalfPunc_CN</ability>
      <abilityName>全半角问题</abilityName>
      <candidateList>
        <item>）</item>
      </candidateList>
      <explain>文本全半角错误。</explain>
      <paraID>1A46B24F</paraID>
      <start>55</start>
      <end>56</end>
      <status>unmodified</status>
      <modifiedWord/>
      <trackRevisions>false</trackRevisions>
    </reviewItem>
    <reviewItem>
      <errorID>2bc5bbcb-e5ab-4527-a9a3-cd607701f7db</errorID>
      <errorWord>40%-50%</errorWord>
      <group>L1_Knowledge</group>
      <groupName>知识性问题</groupName>
      <ability>L2_Knowledge</ability>
      <abilityName>其他知识</abilityName>
      <candidateList>
        <item>40%—50%</item>
      </candidateList>
      <explain>1. “40%-50%”中的单位“%”仅出现在后一个数字上，容易引起歧义；根据《现代汉语标点符号数字用法规范手册》，数字表示范围两边需要使用统一的格式。2. 根据标点国标 4.13 中的规则，数字、时间或地域连接符应使用（视觉上更长的）“—”或“～”。</explain>
      <paraID> 24E763D</paraID>
      <start>40</start>
      <end>47</end>
      <status>unmodified</status>
      <modifiedWord/>
      <trackRevisions>false</trackRevisions>
    </reviewItem>
    <reviewItem>
      <errorID>460a1075-d724-4e90-8797-09a5d0e65294</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 24E763D</paraID>
      <start>74</start>
      <end>81</end>
      <status>unmodified</status>
      <modifiedWord/>
      <trackRevisions>false</trackRevisions>
    </reviewItem>
    <reviewItem>
      <errorID>7fad5df4-ab49-4f3e-8dea-225300287370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7CA650B7</paraID>
      <start>0</start>
      <end>2</end>
      <status>unmodified</status>
      <modifiedWord/>
      <trackRevisions>false</trackRevisions>
    </reviewItem>
    <reviewItem>
      <errorID>9b980fed-d22c-499a-8922-21a11b2d6b91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53EEABB8</paraID>
      <start>154</start>
      <end>157</end>
      <status>unmodified</status>
      <modifiedWord/>
      <trackRevisions>false</trackRevisions>
    </reviewItem>
    <reviewItem>
      <errorID>83d49ad6-219b-4491-80ec-5f15aae16665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6ED91B69</paraID>
      <start>0</start>
      <end>2</end>
      <status>unmodified</status>
      <modifiedWord/>
      <trackRevisions>false</trackRevisions>
    </reviewItem>
    <reviewItem>
      <errorID>b007b207-4957-4e3b-a38d-c42f78c1c041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4B2A08F0</paraID>
      <start>0</start>
      <end>2</end>
      <status>unmodified</status>
      <modifiedWord/>
      <trackRevisions>false</trackRevisions>
    </reviewItem>
    <reviewItem>
      <errorID>50d135d9-84cc-43f8-bbbe-507fa2fd07ca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3661F49D</paraID>
      <start>0</start>
      <end>2</end>
      <status>unmodified</status>
      <modifiedWord/>
      <trackRevisions>false</trackRevisions>
    </reviewItem>
    <reviewItem>
      <errorID>67233f5a-069a-46cb-bdf2-03ae087b7f9c</errorID>
      <errorWord>Lp(r)=Lw+DC-(Adiv++Aatm+Agr+Abar+Amisc</errorWord>
      <group>L1_English</group>
      <groupName>英文问题</groupName>
      <ability>L2_Other_Grammar</ability>
      <abilityName>其他语法问题</abilityName>
      <candidateList>
        <item>Lp(r) = Lw + DC - (Adiv + Aatm + Agr + Abar + Amisc</item>
      </candidateList>
      <explain>疑似单词/词组使用不当, 建议将Lp(r)=Lw+DC-(Adiv++Aatm+Agr+Abar+Amisc修改为Lp(r) = Lw + DC - (Adiv + Aatm + Agr + Abar + Amisc</explain>
      <paraID>2C8F5734</paraID>
      <start>0</start>
      <end>38</end>
      <status>unmodified</status>
      <modifiedWord/>
      <trackRevisions>false</trackRevisions>
    </reviewItem>
    <reviewItem>
      <errorID>7e33fd48-a8b1-4476-9667-7269a1d7eba7</errorID>
      <errorWord>)</errorWord>
      <group>L1_Format</group>
      <groupName>格式问题</groupName>
      <ability>L2_HalfPunc_CN</ability>
      <abilityName>全半角问题</abilityName>
      <candidateList>
        <item>）</item>
      </candidateList>
      <explain>文本全半角错误。</explain>
      <paraID>57290CDC</paraID>
      <start>15</start>
      <end>16</end>
      <status>unmodified</status>
      <modifiedWord/>
      <trackRevisions>false</trackRevisions>
    </reviewItem>
    <reviewItem>
      <errorID>40b29b6a-e060-46da-81f8-6173457c129e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3F7E792A</paraID>
      <start>0</start>
      <end>2</end>
      <status>unmodified</status>
      <modifiedWord/>
      <trackRevisions>false</trackRevisions>
    </reviewItem>
    <reviewItem>
      <errorID>9d543e4e-e86e-48e4-b23f-e108a1aff46a</errorID>
      <errorWord>)</errorWord>
      <group>L1_Format</group>
      <groupName>格式问题</groupName>
      <ability>L2_HalfPunc_CN</ability>
      <abilityName>全半角问题</abilityName>
      <candidateList>
        <item>）</item>
      </candidateList>
      <explain>文本全半角错误。</explain>
      <paraID>77C0B28A</paraID>
      <start>8</start>
      <end>9</end>
      <status>unmodified</status>
      <modifiedWord/>
      <trackRevisions>false</trackRevisions>
    </reviewItem>
    <reviewItem>
      <errorID>5a3fb9bb-a9fc-47c9-81ec-8470b6b4e66a</errorID>
      <errorWord>)</errorWord>
      <group>L1_Format</group>
      <groupName>格式问题</groupName>
      <ability>L2_HalfPunc_CN</ability>
      <abilityName>全半角问题</abilityName>
      <candidateList>
        <item>）</item>
      </candidateList>
      <explain>文本全半角错误。</explain>
      <paraID>677A1939</paraID>
      <start>9</start>
      <end>10</end>
      <status>unmodified</status>
      <modifiedWord/>
      <trackRevisions>false</trackRevisions>
    </reviewItem>
    <reviewItem>
      <errorID>4534eeb6-8108-4f30-af81-1bedbbd0705b</errorID>
      <errorWord>)</errorWord>
      <group>L1_Format</group>
      <groupName>格式问题</groupName>
      <ability>L2_HalfPunc_CN</ability>
      <abilityName>全半角问题</abilityName>
      <candidateList>
        <item>）</item>
      </candidateList>
      <explain>文本全半角错误。</explain>
      <paraID>7D3EEC35</paraID>
      <start>8</start>
      <end>9</end>
      <status>unmodified</status>
      <modifiedWord/>
      <trackRevisions>false</trackRevisions>
    </reviewItem>
    <reviewItem>
      <errorID>9df4f466-6309-412c-a76d-d20411349be7</errorID>
      <errorWord>)</errorWord>
      <group>L1_Format</group>
      <groupName>格式问题</groupName>
      <ability>L2_HalfPunc_CN</ability>
      <abilityName>全半角问题</abilityName>
      <candidateList>
        <item>）</item>
      </candidateList>
      <explain>文本全半角错误。</explain>
      <paraID>1EDB3D9F</paraID>
      <start>9</start>
      <end>10</end>
      <status>unmodified</status>
      <modifiedWord/>
      <trackRevisions>false</trackRevisions>
    </reviewItem>
    <reviewItem>
      <errorID>d4298362-3f64-4c5d-8391-6b1f2e850353</errorID>
      <errorWord>(</errorWord>
      <group>L1_Format</group>
      <groupName>格式问题</groupName>
      <ability>L2_HalfPunc_CN</ability>
      <abilityName>全半角问题</abilityName>
      <candidateList>
        <item>（</item>
      </candidateList>
      <explain>文本全半角错误。</explain>
      <paraID>34077008</paraID>
      <start>87</start>
      <end>88</end>
      <status>unmodified</status>
      <modifiedWord/>
      <trackRevisions>false</trackRevisions>
    </reviewItem>
    <reviewItem>
      <errorID>75087d4e-1416-428e-87ec-88afaa353015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3BCDDA9B</paraID>
      <start>0</start>
      <end>2</end>
      <status>unmodified</status>
      <modifiedWord/>
      <trackRevisions>false</trackRevisions>
    </reviewItem>
    <reviewItem>
      <errorID>1d38460c-ad69-4313-8e53-296ee4fb2baa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23C37187</paraID>
      <start>0</start>
      <end>2</end>
      <status>unmodified</status>
      <modifiedWord/>
      <trackRevisions>false</trackRevisions>
    </reviewItem>
    <reviewItem>
      <errorID>74d1a1c6-065a-447c-bd35-de5e0e2fecf0</errorID>
      <errorWord>(</errorWord>
      <group>L1_Punc</group>
      <groupName>标点问题</groupName>
      <ability>L2_Punc_CN</ability>
      <abilityName>标点符号问题</abilityName>
      <candidateList/>
      <explain>同一形式括号套用。</explain>
      <paraID>16B4BF74</paraID>
      <start>11</start>
      <end>12</end>
      <status>unmodified</status>
      <modifiedWord/>
      <trackRevisions>false</trackRevisions>
    </reviewItem>
    <reviewItem>
      <errorID>bcfd81cd-7849-4d7f-a3f1-a2b7ce6e1448</errorID>
      <errorWord>)</errorWord>
      <group>L1_Punc</group>
      <groupName>标点问题</groupName>
      <ability>L2_Punc_CN</ability>
      <abilityName>标点符号问题</abilityName>
      <candidateList/>
      <explain>同一形式括号套用。</explain>
      <paraID>16B4BF74</paraID>
      <start>13</start>
      <end>14</end>
      <status>unmodified</status>
      <modifiedWord/>
      <trackRevisions>false</trackRevisions>
    </reviewItem>
    <reviewItem>
      <errorID>901969e9-45c3-492b-9357-fda2a693613d</errorID>
      <errorWord>(</errorWord>
      <group>L1_Punc</group>
      <groupName>标点问题</groupName>
      <ability>L2_Punc_CN</ability>
      <abilityName>标点符号问题</abilityName>
      <candidateList/>
      <explain>同一形式括号套用。</explain>
      <paraID> 6ADAD25</paraID>
      <start>11</start>
      <end>12</end>
      <status>unmodified</status>
      <modifiedWord/>
      <trackRevisions>false</trackRevisions>
    </reviewItem>
    <reviewItem>
      <errorID>3c74dc59-6464-4ed1-8a7a-8b2746292dd3</errorID>
      <errorWord>)</errorWord>
      <group>L1_Punc</group>
      <groupName>标点问题</groupName>
      <ability>L2_Punc_CN</ability>
      <abilityName>标点符号问题</abilityName>
      <candidateList/>
      <explain>同一形式括号套用。</explain>
      <paraID> 6ADAD25</paraID>
      <start>13</start>
      <end>14</end>
      <status>unmodified</status>
      <modifiedWord/>
      <trackRevisions>false</trackRevisions>
    </reviewItem>
    <reviewItem>
      <errorID>d3129fdb-f094-498d-8598-fbfa47fff82c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4135FE46</paraID>
      <start>0</start>
      <end>2</end>
      <status>unmodified</status>
      <modifiedWord/>
      <trackRevisions>false</trackRevisions>
    </reviewItem>
    <reviewItem>
      <errorID>3c980e55-cbd8-401a-9e17-f0a65689f2a1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32846290</paraID>
      <start>0</start>
      <end>2</end>
      <status>unmodified</status>
      <modifiedWord/>
      <trackRevisions>false</trackRevisions>
    </reviewItem>
    <reviewItem>
      <errorID>8f6f919c-f160-44fe-9f64-d539e8028e36</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47817FCF</paraID>
      <start>5</start>
      <end>8</end>
      <status>unmodified</status>
      <modifiedWord/>
      <trackRevisions>false</trackRevisions>
    </reviewItem>
    <reviewItem>
      <errorID>703694fa-14f3-4346-b24d-2a4aabf215d6</errorID>
      <errorWord>、</errorWord>
      <group>L1_Punc</group>
      <groupName>标点问题</groupName>
      <ability>L2_Punc_CN</ability>
      <abilityName>标点符号问题</abilityName>
      <candidateList>
        <item>.</item>
      </candidateList>
      <explain/>
      <paraID>1DC8038E</paraID>
      <start>1</start>
      <end>2</end>
      <status>unmodified</status>
      <modifiedWord/>
      <trackRevisions>false</trackRevisions>
    </reviewItem>
    <reviewItem>
      <errorID>a12768e8-1e4b-425d-afa0-347824a25f88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1DC8038E</paraID>
      <start>41</start>
      <end>42</end>
      <status>unmodified</status>
      <modifiedWord/>
      <trackRevisions>false</trackRevisions>
    </reviewItem>
    <reviewItem>
      <errorID>8bd9833d-d3c0-4d13-a93e-478018dd02cb</errorID>
      <errorWord>、</errorWord>
      <group>L1_Punc</group>
      <groupName>标点问题</groupName>
      <ability>L2_Punc_CN</ability>
      <abilityName>标点符号问题</abilityName>
      <candidateList>
        <item>.</item>
      </candidateList>
      <explain/>
      <paraID>2F0EBCF7</paraID>
      <start>1</start>
      <end>2</end>
      <status>unmodified</status>
      <modifiedWord/>
      <trackRevisions>false</trackRevisions>
    </reviewItem>
    <reviewItem>
      <errorID>393e4093-b426-4f78-a13b-bccf6c12b4d4</errorID>
      <errorWord>、</errorWord>
      <group>L1_Punc</group>
      <groupName>标点问题</groupName>
      <ability>L2_Punc_CN</ability>
      <abilityName>标点符号问题</abilityName>
      <candidateList>
        <item>.</item>
      </candidateList>
      <explain/>
      <paraID>6F970572</paraID>
      <start>1</start>
      <end>2</end>
      <status>unmodified</status>
      <modifiedWord/>
      <trackRevisions>false</trackRevisions>
    </reviewItem>
    <reviewItem>
      <errorID>7637c7f2-0323-4300-826e-1e72a7c3aef9</errorID>
      <errorWord>、</errorWord>
      <group>L1_Punc</group>
      <groupName>标点问题</groupName>
      <ability>L2_Punc_CN</ability>
      <abilityName>标点符号问题</abilityName>
      <candidateList>
        <item>.</item>
      </candidateList>
      <explain/>
      <paraID>1865AF2F</paraID>
      <start>1</start>
      <end>2</end>
      <status>unmodified</status>
      <modifiedWord/>
      <trackRevisions>false</trackRevisions>
    </reviewItem>
    <reviewItem>
      <errorID>92bd41ed-16af-42c6-9840-1d62fab5250b</errorID>
      <errorWord>【2026】18号</errorWord>
      <group>L1_Knowledge</group>
      <groupName>知识性问题</groupName>
      <ability>L2_Knowledge</ability>
      <abilityName>其他知识</abilityName>
      <candidateList>
        <item>〔2026〕18号</item>
      </candidateList>
      <explain>发文字号格式错误。</explain>
      <paraID>22D69240</paraID>
      <start>26</start>
      <end>35</end>
      <status>unmodified</status>
      <modifiedWord/>
      <trackRevisions>false</trackRevisions>
    </reviewItem>
    <reviewItem>
      <errorID>e4d9a598-0b55-459a-af1f-0222e566654d</errorID>
      <errorWord>、</errorWord>
      <group>L1_Punc</group>
      <groupName>标点问题</groupName>
      <ability>L2_Punc_CN</ability>
      <abilityName>标点符号问题</abilityName>
      <candidateList>
        <item>.</item>
      </candidateList>
      <explain/>
      <paraID>64FE3EAC</paraID>
      <start>1</start>
      <end>2</end>
      <status>unmodified</status>
      <modifiedWord/>
      <trackRevisions>false</trackRevisions>
    </reviewItem>
    <reviewItem>
      <errorID>1267a63e-db09-467e-bdd7-421f6dd7fc84</errorID>
      <errorWord>法律、法规</errorWord>
      <group>L1_Word</group>
      <groupName>字词问题</groupName>
      <ability>L2_Typo</ability>
      <abilityName>字词错误</abilityName>
      <candidateList>
        <item>法律法规</item>
      </candidateList>
      <explain/>
      <paraID>64FE3EAC</paraID>
      <start>56</start>
      <end>61</end>
      <status>unmodified</status>
      <modifiedWord/>
      <trackRevisions>false</trackRevisions>
    </reviewItem>
    <reviewItem>
      <errorID>8b6a0ce1-dca1-4391-b4f0-9b58e66589d6</errorID>
      <errorWord>、</errorWord>
      <group>L1_Punc</group>
      <groupName>标点问题</groupName>
      <ability>L2_Punc_CN</ability>
      <abilityName>标点符号问题</abilityName>
      <candidateList>
        <item>.</item>
      </candidateList>
      <explain/>
      <paraID>6C72E4FA</paraID>
      <start>1</start>
      <end>2</end>
      <status>unmodified</status>
      <modifiedWord/>
      <trackRevisions>false</trackRevisions>
    </reviewItem>
    <reviewItem>
      <errorID>b92f8ff9-3a71-496b-b85a-d553fdfff930</errorID>
      <errorWord>、</errorWord>
      <group>L1_Punc</group>
      <groupName>标点问题</groupName>
      <ability>L2_Punc_CN</ability>
      <abilityName>标点符号问题</abilityName>
      <candidateList>
        <item>.</item>
      </candidateList>
      <explain/>
      <paraID>53D27CC7</paraID>
      <start>1</start>
      <end>2</end>
      <status>unmodified</status>
      <modifiedWord/>
      <trackRevisions>false</trackRevisions>
    </reviewItem>
    <reviewItem>
      <errorID>94e3a01d-a547-4d41-9531-0fb4c885575d</errorID>
      <errorWord>(</errorWord>
      <group>L1_Format</group>
      <groupName>格式问题</groupName>
      <ability>L2_HalfPunc_CN</ability>
      <abilityName>全半角问题</abilityName>
      <candidateList>
        <item>（</item>
      </candidateList>
      <explain>文本全半角错误。</explain>
      <paraID>53D27CC7</paraID>
      <start>22</start>
      <end>23</end>
      <status>unmodified</status>
      <modifiedWord/>
      <trackRevisions>false</trackRevisions>
    </reviewItem>
    <reviewItem>
      <errorID>a9a897e0-74fa-40a4-89e6-72f662999383</errorID>
      <errorWord>)</errorWord>
      <group>L1_Format</group>
      <groupName>格式问题</groupName>
      <ability>L2_HalfPunc_CN</ability>
      <abilityName>全半角问题</abilityName>
      <candidateList>
        <item>）</item>
      </candidateList>
      <explain>文本全半角错误。</explain>
      <paraID>53D27CC7</paraID>
      <start>25</start>
      <end>26</end>
      <status>unmodified</status>
      <modifiedWord/>
      <trackRevisions>false</trackRevisions>
    </reviewItem>
    <reviewItem>
      <errorID>9550bf9b-1855-4b5b-a317-92bb0da5a845</errorID>
      <errorWord>(</errorWord>
      <group>L1_Format</group>
      <groupName>格式问题</groupName>
      <ability>L2_HalfPunc_CN</ability>
      <abilityName>全半角问题</abilityName>
      <candidateList>
        <item>（</item>
      </candidateList>
      <explain>文本全半角错误。</explain>
      <paraID>6D89FDF0</paraID>
      <start>42</start>
      <end>43</end>
      <status>unmodified</status>
      <modifiedWord/>
      <trackRevisions>false</trackRevisions>
    </reviewItem>
    <reviewItem>
      <errorID>179689a6-41ba-49ac-8d98-62c8fe4d7135</errorID>
      <errorWord>)</errorWord>
      <group>L1_Format</group>
      <groupName>格式问题</groupName>
      <ability>L2_HalfPunc_CN</ability>
      <abilityName>全半角问题</abilityName>
      <candidateList>
        <item>）</item>
      </candidateList>
      <explain>文本全半角错误。</explain>
      <paraID>6D89FDF0</paraID>
      <start>51</start>
      <end>52</end>
      <status>unmodified</status>
      <modifiedWord/>
      <trackRevisions>false</trackRevisions>
    </reviewItem>
    <reviewItem>
      <errorID>683b73ce-f3fd-446b-9eda-eeec4e611af2</errorID>
      <errorWord>(</errorWord>
      <group>L1_Format</group>
      <groupName>格式问题</groupName>
      <ability>L2_HalfPunc_CN</ability>
      <abilityName>全半角问题</abilityName>
      <candidateList>
        <item>（</item>
      </candidateList>
      <explain>文本全半角错误。</explain>
      <paraID>349ACC48</paraID>
      <start>30</start>
      <end>31</end>
      <status>unmodified</status>
      <modifiedWord/>
      <trackRevisions>false</trackRevisions>
    </reviewItem>
    <reviewItem>
      <errorID>18df16e8-a14c-4b6f-915c-a7359778c5a0</errorID>
      <errorWord>)</errorWord>
      <group>L1_Format</group>
      <groupName>格式问题</groupName>
      <ability>L2_HalfPunc_CN</ability>
      <abilityName>全半角问题</abilityName>
      <candidateList>
        <item>）</item>
      </candidateList>
      <explain>文本全半角错误。</explain>
      <paraID>349ACC48</paraID>
      <start>33</start>
      <end>34</end>
      <status>unmodified</status>
      <modifiedWord/>
      <trackRevisions>false</trackRevisions>
    </reviewItem>
    <reviewItem>
      <errorID>97beed57-2e2d-41b9-a783-478974e7c961</errorID>
      <errorWord>(</errorWord>
      <group>L1_Format</group>
      <groupName>格式问题</groupName>
      <ability>L2_HalfPunc_CN</ability>
      <abilityName>全半角问题</abilityName>
      <candidateList>
        <item>（</item>
      </candidateList>
      <explain>文本全半角错误。</explain>
      <paraID>349ACC48</paraID>
      <start>36</start>
      <end>37</end>
      <status>unmodified</status>
      <modifiedWord/>
      <trackRevisions>false</trackRevisions>
    </reviewItem>
    <reviewItem>
      <errorID>d8fe5539-784e-4acc-834f-3845267238d8</errorID>
      <errorWord>)</errorWord>
      <group>L1_Format</group>
      <groupName>格式问题</groupName>
      <ability>L2_HalfPunc_CN</ability>
      <abilityName>全半角问题</abilityName>
      <candidateList>
        <item>）</item>
      </candidateList>
      <explain>文本全半角错误。</explain>
      <paraID>349ACC48</paraID>
      <start>46</start>
      <end>47</end>
      <status>unmodified</status>
      <modifiedWord/>
      <trackRevisions>false</trackRevisions>
    </reviewItem>
    <reviewItem>
      <errorID>76987f4d-1ce4-4e21-a6db-6a03b27d647e</errorID>
      <errorWord>、</errorWord>
      <group>L1_Punc</group>
      <groupName>标点问题</groupName>
      <ability>L2_Punc_CN</ability>
      <abilityName>标点符号问题</abilityName>
      <candidateList>
        <item>.</item>
      </candidateList>
      <explain/>
      <paraID>470D5A65</paraID>
      <start>1</start>
      <end>2</end>
      <status>unmodified</status>
      <modifiedWord/>
      <trackRevisions>false</trackRevisions>
    </reviewItem>
    <reviewItem>
      <errorID>63ce0b98-33b3-4483-8ffe-12808144d4d6</errorID>
      <errorWord>、</errorWord>
      <group>L1_Punc</group>
      <groupName>标点问题</groupName>
      <ability>L2_Punc_CN</ability>
      <abilityName>标点符号问题</abilityName>
      <candidateList>
        <item>.</item>
      </candidateList>
      <explain/>
      <paraID> 16A789B</paraID>
      <start>1</start>
      <end>2</end>
      <status>unmodified</status>
      <modifiedWord/>
      <trackRevisions>false</trackRevisions>
    </reviewItem>
    <reviewItem>
      <errorID>6cb271f8-84c9-464b-a10d-b2394f701061</errorID>
      <errorWord>须留足够空间</errorWord>
      <group>L1_Word</group>
      <groupName>字词问题</groupName>
      <ability>L2_Typo</ability>
      <abilityName>字词错误</abilityName>
      <candidateList>
        <item>须保留足够空间</item>
      </candidateList>
      <explain/>
      <paraID>7A322BD4</paraID>
      <start>17</start>
      <end>23</end>
      <status>unmodified</status>
      <modifiedWord/>
      <trackRevisions>false</trackRevisions>
    </reviewItem>
    <reviewItem>
      <errorID>80625d91-dfac-4766-ae26-2d6cfcef9878</errorID>
      <errorWord>1-10万</errorWord>
      <group>L1_Knowledge</group>
      <groupName>知识性问题</groupName>
      <ability>L2_Knowledge</ability>
      <abilityName>其他知识</abilityName>
      <candidateList>
        <item>1万—10万</item>
      </candidateList>
      <explain>1. “1-10万”中的单位“万”仅出现在后一个数字上，容易引起歧义；根据《现代汉语标点符号数字用法规范手册》，数字表示范围两边需要使用统一的格式。2.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4D7B07E8</paraID>
      <start>45</start>
      <end>50</end>
      <status>unmodified</status>
      <modifiedWord/>
      <trackRevisions>false</trackRevisions>
    </reviewItem>
    <reviewItem>
      <errorID>1dc41440-70a8-4665-a30d-6cef5e982dc6</errorID>
      <errorWord>2-20万</errorWord>
      <group>L1_Knowledge</group>
      <groupName>知识性问题</groupName>
      <ability>L2_Knowledge</ability>
      <abilityName>其他知识</abilityName>
      <candidateList>
        <item>2万—20万</item>
      </candidateList>
      <explain>1. “2-20万”中的单位“万”仅出现在后一个数字上，容易引起歧义；根据《现代汉语标点符号数字用法规范手册》，数字表示范围两边需要使用统一的格式。2.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4D7B07E8</paraID>
      <start>88</start>
      <end>93</end>
      <status>unmodified</status>
      <modifiedWord/>
      <trackRevisions>false</trackRevisions>
    </reviewItem>
    <reviewItem>
      <errorID>b9a32eca-8350-43f0-a763-c53163d218b1</errorID>
      <errorWord>2-20万</errorWord>
      <group>L1_Knowledge</group>
      <groupName>知识性问题</groupName>
      <ability>L2_Knowledge</ability>
      <abilityName>其他知识</abilityName>
      <candidateList>
        <item>2万—20万</item>
      </candidateList>
      <explain>1. “2-20万”中的单位“万”仅出现在后一个数字上，容易引起歧义；根据《现代汉语标点符号数字用法规范手册》，数字表示范围两边需要使用统一的格式。2.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4D7B07E8</paraID>
      <start>125</start>
      <end>130</end>
      <status>unmodified</status>
      <modifiedWord/>
      <trackRevisions>false</trackRevisions>
    </reviewItem>
    <reviewItem>
      <errorID>f8ff2d29-44de-43f1-be5e-144e52fa11f1</errorID>
      <errorWord>5-20万</errorWord>
      <group>L1_Knowledge</group>
      <groupName>知识性问题</groupName>
      <ability>L2_Knowledge</ability>
      <abilityName>其他知识</abilityName>
      <candidateList>
        <item>5万—20万</item>
      </candidateList>
      <explain>1. “5-20万”中的单位“万”仅出现在后一个数字上，容易引起歧义；根据《现代汉语标点符号数字用法规范手册》，数字表示范围两边需要使用统一的格式。2.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4D7B07E8</paraID>
      <start>160</start>
      <end>165</end>
      <status>unmodified</status>
      <modifiedWord/>
      <trackRevisions>false</trackRevisions>
    </reviewItem>
    <reviewItem>
      <errorID>e9e8361c-96e2-4e57-afaa-d48832cb0f38</errorID>
      <errorWord>3-10万</errorWord>
      <group>L1_Knowledge</group>
      <groupName>知识性问题</groupName>
      <ability>L2_Knowledge</ability>
      <abilityName>其他知识</abilityName>
      <candidateList>
        <item>3万—10万</item>
      </candidateList>
      <explain>1. “3-10万”中的单位“万”仅出现在后一个数字上，容易引起歧义；根据《现代汉语标点符号数字用法规范手册》，数字表示范围两边需要使用统一的格式。2.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4D7B07E8</paraID>
      <start>185</start>
      <end>190</end>
      <status>unmodified</status>
      <modifiedWord/>
      <trackRevisions>false</trackRevisions>
    </reviewItem>
    <reviewItem>
      <errorID>448c499a-f240-4d2e-ada0-2c2899316edf</errorID>
      <errorWord>3-10万</errorWord>
      <group>L1_Knowledge</group>
      <groupName>知识性问题</groupName>
      <ability>L2_Knowledge</ability>
      <abilityName>其他知识</abilityName>
      <candidateList>
        <item>3万—10万</item>
      </candidateList>
      <explain>1. “3-10万”中的单位“万”仅出现在后一个数字上，容易引起歧义；根据《现代汉语标点符号数字用法规范手册》，数字表示范围两边需要使用统一的格式。2.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4D7B07E8</paraID>
      <start>228</start>
      <end>233</end>
      <status>unmodified</status>
      <modifiedWord/>
      <trackRevisions>false</trackRevisions>
    </reviewItem>
    <reviewItem>
      <errorID>e1821fab-435e-4a38-bf28-e52170f814d3</errorID>
      <errorWord>3-10万</errorWord>
      <group>L1_Knowledge</group>
      <groupName>知识性问题</groupName>
      <ability>L2_Knowledge</ability>
      <abilityName>其他知识</abilityName>
      <candidateList>
        <item>3万—10万</item>
      </candidateList>
      <explain>1. “3-10万”中的单位“万”仅出现在后一个数字上，容易引起歧义；根据《现代汉语标点符号数字用法规范手册》，数字表示范围两边需要使用统一的格式。2.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4D7B07E8</paraID>
      <start>271</start>
      <end>276</end>
      <status>unmodified</status>
      <modifiedWord/>
      <trackRevisions>false</trackRevisions>
    </reviewItem>
    <reviewItem>
      <errorID>4a49781c-c23a-4384-9ef9-6d05682fd3f2</errorID>
      <errorWord>3-10万</errorWord>
      <group>L1_Knowledge</group>
      <groupName>知识性问题</groupName>
      <ability>L2_Knowledge</ability>
      <abilityName>其他知识</abilityName>
      <candidateList>
        <item>3万—10万</item>
      </candidateList>
      <explain>1. “3-10万”中的单位“万”仅出现在后一个数字上，容易引起歧义；根据《现代汉语标点符号数字用法规范手册》，数字表示范围两边需要使用统一的格式。2.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4D7B07E8</paraID>
      <start>298</start>
      <end>303</end>
      <status>unmodified</status>
      <modifiedWord/>
      <trackRevisions>false</trackRevisions>
    </reviewItem>
    <reviewItem>
      <errorID>252d847f-3667-404f-b8cc-feb35f4e85f2</errorID>
      <errorWord>3-10万</errorWord>
      <group>L1_Knowledge</group>
      <groupName>知识性问题</groupName>
      <ability>L2_Knowledge</ability>
      <abilityName>其他知识</abilityName>
      <candidateList>
        <item>3万—10万</item>
      </candidateList>
      <explain>1. “3-10万”中的单位“万”仅出现在后一个数字上，容易引起歧义；根据《现代汉语标点符号数字用法规范手册》，数字表示范围两边需要使用统一的格式。2.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4D7B07E8</paraID>
      <start>328</start>
      <end>333</end>
      <status>unmodified</status>
      <modifiedWord/>
      <trackRevisions>false</trackRevisions>
    </reviewItem>
    <reviewItem>
      <errorID>cc812ca6-108f-4cdb-9d9d-7c58b7903253</errorID>
      <errorWord>(</errorWord>
      <group>L1_Format</group>
      <groupName>格式问题</groupName>
      <ability>L2_HalfPunc_CN</ability>
      <abilityName>全半角问题</abilityName>
      <candidateList>
        <item>（</item>
      </candidateList>
      <explain>文本全半角错误。</explain>
      <paraID>5C30CDF3</paraID>
      <start>62</start>
      <end>63</end>
      <status>unmodified</status>
      <modifiedWord/>
      <trackRevisions>false</trackRevisions>
    </reviewItem>
    <reviewItem>
      <errorID>46e9b015-5e7f-4f87-9cee-43567c818e56</errorID>
      <errorWord>)</errorWord>
      <group>L1_Format</group>
      <groupName>格式问题</groupName>
      <ability>L2_HalfPunc_CN</ability>
      <abilityName>全半角问题</abilityName>
      <candidateList>
        <item>）</item>
      </candidateList>
      <explain>文本全半角错误。</explain>
      <paraID>5C30CDF3</paraID>
      <start>75</start>
      <end>76</end>
      <status>unmodified</status>
      <modifiedWord/>
      <trackRevisions>false</trackRevisions>
    </reviewItem>
    <reviewItem>
      <errorID>a6260236-d5c4-4ef5-8eac-21892b8dcb24</errorID>
      <errorWord>一下</errorWord>
      <group>L1_Word</group>
      <groupName>字词问题</groupName>
      <ability>L2_Typo</ability>
      <abilityName>字词错误</abilityName>
      <candidateList>
        <item>以下</item>
      </candidateList>
      <explain/>
      <paraID>5C30CDF3</paraID>
      <start>91</start>
      <end>93</end>
      <status>unmodified</status>
      <modifiedWord/>
      <trackRevisions>false</trackRevisions>
    </reviewItem>
    <reviewItem>
      <errorID>bd43f86f-a6e6-4316-8fdb-a4d01d613f56</errorID>
      <errorWord>、</errorWord>
      <group>L1_Punc</group>
      <groupName>标点问题</groupName>
      <ability>L2_Punc_CN</ability>
      <abilityName>标点符号问题</abilityName>
      <candidateList>
        <item>.</item>
      </candidateList>
      <explain/>
      <paraID>7E14D268</paraID>
      <start>1</start>
      <end>2</end>
      <status>unmodified</status>
      <modifiedWord/>
      <trackRevisions>false</trackRevisions>
    </reviewItem>
    <reviewItem>
      <errorID>f9155843-e41b-4f08-983d-0c43207e9798</errorID>
      <errorWord>、</errorWord>
      <group>L1_Punc</group>
      <groupName>标点问题</groupName>
      <ability>L2_Punc_CN</ability>
      <abilityName>标点符号问题</abilityName>
      <candidateList>
        <item>.</item>
      </candidateList>
      <explain/>
      <paraID>29E889E7</paraID>
      <start>1</start>
      <end>2</end>
      <status>unmodified</status>
      <modifiedWord/>
      <trackRevisions>false</trackRevisions>
    </reviewItem>
    <reviewItem>
      <errorID>7ef930aa-8a8b-4f78-8f81-04517794751a</errorID>
      <errorWord>各个</errorWord>
      <group>L1_Word</group>
      <groupName>字词问题</groupName>
      <ability>L2_Typo</ability>
      <abilityName>字词错误</abilityName>
      <candidateList>
        <item>各</item>
      </candidateList>
      <explain/>
      <paraID>3168105D</paraID>
      <start>14</start>
      <end>16</end>
      <status>unmodified</status>
      <modifiedWord/>
      <trackRevisions>false</trackRevisions>
    </reviewItem>
    <reviewItem>
      <errorID>644e2b6f-a928-4457-bcd5-8938d0d631f1</errorID>
      <errorWord>负</errorWord>
      <group>L1_Word</group>
      <groupName>字词问题</groupName>
      <ability>L2_Typo</ability>
      <abilityName>字词错误</abilityName>
      <candidateList>
        <item>负有</item>
      </candidateList>
      <explain/>
      <paraID> 1294ED5</paraID>
      <start>36</start>
      <end>37</end>
      <status>unmodified</status>
      <modifiedWord/>
      <trackRevisions>false</trackRevisions>
    </reviewItem>
    <reviewItem>
      <errorID>90e1dc74-9c84-428b-abcd-b695927e2aae</errorID>
      <errorWord>须</errorWord>
      <group>L1_Word</group>
      <groupName>字词问题</groupName>
      <ability>L2_Typo</ability>
      <abilityName>字词错误</abilityName>
      <candidateList>
        <item>须保</item>
      </candidateList>
      <explain/>
      <paraID>7BCFC89E</paraID>
      <start>17</start>
      <end>18</end>
      <status>unmodified</status>
      <modifiedWord/>
      <trackRevisions>false</trackRevisions>
    </reviewItem>
    <reviewItem>
      <errorID>08347fd6-fda5-45d7-a471-be11a8899932</errorID>
      <errorWord>程</errorWord>
      <group>L1_Word</group>
      <groupName>字词问题</groupName>
      <ability>L2_Typo</ability>
      <abilityName>字词错误</abilityName>
      <candidateList>
        <item>程中</item>
      </candidateList>
      <explain/>
      <paraID>12B026C6</paraID>
      <start>8</start>
      <end>9</end>
      <status>unmodified</status>
      <modifiedWord/>
      <trackRevisions>false</trackRevisions>
    </reviewItem>
    <reviewItem>
      <errorID>c8d28e94-3427-438e-9198-6f225bf0782c</errorID>
      <errorWord>作</errorWord>
      <group>L1_Word</group>
      <groupName>字词问题</groupName>
      <ability>L2_Typo</ability>
      <abilityName>字词错误</abilityName>
      <candidateList>
        <item>做</item>
      </candidateList>
      <explain>存在发音相同字词的误用。</explain>
      <paraID>22435B9B</paraID>
      <start>31</start>
      <end>32</end>
      <status>unmodified</status>
      <modifiedWord/>
      <trackRevisions>false</trackRevisions>
    </reviewItem>
    <reviewItem>
      <errorID>0a9f41a4-ace8-4ec0-a3d9-7357b406a46f</errorID>
      <errorWord>的</errorWord>
      <group>L1_Word</group>
      <groupName>字词问题</groupName>
      <ability>L2_DDD</ability>
      <abilityName>的地得用法</abilityName>
      <candidateList>
        <item>地</item>
      </candidateList>
      <explain/>
      <paraID>22CC69EC</paraID>
      <start>185</start>
      <end>186</end>
      <status>unmodified</status>
      <modifiedWord/>
      <trackRevisions>false</trackRevisions>
    </reviewItem>
    <reviewItem>
      <errorID>a3a32356-91a9-4d9b-ada1-caad0643ab46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103399AE</paraID>
      <start>0</start>
      <end>2</end>
      <status>unmodified</status>
      <modifiedWord/>
      <trackRevisions>false</trackRevisions>
    </reviewItem>
    <reviewItem>
      <errorID>925be085-5074-495d-ad4b-0ec67cc96318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4884BA21</paraID>
      <start>0</start>
      <end>2</end>
      <status>unmodified</status>
      <modifiedWord/>
      <trackRevisions>false</trackRevisions>
    </reviewItem>
    <reviewItem>
      <errorID>8ea37e60-349e-4639-85d4-aff89fad5007</errorID>
      <errorWord>、</errorWord>
      <group>L1_Punc</group>
      <groupName>标点问题</groupName>
      <ability>L2_Punc_CN</ability>
      <abilityName>标点符号问题</abilityName>
      <candidateList>
        <item>.</item>
      </candidateList>
      <explain/>
      <paraID>465D1CED</paraID>
      <start>1</start>
      <end>2</end>
      <status>unmodified</status>
      <modifiedWord/>
      <trackRevisions>false</trackRevisions>
    </reviewItem>
    <reviewItem>
      <errorID>85f5920f-31c6-4769-8d42-ec870f36806e</errorID>
      <errorWord>其它</errorWord>
      <group>L1_Word</group>
      <groupName>字词问题</groupName>
      <ability>L2_Alias</ability>
      <abilityName>也作/曾用词</abilityName>
      <candidateList>
        <item>其他</item>
      </candidateList>
      <explain>词汇[其它]为不规范表述或旧称，其规范书面表述为[其他]。</explain>
      <paraID>465D1CED</paraID>
      <start>7</start>
      <end>9</end>
      <status>unmodified</status>
      <modifiedWord/>
      <trackRevisions>false</trackRevisions>
    </reviewItem>
    <reviewItem>
      <errorID>ddfc3c61-9357-4b8b-b25b-344945bd1fb8</errorID>
      <errorWord>、</errorWord>
      <group>L1_Punc</group>
      <groupName>标点问题</groupName>
      <ability>L2_Punc_CN</ability>
      <abilityName>标点符号问题</abilityName>
      <candidateList>
        <item>.</item>
      </candidateList>
      <explain/>
      <paraID>4922A4F6</paraID>
      <start>1</start>
      <end>2</end>
      <status>unmodified</status>
      <modifiedWord/>
      <trackRevisions>false</trackRevisions>
    </reviewItem>
    <reviewItem>
      <errorID>3fd433ec-778a-438b-960b-2b14e2d8b6ac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4922A4F6</paraID>
      <start>46</start>
      <end>47</end>
      <status>unmodified</status>
      <modifiedWord/>
      <trackRevisions>false</trackRevisions>
    </reviewItem>
    <reviewItem>
      <errorID>2a077b90-cda0-4c43-b40a-0c1421e707d2</errorID>
      <errorWord>、</errorWord>
      <group>L1_Punc</group>
      <groupName>标点问题</groupName>
      <ability>L2_Punc_CN</ability>
      <abilityName>标点符号问题</abilityName>
      <candidateList>
        <item>.</item>
      </candidateList>
      <explain/>
      <paraID>17C7E06D</paraID>
      <start>1</start>
      <end>2</end>
      <status>unmodified</status>
      <modifiedWord/>
      <trackRevisions>false</trackRevisions>
    </reviewItem>
    <reviewItem>
      <errorID>0ce89b6f-7373-476c-85a6-a09d196b7122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17C7E06D</paraID>
      <start>88</start>
      <end>89</end>
      <status>unmodified</status>
      <modifiedWord/>
      <trackRevisions>false</trackRevisions>
    </reviewItem>
    <reviewItem>
      <errorID>418a6052-f16b-410c-85b6-5a96d262a500</errorID>
      <errorWord>、</errorWord>
      <group>L1_Punc</group>
      <groupName>标点问题</groupName>
      <ability>L2_Punc_CN</ability>
      <abilityName>标点符号问题</abilityName>
      <candidateList>
        <item>.</item>
      </candidateList>
      <explain/>
      <paraID>1C2E5078</paraID>
      <start>1</start>
      <end>2</end>
      <status>unmodified</status>
      <modifiedWord/>
      <trackRevisions>false</trackRevisions>
    </reviewItem>
    <reviewItem>
      <errorID>b61348a2-e75b-486a-aeea-0127650de820</errorID>
      <errorWord>、</errorWord>
      <group>L1_Punc</group>
      <groupName>标点问题</groupName>
      <ability>L2_Punc_CN</ability>
      <abilityName>标点符号问题</abilityName>
      <candidateList>
        <item>.</item>
      </candidateList>
      <explain/>
      <paraID>1D6CBB76</paraID>
      <start>1</start>
      <end>2</end>
      <status>unmodified</status>
      <modifiedWord/>
      <trackRevisions>false</trackRevisions>
    </reviewItem>
    <reviewItem>
      <errorID>588e3f84-a3fa-447c-9a73-eb57ffc87b36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4E1CC</paraID>
      <start>0</start>
      <end>2</end>
      <status>unmodified</status>
      <modifiedWord/>
      <trackRevisions>false</trackRevisions>
    </reviewItem>
    <reviewItem>
      <errorID>f376d49a-a57b-4388-8d4f-67ba0f9da1d7</errorID>
      <errorWord>程</errorWord>
      <group>L1_Word</group>
      <groupName>字词问题</groupName>
      <ability>L2_Typo</ability>
      <abilityName>字词错误</abilityName>
      <candidateList>
        <item>程中</item>
      </candidateList>
      <explain/>
      <paraID>1DA42A28</paraID>
      <start>36</start>
      <end>37</end>
      <status>unmodified</status>
      <modifiedWord/>
      <trackRevisions>false</trackRevisions>
    </reviewItem>
    <reviewItem>
      <errorID>6f3a3a05-fd21-47da-9153-446122b34342</errorID>
      <errorWord>；</errorWord>
      <group>L1_Format</group>
      <groupName>格式问题</groupName>
      <ability>L2_HalfPunc_CN</ability>
      <abilityName>全半角问题</abilityName>
      <candidateList>
        <item>; </item>
      </candidateList>
      <explain>文本全半角错误。</explain>
      <paraID>1306518A</paraID>
      <start>15</start>
      <end>16</end>
      <status>unmodified</status>
      <modifiedWord/>
      <trackRevisions>false</trackRevisions>
    </reviewItem>
    <reviewItem>
      <errorID>8828811a-20da-4c15-88af-1e916b8537b6</errorID>
      <errorWord>～</errorWord>
      <group>L1_Format</group>
      <groupName>格式问题</groupName>
      <ability>L2_HalfPunc_CN</ability>
      <abilityName>全半角问题</abilityName>
      <candidateList>
        <item>~</item>
      </candidateList>
      <explain>文本全半角错误。</explain>
      <paraID>3B34C4C6</paraID>
      <start>3</start>
      <end>4</end>
      <status>unmodified</status>
      <modifiedWord/>
      <trackRevisions>false</trackRevisions>
    </reviewItem>
    <reviewItem>
      <errorID>5b1ae716-3ea2-46a5-81d4-930c724ace05</errorID>
      <errorWord>＜</errorWord>
      <group>L1_Format</group>
      <groupName>格式问题</groupName>
      <ability>L2_HalfPunc_CN</ability>
      <abilityName>全半角问题</abilityName>
      <candidateList>
        <item>&lt;</item>
      </candidateList>
      <explain>文本全半角错误。</explain>
      <paraID>16A343F8</paraID>
      <start>0</start>
      <end>1</end>
      <status>unmodified</status>
      <modifiedWord/>
      <trackRevisions>false</trackRevisions>
    </reviewItem>
    <reviewItem>
      <errorID>c061a504-e50d-4681-b8f5-696a5516cd4c</errorID>
      <errorWord>kpa</errorWord>
      <group>L1_English</group>
      <groupName>英文问题</groupName>
      <ability>L2_Case</ability>
      <abilityName>大小写问题</abilityName>
      <candidateList>
        <item>kPa</item>
      </candidateList>
      <explain>疑似单词大小写错误，建议将kpa修改为kPa</explain>
      <paraID>38A9F7D3</paraID>
      <start>6</start>
      <end>9</end>
      <status>unmodified</status>
      <modifiedWord/>
      <trackRevisions>false</trackRevisions>
    </reviewItem>
    <reviewItem>
      <errorID>fb36a90a-6aba-409d-9e1f-079453589010</errorID>
      <errorWord>（</errorWord>
      <group>L1_Format</group>
      <groupName>格式问题</groupName>
      <ability>L2_HalfPunc_CN</ability>
      <abilityName>全半角问题</abilityName>
      <candidateList>
        <item>(</item>
      </candidateList>
      <explain>文本全半角错误。</explain>
      <paraID> A1EDEFD</paraID>
      <start>4</start>
      <end>5</end>
      <status>unmodified</status>
      <modifiedWord/>
      <trackRevisions>false</trackRevisions>
    </reviewItem>
    <reviewItem>
      <errorID>5dfcad0f-c885-4f19-a831-85988d4b9073</errorID>
      <errorWord>）</errorWord>
      <group>L1_Format</group>
      <groupName>格式问题</groupName>
      <ability>L2_HalfPunc_CN</ability>
      <abilityName>全半角问题</abilityName>
      <candidateList>
        <item>)</item>
      </candidateList>
      <explain>文本全半角错误。</explain>
      <paraID> A1EDEFD</paraID>
      <start>10</start>
      <end>11</end>
      <status>unmodified</status>
      <modifiedWord/>
      <trackRevisions>false</trackRevisions>
    </reviewItem>
    <reviewItem>
      <errorID>13f59d77-1ef5-4550-ac2c-ed836b139c3c</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680EC99C</paraID>
      <start>71</start>
      <end>74</end>
      <status>unmodified</status>
      <modifiedWord/>
      <trackRevisions>false</trackRevisions>
    </reviewItem>
    <reviewItem>
      <errorID>5a554816-670b-4877-a57b-d2665091f619</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324B77D3</paraID>
      <start>9</start>
      <end>12</end>
      <status>unmodified</status>
      <modifiedWord/>
      <trackRevisions>false</trackRevisions>
    </reviewItem>
    <reviewItem>
      <errorID>3de3a332-dedb-4dc6-aea5-7433e869b156</errorID>
      <errorWord>其它</errorWord>
      <group>L1_Word</group>
      <groupName>字词问题</groupName>
      <ability>L2_Alias</ability>
      <abilityName>也作/曾用词</abilityName>
      <candidateList>
        <item>其他</item>
      </candidateList>
      <explain>词汇[其它]为不规范表述或旧称，其规范书面表述为[其他]。</explain>
      <paraID>2B35EA8F</paraID>
      <start>107</start>
      <end>109</end>
      <status>unmodified</status>
      <modifiedWord/>
      <trackRevisions>false</trackRevisions>
    </reviewItem>
    <reviewItem>
      <errorID>b57b3852-c38c-4b02-83a6-9f394e84d5d5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46A2AB21</paraID>
      <start>0</start>
      <end>2</end>
      <status>unmodified</status>
      <modifiedWord/>
      <trackRevisions>false</trackRevisions>
    </reviewItem>
    <reviewItem>
      <errorID>4383b8b4-c05f-404d-8b65-3030886e63c9</errorID>
      <errorWord>（</errorWord>
      <group>L1_Format</group>
      <groupName>格式问题</groupName>
      <ability>L2_HalfPunc_CN</ability>
      <abilityName>全半角问题</abilityName>
      <candidateList>
        <item>(</item>
      </candidateList>
      <explain>文本全半角错误。</explain>
      <paraID>410C902C</paraID>
      <start>6</start>
      <end>7</end>
      <status>unmodified</status>
      <modifiedWord/>
      <trackRevisions>false</trackRevisions>
    </reviewItem>
    <reviewItem>
      <errorID>e7189ac5-a392-47ec-8003-0cb8938daae8</errorID>
      <errorWord>）</errorWord>
      <group>L1_Format</group>
      <groupName>格式问题</groupName>
      <ability>L2_HalfPunc_CN</ability>
      <abilityName>全半角问题</abilityName>
      <candidateList>
        <item>)</item>
      </candidateList>
      <explain>文本全半角错误。</explain>
      <paraID>410C902C</paraID>
      <start>10</start>
      <end>11</end>
      <status>unmodified</status>
      <modifiedWord/>
      <trackRevisions>false</trackRevisions>
    </reviewItem>
    <reviewItem>
      <errorID>82b3b885-c5d1-4e00-9a54-4798ea41adf4</errorID>
      <errorWord>，...，</errorWord>
      <group>L1_Punc</group>
      <groupName>标点问题</groupName>
      <ability>L2_Punc_CN</ability>
      <abilityName>标点符号问题</abilityName>
      <candidateList>
        <item>，</item>
      </candidateList>
      <explain/>
      <paraID>79CFD399</paraID>
      <start>8</start>
      <end>13</end>
      <status>unmodified</status>
      <modifiedWord/>
      <trackRevisions>false</trackRevisions>
    </reviewItem>
    <reviewItem>
      <errorID>babc144f-c643-46b0-a3ba-8cbdbe424eed</errorID>
      <errorWord>，...，</errorWord>
      <group>L1_Punc</group>
      <groupName>标点问题</groupName>
      <ability>L2_Punc_CN</ability>
      <abilityName>标点符号问题</abilityName>
      <candidateList>
        <item>，</item>
      </candidateList>
      <explain/>
      <paraID>38662DDE</paraID>
      <start>5</start>
      <end>10</end>
      <status>unmodified</status>
      <modifiedWord/>
      <trackRevisions>false</trackRevisions>
    </reviewItem>
    <reviewItem>
      <errorID>70164c43-81a0-4ac0-ad5a-5db8d6664ea5</errorID>
      <errorWord>（</errorWord>
      <group>L1_Format</group>
      <groupName>格式问题</groupName>
      <ability>L2_HalfPunc_CN</ability>
      <abilityName>全半角问题</abilityName>
      <candidateList>
        <item>(</item>
      </candidateList>
      <explain>文本全半角错误。</explain>
      <paraID>4B4C1523</paraID>
      <start>1</start>
      <end>2</end>
      <status>unmodified</status>
      <modifiedWord/>
      <trackRevisions>false</trackRevisions>
    </reviewItem>
    <reviewItem>
      <errorID>d8f61106-ecfa-4231-b24c-90ef65126e8b</errorID>
      <errorWord>）</errorWord>
      <group>L1_Format</group>
      <groupName>格式问题</groupName>
      <ability>L2_HalfPunc_CN</ability>
      <abilityName>全半角问题</abilityName>
      <candidateList>
        <item>)</item>
      </candidateList>
      <explain>文本全半角错误。</explain>
      <paraID>4B4C1523</paraID>
      <start>3</start>
      <end>4</end>
      <status>unmodified</status>
      <modifiedWord/>
      <trackRevisions>false</trackRevisions>
    </reviewItem>
    <reviewItem>
      <errorID>ff82d14f-3fa2-4d5d-b66b-1759efa78d66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79514BD7</paraID>
      <start>0</start>
      <end>2</end>
      <status>unmodified</status>
      <modifiedWord/>
      <trackRevisions>false</trackRevisions>
    </reviewItem>
    <reviewItem>
      <errorID>d4be2ce5-0127-4a6d-adc1-27ee49d431f4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5C0DFCF0</paraID>
      <start>0</start>
      <end>2</end>
      <status>unmodified</status>
      <modifiedWord/>
      <trackRevisions>false</trackRevisions>
    </reviewItem>
    <reviewItem>
      <errorID>a9eafcf9-cc73-425c-b4c7-c1de1b8798a0</errorID>
      <errorWord>本</errorWord>
      <group>L1_Word</group>
      <groupName>字词问题</groupName>
      <ability>L2_Typo</ability>
      <abilityName>字词错误</abilityName>
      <candidateList>
        <item>本次</item>
      </candidateList>
      <explain/>
      <paraID>5B147DDD</paraID>
      <start>0</start>
      <end>1</end>
      <status>unmodified</status>
      <modifiedWord/>
      <trackRevisions>false</trackRevisions>
    </reviewItem>
    <reviewItem>
      <errorID>482892f6-8ab2-46b5-a31e-c931dfeaaa41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498C01CB</paraID>
      <start>0</start>
      <end>2</end>
      <status>unmodified</status>
      <modifiedWord/>
      <trackRevisions>false</trackRevisions>
    </reviewItem>
    <reviewItem>
      <errorID>7dc787dc-90e2-4766-a34b-c347e11ae3ef</errorID>
      <errorWord>出现可</errorWord>
      <group>L1_Word</group>
      <groupName>字词问题</groupName>
      <ability>L2_Typo</ability>
      <abilityName>字词错误</abilityName>
      <candidateList>
        <item>出现</item>
      </candidateList>
      <explain/>
      <paraID>2A4742DC</paraID>
      <start>69</start>
      <end>72</end>
      <status>unmodified</status>
      <modifiedWord/>
      <trackRevisions>false</trackRevisions>
    </reviewItem>
    <reviewItem>
      <errorID>8614b0c0-2dca-4384-b401-d9a86e7bddd9</errorID>
      <errorWord>应发</errorWord>
      <group>L1_Word</group>
      <groupName>字词问题</groupName>
      <ability>L2_Typo</ability>
      <abilityName>字词错误</abilityName>
      <candidateList>
        <item>引发</item>
      </candidateList>
      <explain/>
      <paraID>2A4742DC</paraID>
      <start>103</start>
      <end>105</end>
      <status>unmodified</status>
      <modifiedWord/>
      <trackRevisions>false</trackRevisions>
    </reviewItem>
    <reviewItem>
      <errorID>8af0f705-3a4f-4709-963f-a4a2a4118032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2363B29C</paraID>
      <start>0</start>
      <end>2</end>
      <status>unmodified</status>
      <modifiedWord/>
      <trackRevisions>false</trackRevisions>
    </reviewItem>
    <reviewItem>
      <errorID>38a31c63-f704-4e04-9f38-89198f431b85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5CB2F643</paraID>
      <start>0</start>
      <end>2</end>
      <status>unmodified</status>
      <modifiedWord/>
      <trackRevisions>false</trackRevisions>
    </reviewItem>
    <reviewItem>
      <errorID>3a425258-af58-47c1-9d91-772d76d8ca0d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66577803</paraID>
      <start>0</start>
      <end>2</end>
      <status>unmodified</status>
      <modifiedWord/>
      <trackRevisions>false</trackRevisions>
    </reviewItem>
    <reviewItem>
      <errorID>6c711ad2-05b5-4bac-8ed0-898f9e798e86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16C2C59F</paraID>
      <start>0</start>
      <end>2</end>
      <status>unmodified</status>
      <modifiedWord/>
      <trackRevisions>false</trackRevisions>
    </reviewItem>
    <reviewItem>
      <errorID>1c2b3914-b6ff-4002-876a-52610f53c73b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438A850C</paraID>
      <start>0</start>
      <end>2</end>
      <status>unmodified</status>
      <modifiedWord/>
      <trackRevisions>false</trackRevisions>
    </reviewItem>
    <reviewItem>
      <errorID>00a9f14c-c195-453a-8e08-8abd01da098c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B64063E</paraID>
      <start>0</start>
      <end>2</end>
      <status>unmodified</status>
      <modifiedWord/>
      <trackRevisions>false</trackRevisions>
    </reviewItem>
    <reviewItem>
      <errorID>6cd7f685-f886-4abd-b445-1aa6fc8cbf5c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7E64AC82</paraID>
      <start>0</start>
      <end>2</end>
      <status>unmodified</status>
      <modifiedWord/>
      <trackRevisions>false</trackRevisions>
    </reviewItem>
    <reviewItem>
      <errorID>ae763184-cd82-4dca-b6ba-5204a5b19612</errorID>
      <errorWord>提高</errorWord>
      <group>L1_Grammar</group>
      <groupName>语法问题</groupName>
      <ability>L2_Grammar</ability>
      <abilityName>语法错误</abilityName>
      <candidateList>
        <item>增强</item>
      </candidateList>
      <explain>“提高～意识”搭配不当，建议修改为“增强～意识”。</explain>
      <paraID>73402157</paraID>
      <start>16</start>
      <end>18</end>
      <status>unmodified</status>
      <modifiedWord/>
      <trackRevisions>false</trackRevisions>
    </reviewItem>
    <reviewItem>
      <errorID>029bb791-ecac-4fc7-b1fa-0f601361daae</errorID>
      <errorWord>、</errorWord>
      <group>L1_Punc</group>
      <groupName>标点问题</groupName>
      <ability>L2_Punc_CN</ability>
      <abilityName>标点符号问题</abilityName>
      <candidateList>
        <item>.</item>
      </candidateList>
      <explain/>
      <paraID>1B4E752F</paraID>
      <start>1</start>
      <end>2</end>
      <status>unmodified</status>
      <modifiedWord/>
      <trackRevisions>false</trackRevisions>
    </reviewItem>
    <reviewItem>
      <errorID>4a2ae6a1-0180-42ed-ab52-7163e40cc740</errorID>
      <errorWord>、</errorWord>
      <group>L1_Punc</group>
      <groupName>标点问题</groupName>
      <ability>L2_Punc_CN</ability>
      <abilityName>标点符号问题</abilityName>
      <candidateList>
        <item>.</item>
      </candidateList>
      <explain/>
      <paraID>3701B7FB</paraID>
      <start>1</start>
      <end>2</end>
      <status>unmodified</status>
      <modifiedWord/>
      <trackRevisions>false</trackRevisions>
    </reviewItem>
    <reviewItem>
      <errorID>df85dd39-632a-4bdd-b174-24d70e3e559f</errorID>
      <errorWord>连锁效应</errorWord>
      <group>L1_Knowledge</group>
      <groupName>知识性问题</groupName>
      <ability>L2_Idiom</ability>
      <abilityName>成语和诗歌</abilityName>
      <candidateList>
        <item>连锁反应</item>
      </candidateList>
      <explain/>
      <paraID>3701B7FB</paraID>
      <start>46</start>
      <end>50</end>
      <status>unmodified</status>
      <modifiedWord/>
      <trackRevisions>false</trackRevisions>
    </reviewItem>
    <reviewItem>
      <errorID>2c7ab1fe-6885-4240-b17f-e31f44f0a11b</errorID>
      <errorWord>、</errorWord>
      <group>L1_Punc</group>
      <groupName>标点问题</groupName>
      <ability>L2_Punc_CN</ability>
      <abilityName>标点符号问题</abilityName>
      <candidateList>
        <item>.</item>
      </candidateList>
      <explain/>
      <paraID>35172269</paraID>
      <start>1</start>
      <end>2</end>
      <status>unmodified</status>
      <modifiedWord/>
      <trackRevisions>false</trackRevisions>
    </reviewItem>
    <reviewItem>
      <errorID>dbf520f9-6590-4685-9c2c-28fa5a65042d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21AFEC42</paraID>
      <start>139</start>
      <end>140</end>
      <status>unmodified</status>
      <modifiedWord/>
      <trackRevisions>false</trackRevisions>
    </reviewItem>
    <reviewItem>
      <errorID>f67f4e6d-7f61-4884-87e3-8ef5939cbc3d</errorID>
      <errorWord>《云南省企业单位突发环境事件应急预案指导目录和编制要点》（试行）</errorWord>
      <group>L1_Knowledge</group>
      <groupName>知识性问题</groupName>
      <ability>L2_Knowledge</ability>
      <abilityName>其他知识</abilityName>
      <candidateList>
        <item>《云南省企业单位突发环境事件应急预案指导目录和编制要点（试行）》</item>
      </candidateList>
      <explain>疑似政策文件、法律法规名称等书写不规范，请注意检查。</explain>
      <paraID>21AFEC42</paraID>
      <start>183</start>
      <end>215</end>
      <status>unmodified</status>
      <modifiedWord/>
      <trackRevisions>false</trackRevisions>
    </reviewItem>
    <reviewItem>
      <errorID>4371387d-c443-4eb5-961f-f7a0712ae0b1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34D01C94</paraID>
      <start>0</start>
      <end>2</end>
      <status>unmodified</status>
      <modifiedWord/>
      <trackRevisions>false</trackRevisions>
    </reviewItem>
    <reviewItem>
      <errorID>f64d0af8-5784-474f-9be4-79f00c723217</errorID>
      <errorWord>(</errorWord>
      <group>L1_Format</group>
      <groupName>格式问题</groupName>
      <ability>L2_HalfPunc_CN</ability>
      <abilityName>全半角问题</abilityName>
      <candidateList>
        <item>（</item>
      </candidateList>
      <explain>文本全半角错误。</explain>
      <paraID>1EA34EB2</paraID>
      <start>3</start>
      <end>4</end>
      <status>unmodified</status>
      <modifiedWord/>
      <trackRevisions>false</trackRevisions>
    </reviewItem>
    <reviewItem>
      <errorID>e82f63a6-3ff9-4b2f-8885-e5908a7b0454</errorID>
      <errorWord>)</errorWord>
      <group>L1_Format</group>
      <groupName>格式问题</groupName>
      <ability>L2_HalfPunc_CN</ability>
      <abilityName>全半角问题</abilityName>
      <candidateList>
        <item>）</item>
      </candidateList>
      <explain>文本全半角错误。</explain>
      <paraID>7589669E</paraID>
      <start>2</start>
      <end>3</end>
      <status>unmodified</status>
      <modifiedWord/>
      <trackRevisions>false</trackRevisions>
    </reviewItem>
    <reviewItem>
      <errorID>048cc456-024a-4966-bc29-96a0b234520a</errorID>
      <errorWord>(</errorWord>
      <group>L1_Format</group>
      <groupName>格式问题</groupName>
      <ability>L2_HalfPunc_CN</ability>
      <abilityName>全半角问题</abilityName>
      <candidateList>
        <item>（</item>
      </candidateList>
      <explain>文本全半角错误。</explain>
      <paraID>6FBBCF67</paraID>
      <start>13</start>
      <end>14</end>
      <status>unmodified</status>
      <modifiedWord/>
      <trackRevisions>false</trackRevisions>
    </reviewItem>
    <reviewItem>
      <errorID>aa6afaf2-1d7e-476a-b4f8-50d1af9def5b</errorID>
      <errorWord>)</errorWord>
      <group>L1_Format</group>
      <groupName>格式问题</groupName>
      <ability>L2_HalfPunc_CN</ability>
      <abilityName>全半角问题</abilityName>
      <candidateList>
        <item>）</item>
      </candidateList>
      <explain>文本全半角错误。</explain>
      <paraID>6FBBCF67</paraID>
      <start>24</start>
      <end>25</end>
      <status>unmodified</status>
      <modifiedWord/>
      <trackRevisions>false</trackRevisions>
    </reviewItem>
    <reviewItem>
      <errorID>51ed6cc2-959c-4c92-a127-b358c32760dc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117A0C27</paraID>
      <start>49</start>
      <end>50</end>
      <status>unmodified</status>
      <modifiedWord/>
      <trackRevisions>false</trackRevisions>
    </reviewItem>
    <reviewItem>
      <errorID>039f5001-10df-4891-bb38-4ba9f217f2a6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6B71D7F6</paraID>
      <start>24</start>
      <end>25</end>
      <status>unmodified</status>
      <modifiedWord/>
      <trackRevisions>false</trackRevisions>
    </reviewItem>
    <reviewItem>
      <errorID>003ba29c-4606-45d5-b4b6-828ad5421bd4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6BBA1D86</paraID>
      <start>0</start>
      <end>2</end>
      <status>unmodified</status>
      <modifiedWord/>
      <trackRevisions>false</trackRevisions>
    </reviewItem>
    <reviewItem>
      <errorID>cfdb35b5-7b82-45dd-8fff-092bec988c01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7267ADCC</paraID>
      <start>0</start>
      <end>2</end>
      <status>unmodified</status>
      <modifiedWord/>
      <trackRevisions>false</trackRevisions>
    </reviewItem>
    <reviewItem>
      <errorID>4a82147f-cc5b-46cd-ac9f-37d037020864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F248151</paraID>
      <start>0</start>
      <end>2</end>
      <status>unmodified</status>
      <modifiedWord/>
      <trackRevisions>false</trackRevisions>
    </reviewItem>
    <reviewItem>
      <errorID>ddd8d467-d0fb-42df-ab7d-c72b176d1c7d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1D581314</paraID>
      <start>0</start>
      <end>2</end>
      <status>unmodified</status>
      <modifiedWord/>
      <trackRevisions>false</trackRevisions>
    </reviewItem>
    <reviewItem>
      <errorID>156c0bde-da45-4f8a-9f66-044340c072a6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141E54F</paraID>
      <start>0</start>
      <end>2</end>
      <status>unmodified</status>
      <modifiedWord/>
      <trackRevisions>false</trackRevisions>
    </reviewItem>
    <reviewItem>
      <errorID>66a91c45-bced-46b4-94c2-4e4b9ed77c3f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2E65FE6B</paraID>
      <start>0</start>
      <end>2</end>
      <status>unmodified</status>
      <modifiedWord/>
      <trackRevisions>false</trackRevisions>
    </reviewItem>
    <reviewItem>
      <errorID>409e7b37-fb4a-4e16-be47-fe32e51fabd4</errorID>
      <errorWord>提高</errorWord>
      <group>L1_Grammar</group>
      <groupName>语法问题</groupName>
      <ability>L2_Grammar</ability>
      <abilityName>语法错误</abilityName>
      <candidateList>
        <item>增强</item>
      </candidateList>
      <explain>“提高～意识”搭配不当，建议修改为“增强～意识”。</explain>
      <paraID>37A2A8C1</paraID>
      <start>16</start>
      <end>18</end>
      <status>unmodified</status>
      <modifiedWord/>
      <trackRevisions>false</trackRevisions>
    </reviewItem>
    <reviewItem>
      <errorID>511ed89d-27de-407a-bf25-91e2a2524b5a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532822D0</paraID>
      <start>0</start>
      <end>2</end>
      <status>unmodified</status>
      <modifiedWord/>
      <trackRevisions>false</trackRevisions>
    </reviewItem>
    <reviewItem>
      <errorID>9967238c-887a-4780-85ee-1c095e896f6f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6310EC6E</paraID>
      <start>0</start>
      <end>2</end>
      <status>unmodified</status>
      <modifiedWord/>
      <trackRevisions>false</trackRevisions>
    </reviewItem>
    <reviewItem>
      <errorID>1cecec2d-868c-4fe2-8801-40336419f573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40BDA0D9</paraID>
      <start>0</start>
      <end>2</end>
      <status>unmodified</status>
      <modifiedWord/>
      <trackRevisions>false</trackRevisions>
    </reviewItem>
    <reviewItem>
      <errorID>6d5282ad-bccb-4d3a-ba40-f6b46ae33ca2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5A454618</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8B2711-1155-410D-83B0-6A7BDA16D117}">
  <ds:schemaRefs/>
</ds:datastoreItem>
</file>

<file path=docProps/app.xml><?xml version="1.0" encoding="utf-8"?>
<Properties xmlns="http://schemas.openxmlformats.org/officeDocument/2006/extended-properties" xmlns:vt="http://schemas.openxmlformats.org/officeDocument/2006/docPropsVTypes">
  <Template>wdzx97.dot</Template>
  <Company>微软中国</Company>
  <Pages>97</Pages>
  <Words>25681</Words>
  <Characters>26819</Characters>
  <Lines>551</Lines>
  <Paragraphs>155</Paragraphs>
  <TotalTime>55</TotalTime>
  <ScaleCrop>false</ScaleCrop>
  <LinksUpToDate>false</LinksUpToDate>
  <CharactersWithSpaces>27080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方</cp:lastModifiedBy>
  <cp:lastPrinted>2026-10-15T08:17:00Z</cp:lastPrinted>
  <dcterms:modified xsi:type="dcterms:W3CDTF">2026-10-26T10:04:16Z</dcterms:modified>
  <dc:title>附件2</dc:title>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92324CC956994BCA960F6A934D1A9241_13</vt:lpwstr>
  </property>
  <property fmtid="{D5CDD505-2E9C-101B-9397-08002B2CF9AE}" pid="4" name="KSOTemplateDocerSaveRecord">
    <vt:lpwstr>eyJoZGlkIjoiYWM4OTdjYmM5OTc1ZTExMjliOThhNWZiOGFiODE3Y2QiLCJ1c2VySWQiOiIxMTIxMzIwNzkyIn0=</vt:lpwstr>
  </property>
</Properties>
</file>